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150"/>
      </w:tblGrid>
      <w:tr w:rsidR="00CC42BE" w:rsidRPr="00A558A4" w14:paraId="5E6E5967" w14:textId="77777777" w:rsidTr="00E05244">
        <w:trPr>
          <w:trHeight w:val="2880"/>
          <w:jc w:val="center"/>
        </w:trPr>
        <w:tc>
          <w:tcPr>
            <w:tcW w:w="5000" w:type="pct"/>
            <w:hideMark/>
          </w:tcPr>
          <w:p w14:paraId="2300529F" w14:textId="76A18925" w:rsidR="00CC42BE" w:rsidRPr="00A558A4" w:rsidRDefault="00CC42BE" w:rsidP="00B66DE2">
            <w:pPr>
              <w:pStyle w:val="NoSpacing"/>
              <w:rPr>
                <w:rFonts w:eastAsiaTheme="majorEastAsia" w:cs="Arial"/>
                <w:sz w:val="22"/>
                <w:lang w:eastAsia="en-US"/>
              </w:rPr>
            </w:pPr>
            <w:bookmarkStart w:id="0" w:name="_Hlk101341469"/>
            <w:bookmarkEnd w:id="0"/>
            <w:r w:rsidRPr="00A558A4">
              <w:rPr>
                <w:rFonts w:cs="Arial"/>
                <w:sz w:val="22"/>
              </w:rPr>
              <w:drawing>
                <wp:anchor distT="0" distB="0" distL="114300" distR="114300" simplePos="0" relativeHeight="251661312" behindDoc="1" locked="0" layoutInCell="1" allowOverlap="1" wp14:anchorId="11D2AF4B" wp14:editId="2E1754D7">
                  <wp:simplePos x="0" y="0"/>
                  <wp:positionH relativeFrom="column">
                    <wp:posOffset>-68580</wp:posOffset>
                  </wp:positionH>
                  <wp:positionV relativeFrom="paragraph">
                    <wp:posOffset>0</wp:posOffset>
                  </wp:positionV>
                  <wp:extent cx="2190750" cy="10033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1003300"/>
                          </a:xfrm>
                          <a:prstGeom prst="rect">
                            <a:avLst/>
                          </a:prstGeom>
                          <a:noFill/>
                        </pic:spPr>
                      </pic:pic>
                    </a:graphicData>
                  </a:graphic>
                  <wp14:sizeRelH relativeFrom="page">
                    <wp14:pctWidth>0</wp14:pctWidth>
                  </wp14:sizeRelH>
                  <wp14:sizeRelV relativeFrom="page">
                    <wp14:pctHeight>0</wp14:pctHeight>
                  </wp14:sizeRelV>
                </wp:anchor>
              </w:drawing>
            </w:r>
          </w:p>
        </w:tc>
      </w:tr>
      <w:tr w:rsidR="00CC42BE" w:rsidRPr="00A558A4" w14:paraId="2DEA74DA" w14:textId="77777777" w:rsidTr="00E05244">
        <w:trPr>
          <w:trHeight w:val="4927"/>
          <w:jc w:val="center"/>
        </w:trPr>
        <w:bookmarkStart w:id="1" w:name="_Toc103695010" w:displacedByCustomXml="next"/>
        <w:sdt>
          <w:sdt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top w:val="nil"/>
                  <w:left w:val="nil"/>
                  <w:right w:val="nil"/>
                </w:tcBorders>
                <w:vAlign w:val="center"/>
                <w:hideMark/>
              </w:tcPr>
              <w:p w14:paraId="4A68B4BC" w14:textId="7EBB688D" w:rsidR="00CC42BE" w:rsidRPr="00A558A4" w:rsidRDefault="00126ED8" w:rsidP="00B66DE2">
                <w:pPr>
                  <w:pStyle w:val="Heading1"/>
                  <w:rPr>
                    <w:lang w:eastAsia="en-US"/>
                  </w:rPr>
                </w:pPr>
                <w:r w:rsidRPr="00A558A4">
                  <w:t>NHS Hull C</w:t>
                </w:r>
                <w:r w:rsidR="00EB0047" w:rsidRPr="00A558A4">
                  <w:t xml:space="preserve">linical </w:t>
                </w:r>
                <w:r w:rsidRPr="00A558A4">
                  <w:t>C</w:t>
                </w:r>
                <w:r w:rsidR="00EB0047" w:rsidRPr="00A558A4">
                  <w:t xml:space="preserve">ommissioning </w:t>
                </w:r>
                <w:r w:rsidRPr="00A558A4">
                  <w:t>G</w:t>
                </w:r>
                <w:r w:rsidR="00EB0047" w:rsidRPr="00A558A4">
                  <w:t>roup</w:t>
                </w:r>
                <w:r w:rsidRPr="00A558A4">
                  <w:t xml:space="preserve"> Annual Report and Accounts </w:t>
                </w:r>
                <w:r w:rsidR="00145C5D">
                  <w:t>2021-22</w:t>
                </w:r>
              </w:p>
            </w:tc>
          </w:sdtContent>
        </w:sdt>
        <w:bookmarkEnd w:id="1" w:displacedByCustomXml="prev"/>
      </w:tr>
      <w:tr w:rsidR="00CC42BE" w:rsidRPr="00A558A4" w14:paraId="6BAFDFB7" w14:textId="77777777" w:rsidTr="00E05244">
        <w:trPr>
          <w:trHeight w:val="720"/>
          <w:jc w:val="center"/>
        </w:trPr>
        <w:tc>
          <w:tcPr>
            <w:tcW w:w="5000" w:type="pct"/>
            <w:tcBorders>
              <w:left w:val="nil"/>
              <w:bottom w:val="nil"/>
              <w:right w:val="nil"/>
            </w:tcBorders>
            <w:vAlign w:val="center"/>
          </w:tcPr>
          <w:p w14:paraId="16919FE5" w14:textId="77777777" w:rsidR="00CC42BE" w:rsidRPr="00A558A4" w:rsidRDefault="00CC42BE" w:rsidP="00B66DE2">
            <w:pPr>
              <w:pStyle w:val="NoSpacing"/>
              <w:rPr>
                <w:rFonts w:eastAsiaTheme="majorEastAsia" w:cs="Arial"/>
                <w:sz w:val="22"/>
                <w:lang w:eastAsia="en-US"/>
              </w:rPr>
            </w:pPr>
          </w:p>
        </w:tc>
      </w:tr>
      <w:tr w:rsidR="00CC42BE" w:rsidRPr="00A558A4" w14:paraId="3F21581D" w14:textId="77777777" w:rsidTr="00CC42BE">
        <w:trPr>
          <w:trHeight w:val="360"/>
          <w:jc w:val="center"/>
        </w:trPr>
        <w:tc>
          <w:tcPr>
            <w:tcW w:w="5000" w:type="pct"/>
            <w:vAlign w:val="center"/>
          </w:tcPr>
          <w:p w14:paraId="55267347" w14:textId="77777777" w:rsidR="00CC42BE" w:rsidRPr="00A558A4" w:rsidRDefault="00CC42BE" w:rsidP="00B66DE2">
            <w:pPr>
              <w:pStyle w:val="NoSpacing"/>
              <w:rPr>
                <w:rFonts w:cs="Arial"/>
                <w:sz w:val="22"/>
                <w:lang w:eastAsia="en-US"/>
              </w:rPr>
            </w:pPr>
          </w:p>
        </w:tc>
      </w:tr>
      <w:tr w:rsidR="00CC42BE" w:rsidRPr="00A558A4" w14:paraId="550095A4" w14:textId="77777777" w:rsidTr="00CC42BE">
        <w:trPr>
          <w:trHeight w:val="360"/>
          <w:jc w:val="center"/>
        </w:trPr>
        <w:tc>
          <w:tcPr>
            <w:tcW w:w="5000" w:type="pct"/>
            <w:vAlign w:val="center"/>
          </w:tcPr>
          <w:p w14:paraId="7D3E2AE5" w14:textId="77777777" w:rsidR="00CC42BE" w:rsidRPr="00A558A4" w:rsidRDefault="00CC42BE" w:rsidP="00B66DE2">
            <w:pPr>
              <w:pStyle w:val="NoSpacing"/>
              <w:rPr>
                <w:rFonts w:cs="Arial"/>
                <w:sz w:val="22"/>
                <w:lang w:eastAsia="en-US"/>
              </w:rPr>
            </w:pPr>
          </w:p>
        </w:tc>
      </w:tr>
      <w:tr w:rsidR="00CC42BE" w:rsidRPr="00A558A4" w14:paraId="5DB820C4" w14:textId="77777777" w:rsidTr="00CC42BE">
        <w:trPr>
          <w:trHeight w:val="360"/>
          <w:jc w:val="center"/>
        </w:trPr>
        <w:tc>
          <w:tcPr>
            <w:tcW w:w="5000" w:type="pct"/>
            <w:vAlign w:val="center"/>
          </w:tcPr>
          <w:p w14:paraId="12799790" w14:textId="77777777" w:rsidR="00CC42BE" w:rsidRPr="00A558A4" w:rsidRDefault="00CC42BE" w:rsidP="00B66DE2">
            <w:pPr>
              <w:pStyle w:val="NoSpacing"/>
              <w:rPr>
                <w:rFonts w:cs="Arial"/>
                <w:sz w:val="22"/>
                <w:lang w:eastAsia="en-US"/>
              </w:rPr>
            </w:pPr>
          </w:p>
        </w:tc>
      </w:tr>
    </w:tbl>
    <w:p w14:paraId="7BCDD48B" w14:textId="00871CD7" w:rsidR="00CC42BE" w:rsidRPr="00A558A4" w:rsidRDefault="006A179E" w:rsidP="00B66DE2">
      <w:pPr>
        <w:spacing w:line="240" w:lineRule="auto"/>
        <w:rPr>
          <w:rFonts w:cs="Arial"/>
        </w:rPr>
      </w:pPr>
      <w:r w:rsidRPr="00A558A4">
        <w:rPr>
          <w:rFonts w:eastAsiaTheme="majorEastAsia" w:cs="Arial"/>
        </w:rPr>
        <w:drawing>
          <wp:anchor distT="0" distB="0" distL="114300" distR="114300" simplePos="0" relativeHeight="251657216" behindDoc="1" locked="0" layoutInCell="1" allowOverlap="1" wp14:anchorId="0FD413E2" wp14:editId="256C1D5F">
            <wp:simplePos x="0" y="0"/>
            <wp:positionH relativeFrom="column">
              <wp:posOffset>3340735</wp:posOffset>
            </wp:positionH>
            <wp:positionV relativeFrom="paragraph">
              <wp:posOffset>-6456680</wp:posOffset>
            </wp:positionV>
            <wp:extent cx="2976880" cy="133858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ll CCG ÔÇô RGB Blu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6880" cy="1338580"/>
                    </a:xfrm>
                    <a:prstGeom prst="rect">
                      <a:avLst/>
                    </a:prstGeom>
                  </pic:spPr>
                </pic:pic>
              </a:graphicData>
            </a:graphic>
            <wp14:sizeRelH relativeFrom="margin">
              <wp14:pctWidth>0</wp14:pctWidth>
            </wp14:sizeRelH>
            <wp14:sizeRelV relativeFrom="margin">
              <wp14:pctHeight>0</wp14:pctHeight>
            </wp14:sizeRelV>
          </wp:anchor>
        </w:drawing>
      </w:r>
    </w:p>
    <w:p w14:paraId="225FD46E" w14:textId="77777777" w:rsidR="00CC42BE" w:rsidRPr="00A558A4" w:rsidRDefault="00CC42BE" w:rsidP="00B66DE2">
      <w:pPr>
        <w:spacing w:line="240" w:lineRule="auto"/>
        <w:rPr>
          <w:rFonts w:cs="Arial"/>
        </w:rPr>
      </w:pPr>
      <w:r w:rsidRPr="00A558A4">
        <w:rPr>
          <w:rFonts w:cs="Arial"/>
        </w:rPr>
        <w:br w:type="page"/>
      </w:r>
    </w:p>
    <w:p w14:paraId="51654438" w14:textId="77777777" w:rsidR="00481AE7" w:rsidRPr="00F236A1" w:rsidRDefault="00481AE7" w:rsidP="00B66DE2">
      <w:pPr>
        <w:spacing w:line="240" w:lineRule="auto"/>
        <w:rPr>
          <w:rFonts w:eastAsia="Arial" w:cs="Arial"/>
          <w:sz w:val="20"/>
          <w:szCs w:val="20"/>
        </w:rPr>
      </w:pPr>
      <w:r w:rsidRPr="00F236A1">
        <w:rPr>
          <w:rFonts w:eastAsia="Arial" w:cs="Arial"/>
          <w:sz w:val="20"/>
          <w:szCs w:val="20"/>
        </w:rPr>
        <w:lastRenderedPageBreak/>
        <w:t>©</w:t>
      </w:r>
      <w:r w:rsidRPr="00F236A1">
        <w:rPr>
          <w:rFonts w:eastAsia="Arial" w:cs="Arial"/>
          <w:spacing w:val="-1"/>
          <w:sz w:val="20"/>
          <w:szCs w:val="20"/>
        </w:rPr>
        <w:t xml:space="preserve"> </w:t>
      </w:r>
      <w:r w:rsidRPr="00F236A1">
        <w:rPr>
          <w:rFonts w:eastAsia="Arial" w:cs="Arial"/>
          <w:sz w:val="20"/>
          <w:szCs w:val="20"/>
        </w:rPr>
        <w:t>NHS Hull Cli</w:t>
      </w:r>
      <w:r w:rsidRPr="00F236A1">
        <w:rPr>
          <w:rFonts w:eastAsia="Arial" w:cs="Arial"/>
          <w:spacing w:val="-2"/>
          <w:sz w:val="20"/>
          <w:szCs w:val="20"/>
        </w:rPr>
        <w:t>n</w:t>
      </w:r>
      <w:r w:rsidRPr="00F236A1">
        <w:rPr>
          <w:rFonts w:eastAsia="Arial" w:cs="Arial"/>
          <w:sz w:val="20"/>
          <w:szCs w:val="20"/>
        </w:rPr>
        <w:t>i</w:t>
      </w:r>
      <w:r w:rsidRPr="00F236A1">
        <w:rPr>
          <w:rFonts w:eastAsia="Arial" w:cs="Arial"/>
          <w:spacing w:val="-1"/>
          <w:sz w:val="20"/>
          <w:szCs w:val="20"/>
        </w:rPr>
        <w:t>c</w:t>
      </w:r>
      <w:r w:rsidRPr="00F236A1">
        <w:rPr>
          <w:rFonts w:eastAsia="Arial" w:cs="Arial"/>
          <w:sz w:val="20"/>
          <w:szCs w:val="20"/>
        </w:rPr>
        <w:t>al C</w:t>
      </w:r>
      <w:r w:rsidRPr="00F236A1">
        <w:rPr>
          <w:rFonts w:eastAsia="Arial" w:cs="Arial"/>
          <w:spacing w:val="-2"/>
          <w:sz w:val="20"/>
          <w:szCs w:val="20"/>
        </w:rPr>
        <w:t>o</w:t>
      </w:r>
      <w:r w:rsidRPr="00F236A1">
        <w:rPr>
          <w:rFonts w:eastAsia="Arial" w:cs="Arial"/>
          <w:sz w:val="20"/>
          <w:szCs w:val="20"/>
        </w:rPr>
        <w:t>m</w:t>
      </w:r>
      <w:r w:rsidRPr="00F236A1">
        <w:rPr>
          <w:rFonts w:eastAsia="Arial" w:cs="Arial"/>
          <w:spacing w:val="-1"/>
          <w:sz w:val="20"/>
          <w:szCs w:val="20"/>
        </w:rPr>
        <w:t>m</w:t>
      </w:r>
      <w:r w:rsidRPr="00F236A1">
        <w:rPr>
          <w:rFonts w:eastAsia="Arial" w:cs="Arial"/>
          <w:sz w:val="20"/>
          <w:szCs w:val="20"/>
        </w:rPr>
        <w:t>i</w:t>
      </w:r>
      <w:r w:rsidRPr="00F236A1">
        <w:rPr>
          <w:rFonts w:eastAsia="Arial" w:cs="Arial"/>
          <w:spacing w:val="-1"/>
          <w:sz w:val="20"/>
          <w:szCs w:val="20"/>
        </w:rPr>
        <w:t>s</w:t>
      </w:r>
      <w:r w:rsidRPr="00F236A1">
        <w:rPr>
          <w:rFonts w:eastAsia="Arial" w:cs="Arial"/>
          <w:sz w:val="20"/>
          <w:szCs w:val="20"/>
        </w:rPr>
        <w:t>s</w:t>
      </w:r>
      <w:r w:rsidRPr="00F236A1">
        <w:rPr>
          <w:rFonts w:eastAsia="Arial" w:cs="Arial"/>
          <w:spacing w:val="-2"/>
          <w:sz w:val="20"/>
          <w:szCs w:val="20"/>
        </w:rPr>
        <w:t>i</w:t>
      </w:r>
      <w:r w:rsidRPr="00F236A1">
        <w:rPr>
          <w:rFonts w:eastAsia="Arial" w:cs="Arial"/>
          <w:sz w:val="20"/>
          <w:szCs w:val="20"/>
        </w:rPr>
        <w:t>oning</w:t>
      </w:r>
      <w:r w:rsidRPr="00F236A1">
        <w:rPr>
          <w:rFonts w:eastAsia="Arial" w:cs="Arial"/>
          <w:spacing w:val="-2"/>
          <w:sz w:val="20"/>
          <w:szCs w:val="20"/>
        </w:rPr>
        <w:t xml:space="preserve"> </w:t>
      </w:r>
      <w:r w:rsidRPr="00F236A1">
        <w:rPr>
          <w:rFonts w:eastAsia="Arial" w:cs="Arial"/>
          <w:sz w:val="20"/>
          <w:szCs w:val="20"/>
        </w:rPr>
        <w:t>Group.</w:t>
      </w:r>
      <w:r w:rsidRPr="00F236A1">
        <w:rPr>
          <w:rFonts w:eastAsia="Arial" w:cs="Arial"/>
          <w:spacing w:val="4"/>
          <w:sz w:val="20"/>
          <w:szCs w:val="20"/>
        </w:rPr>
        <w:t xml:space="preserve"> </w:t>
      </w:r>
      <w:r w:rsidRPr="00F236A1">
        <w:rPr>
          <w:rFonts w:eastAsia="Arial" w:cs="Arial"/>
          <w:spacing w:val="-3"/>
          <w:sz w:val="20"/>
          <w:szCs w:val="20"/>
        </w:rPr>
        <w:t>A</w:t>
      </w:r>
      <w:r w:rsidRPr="00F236A1">
        <w:rPr>
          <w:rFonts w:eastAsia="Arial" w:cs="Arial"/>
          <w:sz w:val="20"/>
          <w:szCs w:val="20"/>
        </w:rPr>
        <w:t xml:space="preserve">ll </w:t>
      </w:r>
      <w:r w:rsidRPr="00F236A1">
        <w:rPr>
          <w:rFonts w:eastAsia="Arial" w:cs="Arial"/>
          <w:spacing w:val="-2"/>
          <w:sz w:val="20"/>
          <w:szCs w:val="20"/>
        </w:rPr>
        <w:t>r</w:t>
      </w:r>
      <w:r w:rsidRPr="00F236A1">
        <w:rPr>
          <w:rFonts w:eastAsia="Arial" w:cs="Arial"/>
          <w:sz w:val="20"/>
          <w:szCs w:val="20"/>
        </w:rPr>
        <w:t>igh</w:t>
      </w:r>
      <w:r w:rsidRPr="00F236A1">
        <w:rPr>
          <w:rFonts w:eastAsia="Arial" w:cs="Arial"/>
          <w:spacing w:val="-2"/>
          <w:sz w:val="20"/>
          <w:szCs w:val="20"/>
        </w:rPr>
        <w:t>t</w:t>
      </w:r>
      <w:r w:rsidRPr="00F236A1">
        <w:rPr>
          <w:rFonts w:eastAsia="Arial" w:cs="Arial"/>
          <w:sz w:val="20"/>
          <w:szCs w:val="20"/>
        </w:rPr>
        <w:t>s r</w:t>
      </w:r>
      <w:r w:rsidRPr="00F236A1">
        <w:rPr>
          <w:rFonts w:eastAsia="Arial" w:cs="Arial"/>
          <w:spacing w:val="-1"/>
          <w:sz w:val="20"/>
          <w:szCs w:val="20"/>
        </w:rPr>
        <w:t>e</w:t>
      </w:r>
      <w:r w:rsidRPr="00F236A1">
        <w:rPr>
          <w:rFonts w:eastAsia="Arial" w:cs="Arial"/>
          <w:sz w:val="20"/>
          <w:szCs w:val="20"/>
        </w:rPr>
        <w:t>ser</w:t>
      </w:r>
      <w:r w:rsidRPr="00F236A1">
        <w:rPr>
          <w:rFonts w:eastAsia="Arial" w:cs="Arial"/>
          <w:spacing w:val="-1"/>
          <w:sz w:val="20"/>
          <w:szCs w:val="20"/>
        </w:rPr>
        <w:t>v</w:t>
      </w:r>
      <w:r w:rsidRPr="00F236A1">
        <w:rPr>
          <w:rFonts w:eastAsia="Arial" w:cs="Arial"/>
          <w:spacing w:val="-2"/>
          <w:sz w:val="20"/>
          <w:szCs w:val="20"/>
        </w:rPr>
        <w:t>e</w:t>
      </w:r>
      <w:r w:rsidRPr="00F236A1">
        <w:rPr>
          <w:rFonts w:eastAsia="Arial" w:cs="Arial"/>
          <w:sz w:val="20"/>
          <w:szCs w:val="20"/>
        </w:rPr>
        <w:t>d. Not to</w:t>
      </w:r>
      <w:r w:rsidRPr="00F236A1">
        <w:rPr>
          <w:rFonts w:eastAsia="Arial" w:cs="Arial"/>
          <w:spacing w:val="-2"/>
          <w:sz w:val="20"/>
          <w:szCs w:val="20"/>
        </w:rPr>
        <w:t xml:space="preserve"> </w:t>
      </w:r>
      <w:r w:rsidRPr="00F236A1">
        <w:rPr>
          <w:rFonts w:eastAsia="Arial" w:cs="Arial"/>
          <w:sz w:val="20"/>
          <w:szCs w:val="20"/>
        </w:rPr>
        <w:t xml:space="preserve">be </w:t>
      </w:r>
      <w:r w:rsidRPr="00F236A1">
        <w:rPr>
          <w:rFonts w:eastAsia="Arial" w:cs="Arial"/>
          <w:spacing w:val="-2"/>
          <w:sz w:val="20"/>
          <w:szCs w:val="20"/>
        </w:rPr>
        <w:t>r</w:t>
      </w:r>
      <w:r w:rsidRPr="00F236A1">
        <w:rPr>
          <w:rFonts w:eastAsia="Arial" w:cs="Arial"/>
          <w:sz w:val="20"/>
          <w:szCs w:val="20"/>
        </w:rPr>
        <w:t>epr</w:t>
      </w:r>
      <w:r w:rsidRPr="00F236A1">
        <w:rPr>
          <w:rFonts w:eastAsia="Arial" w:cs="Arial"/>
          <w:spacing w:val="-2"/>
          <w:sz w:val="20"/>
          <w:szCs w:val="20"/>
        </w:rPr>
        <w:t>o</w:t>
      </w:r>
      <w:r w:rsidRPr="00F236A1">
        <w:rPr>
          <w:rFonts w:eastAsia="Arial" w:cs="Arial"/>
          <w:sz w:val="20"/>
          <w:szCs w:val="20"/>
        </w:rPr>
        <w:t>du</w:t>
      </w:r>
      <w:r w:rsidRPr="00F236A1">
        <w:rPr>
          <w:rFonts w:eastAsia="Arial" w:cs="Arial"/>
          <w:spacing w:val="-1"/>
          <w:sz w:val="20"/>
          <w:szCs w:val="20"/>
        </w:rPr>
        <w:t>c</w:t>
      </w:r>
      <w:r w:rsidRPr="00F236A1">
        <w:rPr>
          <w:rFonts w:eastAsia="Arial" w:cs="Arial"/>
          <w:sz w:val="20"/>
          <w:szCs w:val="20"/>
        </w:rPr>
        <w:t xml:space="preserve">ed </w:t>
      </w:r>
      <w:r w:rsidRPr="00F236A1">
        <w:rPr>
          <w:rFonts w:eastAsia="Arial" w:cs="Arial"/>
          <w:spacing w:val="-1"/>
          <w:sz w:val="20"/>
          <w:szCs w:val="20"/>
        </w:rPr>
        <w:t>i</w:t>
      </w:r>
      <w:r w:rsidRPr="00F236A1">
        <w:rPr>
          <w:rFonts w:eastAsia="Arial" w:cs="Arial"/>
          <w:sz w:val="20"/>
          <w:szCs w:val="20"/>
        </w:rPr>
        <w:t xml:space="preserve">n </w:t>
      </w:r>
      <w:r w:rsidRPr="00F236A1">
        <w:rPr>
          <w:rFonts w:eastAsia="Arial" w:cs="Arial"/>
          <w:spacing w:val="-2"/>
          <w:sz w:val="20"/>
          <w:szCs w:val="20"/>
        </w:rPr>
        <w:t>w</w:t>
      </w:r>
      <w:r w:rsidRPr="00F236A1">
        <w:rPr>
          <w:rFonts w:eastAsia="Arial" w:cs="Arial"/>
          <w:sz w:val="20"/>
          <w:szCs w:val="20"/>
        </w:rPr>
        <w:t>hole or</w:t>
      </w:r>
      <w:r w:rsidRPr="00F236A1">
        <w:rPr>
          <w:rFonts w:eastAsia="Arial" w:cs="Arial"/>
          <w:spacing w:val="-2"/>
          <w:sz w:val="20"/>
          <w:szCs w:val="20"/>
        </w:rPr>
        <w:t xml:space="preserve"> </w:t>
      </w:r>
      <w:r w:rsidRPr="00F236A1">
        <w:rPr>
          <w:rFonts w:eastAsia="Arial" w:cs="Arial"/>
          <w:sz w:val="20"/>
          <w:szCs w:val="20"/>
        </w:rPr>
        <w:t>in</w:t>
      </w:r>
      <w:r w:rsidRPr="00F236A1">
        <w:rPr>
          <w:rFonts w:eastAsia="Arial" w:cs="Arial"/>
          <w:spacing w:val="-1"/>
          <w:sz w:val="20"/>
          <w:szCs w:val="20"/>
        </w:rPr>
        <w:t xml:space="preserve"> </w:t>
      </w:r>
      <w:r w:rsidRPr="00F236A1">
        <w:rPr>
          <w:rFonts w:eastAsia="Arial" w:cs="Arial"/>
          <w:sz w:val="20"/>
          <w:szCs w:val="20"/>
        </w:rPr>
        <w:t xml:space="preserve">part </w:t>
      </w:r>
      <w:r w:rsidRPr="00F236A1">
        <w:rPr>
          <w:rFonts w:eastAsia="Arial" w:cs="Arial"/>
          <w:spacing w:val="-3"/>
          <w:sz w:val="20"/>
          <w:szCs w:val="20"/>
        </w:rPr>
        <w:t>w</w:t>
      </w:r>
      <w:r w:rsidRPr="00F236A1">
        <w:rPr>
          <w:rFonts w:eastAsia="Arial" w:cs="Arial"/>
          <w:sz w:val="20"/>
          <w:szCs w:val="20"/>
        </w:rPr>
        <w:t>itho</w:t>
      </w:r>
      <w:r w:rsidRPr="00F236A1">
        <w:rPr>
          <w:rFonts w:eastAsia="Arial" w:cs="Arial"/>
          <w:spacing w:val="-2"/>
          <w:sz w:val="20"/>
          <w:szCs w:val="20"/>
        </w:rPr>
        <w:t>u</w:t>
      </w:r>
      <w:r w:rsidRPr="00F236A1">
        <w:rPr>
          <w:rFonts w:eastAsia="Arial" w:cs="Arial"/>
          <w:sz w:val="20"/>
          <w:szCs w:val="20"/>
        </w:rPr>
        <w:t>t the p</w:t>
      </w:r>
      <w:r w:rsidRPr="00F236A1">
        <w:rPr>
          <w:rFonts w:eastAsia="Arial" w:cs="Arial"/>
          <w:spacing w:val="-2"/>
          <w:sz w:val="20"/>
          <w:szCs w:val="20"/>
        </w:rPr>
        <w:t>r</w:t>
      </w:r>
      <w:r w:rsidRPr="00F236A1">
        <w:rPr>
          <w:rFonts w:eastAsia="Arial" w:cs="Arial"/>
          <w:sz w:val="20"/>
          <w:szCs w:val="20"/>
        </w:rPr>
        <w:t xml:space="preserve">ior </w:t>
      </w:r>
      <w:r w:rsidRPr="00F236A1">
        <w:rPr>
          <w:rFonts w:eastAsia="Arial" w:cs="Arial"/>
          <w:spacing w:val="-1"/>
          <w:sz w:val="20"/>
          <w:szCs w:val="20"/>
        </w:rPr>
        <w:t>p</w:t>
      </w:r>
      <w:r w:rsidRPr="00F236A1">
        <w:rPr>
          <w:rFonts w:eastAsia="Arial" w:cs="Arial"/>
          <w:sz w:val="20"/>
          <w:szCs w:val="20"/>
        </w:rPr>
        <w:t>erm</w:t>
      </w:r>
      <w:r w:rsidRPr="00F236A1">
        <w:rPr>
          <w:rFonts w:eastAsia="Arial" w:cs="Arial"/>
          <w:spacing w:val="-2"/>
          <w:sz w:val="20"/>
          <w:szCs w:val="20"/>
        </w:rPr>
        <w:t>i</w:t>
      </w:r>
      <w:r w:rsidRPr="00F236A1">
        <w:rPr>
          <w:rFonts w:eastAsia="Arial" w:cs="Arial"/>
          <w:sz w:val="20"/>
          <w:szCs w:val="20"/>
        </w:rPr>
        <w:t>s</w:t>
      </w:r>
      <w:r w:rsidRPr="00F236A1">
        <w:rPr>
          <w:rFonts w:eastAsia="Arial" w:cs="Arial"/>
          <w:spacing w:val="-1"/>
          <w:sz w:val="20"/>
          <w:szCs w:val="20"/>
        </w:rPr>
        <w:t>s</w:t>
      </w:r>
      <w:r w:rsidRPr="00F236A1">
        <w:rPr>
          <w:rFonts w:eastAsia="Arial" w:cs="Arial"/>
          <w:sz w:val="20"/>
          <w:szCs w:val="20"/>
        </w:rPr>
        <w:t>ion</w:t>
      </w:r>
      <w:r w:rsidRPr="00F236A1">
        <w:rPr>
          <w:rFonts w:eastAsia="Arial" w:cs="Arial"/>
          <w:spacing w:val="-2"/>
          <w:sz w:val="20"/>
          <w:szCs w:val="20"/>
        </w:rPr>
        <w:t xml:space="preserve"> </w:t>
      </w:r>
      <w:r w:rsidRPr="00F236A1">
        <w:rPr>
          <w:rFonts w:eastAsia="Arial" w:cs="Arial"/>
          <w:sz w:val="20"/>
          <w:szCs w:val="20"/>
        </w:rPr>
        <w:t xml:space="preserve">of </w:t>
      </w:r>
      <w:r w:rsidRPr="00F236A1">
        <w:rPr>
          <w:rFonts w:eastAsia="Arial" w:cs="Arial"/>
          <w:spacing w:val="-2"/>
          <w:sz w:val="20"/>
          <w:szCs w:val="20"/>
        </w:rPr>
        <w:t>t</w:t>
      </w:r>
      <w:r w:rsidRPr="00F236A1">
        <w:rPr>
          <w:rFonts w:eastAsia="Arial" w:cs="Arial"/>
          <w:sz w:val="20"/>
          <w:szCs w:val="20"/>
        </w:rPr>
        <w:t>he</w:t>
      </w:r>
      <w:r w:rsidRPr="00F236A1">
        <w:rPr>
          <w:rFonts w:eastAsia="Arial" w:cs="Arial"/>
          <w:spacing w:val="-1"/>
          <w:sz w:val="20"/>
          <w:szCs w:val="20"/>
        </w:rPr>
        <w:t xml:space="preserve"> </w:t>
      </w:r>
      <w:r w:rsidRPr="00F236A1">
        <w:rPr>
          <w:rFonts w:eastAsia="Arial" w:cs="Arial"/>
          <w:sz w:val="20"/>
          <w:szCs w:val="20"/>
        </w:rPr>
        <w:t>co</w:t>
      </w:r>
      <w:r w:rsidRPr="00F236A1">
        <w:rPr>
          <w:rFonts w:eastAsia="Arial" w:cs="Arial"/>
          <w:spacing w:val="-2"/>
          <w:sz w:val="20"/>
          <w:szCs w:val="20"/>
        </w:rPr>
        <w:t>p</w:t>
      </w:r>
      <w:r w:rsidRPr="00F236A1">
        <w:rPr>
          <w:rFonts w:eastAsia="Arial" w:cs="Arial"/>
          <w:spacing w:val="-1"/>
          <w:sz w:val="20"/>
          <w:szCs w:val="20"/>
        </w:rPr>
        <w:t>y</w:t>
      </w:r>
      <w:r w:rsidRPr="00F236A1">
        <w:rPr>
          <w:rFonts w:eastAsia="Arial" w:cs="Arial"/>
          <w:sz w:val="20"/>
          <w:szCs w:val="20"/>
        </w:rPr>
        <w:t>right o</w:t>
      </w:r>
      <w:r w:rsidRPr="00F236A1">
        <w:rPr>
          <w:rFonts w:eastAsia="Arial" w:cs="Arial"/>
          <w:spacing w:val="-3"/>
          <w:sz w:val="20"/>
          <w:szCs w:val="20"/>
        </w:rPr>
        <w:t>w</w:t>
      </w:r>
      <w:r w:rsidRPr="00F236A1">
        <w:rPr>
          <w:rFonts w:eastAsia="Arial" w:cs="Arial"/>
          <w:sz w:val="20"/>
          <w:szCs w:val="20"/>
        </w:rPr>
        <w:t>ner.</w:t>
      </w:r>
    </w:p>
    <w:p w14:paraId="34F70464" w14:textId="7D1663C0" w:rsidR="00481AE7" w:rsidRPr="00F236A1" w:rsidRDefault="00481AE7" w:rsidP="00B66DE2">
      <w:pPr>
        <w:spacing w:line="240" w:lineRule="auto"/>
        <w:rPr>
          <w:rFonts w:cs="Arial"/>
          <w:sz w:val="20"/>
          <w:szCs w:val="20"/>
        </w:rPr>
      </w:pPr>
      <w:r w:rsidRPr="00F236A1">
        <w:rPr>
          <w:rFonts w:cs="Arial"/>
          <w:sz w:val="20"/>
          <w:szCs w:val="20"/>
        </w:rPr>
        <w:t>The accounts for the year ended 31 March 20</w:t>
      </w:r>
      <w:r w:rsidR="005C4C90" w:rsidRPr="00F236A1">
        <w:rPr>
          <w:rFonts w:cs="Arial"/>
          <w:sz w:val="20"/>
          <w:szCs w:val="20"/>
        </w:rPr>
        <w:t>2</w:t>
      </w:r>
      <w:r w:rsidR="00145C5D">
        <w:rPr>
          <w:rFonts w:cs="Arial"/>
          <w:sz w:val="20"/>
          <w:szCs w:val="20"/>
        </w:rPr>
        <w:t>2</w:t>
      </w:r>
      <w:r w:rsidRPr="00F236A1">
        <w:rPr>
          <w:rFonts w:cs="Arial"/>
          <w:sz w:val="20"/>
          <w:szCs w:val="20"/>
        </w:rPr>
        <w:t xml:space="preserve"> have been prepared by the NHS Hull Clinical Commissioning Group under section 232 (schedule 15,3(1)) of the National Health Service Act 2006 in the form which the Secretary of State has, within the approval of the Treasury, directed. </w:t>
      </w:r>
    </w:p>
    <w:p w14:paraId="03704753" w14:textId="501E9472" w:rsidR="0037616B" w:rsidRPr="00A558A4" w:rsidRDefault="0037616B" w:rsidP="00B66DE2">
      <w:pPr>
        <w:spacing w:line="240" w:lineRule="auto"/>
        <w:rPr>
          <w:rFonts w:cs="Arial"/>
        </w:rPr>
      </w:pPr>
    </w:p>
    <w:p w14:paraId="056CEA36" w14:textId="77777777" w:rsidR="00481AE7" w:rsidRPr="00A558A4" w:rsidRDefault="00481AE7" w:rsidP="00B66DE2">
      <w:pPr>
        <w:pStyle w:val="ListParagraph"/>
        <w:spacing w:line="240" w:lineRule="auto"/>
        <w:rPr>
          <w:rFonts w:eastAsia="Arial" w:cs="Arial"/>
        </w:rPr>
      </w:pPr>
    </w:p>
    <w:p w14:paraId="3E61CFCA" w14:textId="77777777" w:rsidR="0037616B" w:rsidRPr="00A558A4" w:rsidRDefault="0037616B" w:rsidP="00B66DE2">
      <w:pPr>
        <w:pStyle w:val="NoSpacing"/>
        <w:rPr>
          <w:rFonts w:cs="Arial"/>
          <w:sz w:val="22"/>
        </w:rPr>
      </w:pPr>
    </w:p>
    <w:p w14:paraId="496D5EBC" w14:textId="77777777" w:rsidR="0037616B" w:rsidRPr="00A558A4" w:rsidRDefault="0037616B" w:rsidP="00B66DE2">
      <w:pPr>
        <w:pStyle w:val="NoSpacing"/>
        <w:rPr>
          <w:rFonts w:cs="Arial"/>
          <w:sz w:val="22"/>
        </w:rPr>
      </w:pPr>
    </w:p>
    <w:p w14:paraId="03D830C9" w14:textId="77777777" w:rsidR="0037616B" w:rsidRPr="00A558A4" w:rsidRDefault="0037616B" w:rsidP="00B66DE2">
      <w:pPr>
        <w:pStyle w:val="NoSpacing"/>
        <w:rPr>
          <w:rFonts w:cs="Arial"/>
          <w:sz w:val="22"/>
        </w:rPr>
      </w:pPr>
    </w:p>
    <w:p w14:paraId="17D4445F" w14:textId="77777777" w:rsidR="0037616B" w:rsidRPr="00A558A4" w:rsidRDefault="0037616B" w:rsidP="00B66DE2">
      <w:pPr>
        <w:pStyle w:val="NoSpacing"/>
        <w:rPr>
          <w:rFonts w:cs="Arial"/>
          <w:sz w:val="22"/>
        </w:rPr>
      </w:pPr>
    </w:p>
    <w:p w14:paraId="454FB093" w14:textId="77777777" w:rsidR="0037616B" w:rsidRPr="00A558A4" w:rsidRDefault="0037616B" w:rsidP="00B66DE2">
      <w:pPr>
        <w:pStyle w:val="NoSpacing"/>
        <w:rPr>
          <w:rFonts w:cs="Arial"/>
          <w:sz w:val="22"/>
        </w:rPr>
      </w:pPr>
    </w:p>
    <w:p w14:paraId="1D35DCDC" w14:textId="77777777" w:rsidR="0037616B" w:rsidRPr="00A558A4" w:rsidRDefault="0037616B" w:rsidP="00B66DE2">
      <w:pPr>
        <w:pStyle w:val="NoSpacing"/>
        <w:rPr>
          <w:rFonts w:cs="Arial"/>
          <w:sz w:val="22"/>
        </w:rPr>
      </w:pPr>
    </w:p>
    <w:p w14:paraId="36669527" w14:textId="4E99AC11" w:rsidR="00481AE7" w:rsidRPr="00A558A4" w:rsidRDefault="00481AE7" w:rsidP="00B66DE2">
      <w:pPr>
        <w:pStyle w:val="NoSpacing"/>
        <w:rPr>
          <w:rFonts w:cs="Arial"/>
          <w:sz w:val="22"/>
        </w:rPr>
      </w:pPr>
      <w:r w:rsidRPr="00A558A4">
        <w:rPr>
          <w:rFonts w:cs="Arial"/>
          <w:sz w:val="22"/>
        </w:rPr>
        <w:t xml:space="preserve">Accessibility </w:t>
      </w:r>
      <w:r w:rsidR="00D91C9D">
        <w:rPr>
          <w:rFonts w:cs="Arial"/>
          <w:sz w:val="22"/>
        </w:rPr>
        <w:t>s</w:t>
      </w:r>
      <w:r w:rsidRPr="00A558A4">
        <w:rPr>
          <w:rFonts w:cs="Arial"/>
          <w:sz w:val="22"/>
        </w:rPr>
        <w:t>tatement</w:t>
      </w:r>
    </w:p>
    <w:p w14:paraId="1874B99C" w14:textId="77777777" w:rsidR="00481AE7" w:rsidRPr="00F236A1" w:rsidRDefault="00481AE7" w:rsidP="00B66DE2">
      <w:pPr>
        <w:spacing w:before="0" w:line="240" w:lineRule="auto"/>
        <w:rPr>
          <w:rFonts w:cs="Arial"/>
          <w:sz w:val="28"/>
          <w:szCs w:val="28"/>
          <w:lang w:val="en-US" w:eastAsia="ja-JP"/>
        </w:rPr>
      </w:pPr>
      <w:r w:rsidRPr="00F236A1">
        <w:rPr>
          <w:rFonts w:cs="Arial"/>
          <w:sz w:val="28"/>
          <w:szCs w:val="28"/>
          <w:lang w:val="en-US" w:eastAsia="ja-JP"/>
        </w:rPr>
        <w:t>If you need this document in an alternative format, such as large print or another language please contact us by:</w:t>
      </w:r>
    </w:p>
    <w:p w14:paraId="5101513D" w14:textId="77777777" w:rsidR="00481AE7" w:rsidRPr="00F236A1" w:rsidRDefault="00481AE7" w:rsidP="00B66DE2">
      <w:pPr>
        <w:spacing w:before="0" w:line="240" w:lineRule="auto"/>
        <w:rPr>
          <w:rFonts w:cs="Arial"/>
          <w:b/>
          <w:bCs/>
          <w:iCs/>
          <w:color w:val="353535"/>
          <w:sz w:val="28"/>
          <w:szCs w:val="28"/>
          <w:lang w:val="en-US" w:eastAsia="ja-JP"/>
        </w:rPr>
      </w:pPr>
      <w:r w:rsidRPr="00F236A1">
        <w:rPr>
          <w:rFonts w:cs="Arial"/>
          <w:b/>
          <w:sz w:val="28"/>
          <w:szCs w:val="28"/>
        </w:rPr>
        <w:t>Emailing</w:t>
      </w:r>
      <w:r w:rsidRPr="00F236A1">
        <w:rPr>
          <w:rFonts w:cs="Arial"/>
          <w:sz w:val="28"/>
          <w:szCs w:val="28"/>
        </w:rPr>
        <w:t>: HULLCCG.contactus@nhs.net</w:t>
      </w:r>
    </w:p>
    <w:p w14:paraId="3A967A83" w14:textId="739E0393" w:rsidR="00481AE7" w:rsidRPr="00F236A1" w:rsidRDefault="00481AE7" w:rsidP="00B66DE2">
      <w:pPr>
        <w:spacing w:before="0" w:line="240" w:lineRule="auto"/>
        <w:rPr>
          <w:rFonts w:cs="Arial"/>
          <w:sz w:val="28"/>
          <w:szCs w:val="28"/>
        </w:rPr>
      </w:pPr>
      <w:r w:rsidRPr="00F236A1">
        <w:rPr>
          <w:rFonts w:cs="Arial"/>
          <w:b/>
          <w:sz w:val="28"/>
          <w:szCs w:val="28"/>
        </w:rPr>
        <w:t>Calling us</w:t>
      </w:r>
      <w:r w:rsidRPr="00F236A1">
        <w:rPr>
          <w:rFonts w:cs="Arial"/>
          <w:sz w:val="28"/>
          <w:szCs w:val="28"/>
        </w:rPr>
        <w:t xml:space="preserve">: 01482 344700 </w:t>
      </w:r>
    </w:p>
    <w:p w14:paraId="39E6B5E7" w14:textId="77777777" w:rsidR="00481AE7" w:rsidRPr="00F236A1" w:rsidRDefault="00481AE7" w:rsidP="00B66DE2">
      <w:pPr>
        <w:spacing w:before="0" w:line="240" w:lineRule="auto"/>
        <w:rPr>
          <w:rFonts w:cs="Arial"/>
          <w:sz w:val="28"/>
          <w:szCs w:val="28"/>
        </w:rPr>
      </w:pPr>
      <w:r w:rsidRPr="00F236A1">
        <w:rPr>
          <w:rFonts w:cs="Arial"/>
          <w:b/>
          <w:sz w:val="28"/>
          <w:szCs w:val="28"/>
        </w:rPr>
        <w:t>Tweeting us</w:t>
      </w:r>
      <w:r w:rsidRPr="00F236A1">
        <w:rPr>
          <w:rFonts w:cs="Arial"/>
          <w:sz w:val="28"/>
          <w:szCs w:val="28"/>
        </w:rPr>
        <w:t xml:space="preserve"> @NHSHullCCG</w:t>
      </w:r>
    </w:p>
    <w:p w14:paraId="62DD2F3D" w14:textId="77777777" w:rsidR="00481AE7" w:rsidRPr="00145C5D" w:rsidRDefault="00481AE7" w:rsidP="00B66DE2">
      <w:pPr>
        <w:spacing w:before="0" w:after="0" w:line="240" w:lineRule="auto"/>
        <w:rPr>
          <w:rFonts w:cs="Arial"/>
          <w:b/>
          <w:bCs/>
          <w:sz w:val="28"/>
          <w:szCs w:val="28"/>
        </w:rPr>
      </w:pPr>
      <w:r w:rsidRPr="00145C5D">
        <w:rPr>
          <w:rFonts w:cs="Arial"/>
          <w:b/>
          <w:bCs/>
          <w:sz w:val="28"/>
          <w:szCs w:val="28"/>
        </w:rPr>
        <w:t>Post:</w:t>
      </w:r>
    </w:p>
    <w:p w14:paraId="5A6A2C92" w14:textId="77777777" w:rsidR="00C81538" w:rsidRDefault="00C81538" w:rsidP="00B66DE2">
      <w:pPr>
        <w:spacing w:before="0" w:after="0" w:line="240" w:lineRule="auto"/>
        <w:rPr>
          <w:rFonts w:cs="Arial"/>
          <w:sz w:val="28"/>
          <w:szCs w:val="28"/>
        </w:rPr>
      </w:pPr>
      <w:r>
        <w:rPr>
          <w:rFonts w:cs="Arial"/>
          <w:sz w:val="28"/>
          <w:szCs w:val="28"/>
        </w:rPr>
        <w:t>NHS Hull Clinical Commissioning Group</w:t>
      </w:r>
    </w:p>
    <w:p w14:paraId="363CCF15" w14:textId="77777777" w:rsidR="00481AE7" w:rsidRPr="00F236A1" w:rsidRDefault="00481AE7" w:rsidP="00B66DE2">
      <w:pPr>
        <w:spacing w:before="0" w:after="0" w:line="240" w:lineRule="auto"/>
        <w:rPr>
          <w:rFonts w:cs="Arial"/>
          <w:sz w:val="28"/>
          <w:szCs w:val="28"/>
        </w:rPr>
      </w:pPr>
      <w:r w:rsidRPr="00F236A1">
        <w:rPr>
          <w:rFonts w:cs="Arial"/>
          <w:sz w:val="28"/>
          <w:szCs w:val="28"/>
        </w:rPr>
        <w:t>2nd Floor</w:t>
      </w:r>
    </w:p>
    <w:p w14:paraId="55E11DA3" w14:textId="77777777" w:rsidR="00481AE7" w:rsidRPr="00F236A1" w:rsidRDefault="00481AE7" w:rsidP="00B66DE2">
      <w:pPr>
        <w:spacing w:before="0" w:after="0" w:line="240" w:lineRule="auto"/>
        <w:rPr>
          <w:rFonts w:cs="Arial"/>
          <w:sz w:val="28"/>
          <w:szCs w:val="28"/>
        </w:rPr>
      </w:pPr>
      <w:r w:rsidRPr="00F236A1">
        <w:rPr>
          <w:rFonts w:cs="Arial"/>
          <w:sz w:val="28"/>
          <w:szCs w:val="28"/>
        </w:rPr>
        <w:t>Wilberforce Court</w:t>
      </w:r>
    </w:p>
    <w:p w14:paraId="383ADB38" w14:textId="77777777" w:rsidR="00481AE7" w:rsidRPr="00F236A1" w:rsidRDefault="00481AE7" w:rsidP="00B66DE2">
      <w:pPr>
        <w:spacing w:before="0" w:after="0" w:line="240" w:lineRule="auto"/>
        <w:rPr>
          <w:rFonts w:cs="Arial"/>
          <w:sz w:val="28"/>
          <w:szCs w:val="28"/>
        </w:rPr>
      </w:pPr>
      <w:r w:rsidRPr="00F236A1">
        <w:rPr>
          <w:rFonts w:cs="Arial"/>
          <w:sz w:val="28"/>
          <w:szCs w:val="28"/>
        </w:rPr>
        <w:t>Alfred Gelder Street</w:t>
      </w:r>
    </w:p>
    <w:p w14:paraId="44F8C77D" w14:textId="77777777" w:rsidR="00481AE7" w:rsidRPr="00F236A1" w:rsidRDefault="00481AE7" w:rsidP="00B66DE2">
      <w:pPr>
        <w:spacing w:before="0" w:after="0" w:line="240" w:lineRule="auto"/>
        <w:rPr>
          <w:rFonts w:cs="Arial"/>
          <w:sz w:val="28"/>
          <w:szCs w:val="28"/>
        </w:rPr>
      </w:pPr>
      <w:r w:rsidRPr="00F236A1">
        <w:rPr>
          <w:rFonts w:cs="Arial"/>
          <w:sz w:val="28"/>
          <w:szCs w:val="28"/>
        </w:rPr>
        <w:t>Hull HU1 1UY</w:t>
      </w:r>
    </w:p>
    <w:p w14:paraId="1709DF94" w14:textId="77777777" w:rsidR="00035E2B" w:rsidRPr="00A558A4" w:rsidRDefault="00035E2B" w:rsidP="00B66DE2">
      <w:pPr>
        <w:spacing w:line="240" w:lineRule="auto"/>
        <w:rPr>
          <w:rFonts w:cs="Arial"/>
        </w:rPr>
      </w:pPr>
      <w:r w:rsidRPr="00A558A4">
        <w:rPr>
          <w:rFonts w:cs="Arial"/>
        </w:rPr>
        <w:br w:type="page"/>
      </w:r>
    </w:p>
    <w:p w14:paraId="70D2EA15" w14:textId="23E3619D" w:rsidR="00F236A1" w:rsidRPr="000F573D" w:rsidRDefault="00F236A1" w:rsidP="00B71FAD">
      <w:pPr>
        <w:pStyle w:val="Heading2"/>
        <w:rPr>
          <w:color w:val="auto"/>
        </w:rPr>
      </w:pPr>
      <w:bookmarkStart w:id="2" w:name="_Toc103695011"/>
      <w:r w:rsidRPr="00B14EE4">
        <w:rPr>
          <w:rStyle w:val="Heading1Char"/>
          <w:rFonts w:cs="Arial"/>
          <w:b/>
          <w:bCs/>
          <w:color w:val="548DD4" w:themeColor="text2" w:themeTint="99"/>
          <w:spacing w:val="0"/>
          <w:sz w:val="24"/>
        </w:rPr>
        <w:lastRenderedPageBreak/>
        <w:t>Welcome from the Accountable Officer</w:t>
      </w:r>
      <w:bookmarkEnd w:id="2"/>
      <w:r w:rsidRPr="00B14EE4">
        <w:t xml:space="preserve"> </w:t>
      </w:r>
    </w:p>
    <w:p w14:paraId="3517650C" w14:textId="7F038422" w:rsidR="000F2A82" w:rsidRPr="00595D69" w:rsidRDefault="00595D69" w:rsidP="00B66DE2">
      <w:pPr>
        <w:rPr>
          <w:sz w:val="21"/>
          <w:szCs w:val="21"/>
        </w:rPr>
      </w:pPr>
      <w:r w:rsidRPr="00595D69">
        <w:rPr>
          <w:rFonts w:cs="Arial"/>
          <w:b/>
          <w:color w:val="365F91" w:themeColor="accent1" w:themeShade="BF"/>
          <w:sz w:val="21"/>
          <w:szCs w:val="21"/>
        </w:rPr>
        <w:drawing>
          <wp:anchor distT="0" distB="0" distL="114300" distR="114300" simplePos="0" relativeHeight="251700224" behindDoc="1" locked="0" layoutInCell="1" allowOverlap="1" wp14:anchorId="43AC7691" wp14:editId="00AD9252">
            <wp:simplePos x="0" y="0"/>
            <wp:positionH relativeFrom="column">
              <wp:posOffset>33655</wp:posOffset>
            </wp:positionH>
            <wp:positionV relativeFrom="paragraph">
              <wp:posOffset>131445</wp:posOffset>
            </wp:positionV>
            <wp:extent cx="899795" cy="1092200"/>
            <wp:effectExtent l="0" t="0" r="0" b="0"/>
            <wp:wrapTight wrapText="bothSides">
              <wp:wrapPolygon edited="0">
                <wp:start x="0" y="0"/>
                <wp:lineTo x="0" y="21098"/>
                <wp:lineTo x="21036" y="21098"/>
                <wp:lineTo x="21036" y="0"/>
                <wp:lineTo x="0" y="0"/>
              </wp:wrapPolygon>
            </wp:wrapTight>
            <wp:docPr id="3" name="Picture 3" descr="A picture containing person, green, cloth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green, clothing, indo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9795" cy="1092200"/>
                    </a:xfrm>
                    <a:prstGeom prst="rect">
                      <a:avLst/>
                    </a:prstGeom>
                  </pic:spPr>
                </pic:pic>
              </a:graphicData>
            </a:graphic>
          </wp:anchor>
        </w:drawing>
      </w:r>
      <w:r w:rsidR="00837C28" w:rsidRPr="00595D69">
        <w:rPr>
          <w:sz w:val="21"/>
          <w:szCs w:val="21"/>
        </w:rPr>
        <w:t xml:space="preserve">Welcome to the </w:t>
      </w:r>
      <w:r w:rsidR="00793BF9">
        <w:rPr>
          <w:sz w:val="21"/>
          <w:szCs w:val="21"/>
        </w:rPr>
        <w:t>2021</w:t>
      </w:r>
      <w:r w:rsidR="006F2759">
        <w:rPr>
          <w:sz w:val="21"/>
          <w:szCs w:val="21"/>
        </w:rPr>
        <w:t>-22</w:t>
      </w:r>
      <w:r w:rsidR="00837C28" w:rsidRPr="00595D69">
        <w:rPr>
          <w:sz w:val="21"/>
          <w:szCs w:val="21"/>
        </w:rPr>
        <w:t xml:space="preserve"> Annual Report and Accounts for NHS Hull Clinical Commissioning Group (CCG)</w:t>
      </w:r>
      <w:r w:rsidR="00862FE4" w:rsidRPr="00595D69">
        <w:rPr>
          <w:sz w:val="21"/>
          <w:szCs w:val="21"/>
        </w:rPr>
        <w:t>,</w:t>
      </w:r>
      <w:r w:rsidR="00837C28" w:rsidRPr="00595D69">
        <w:rPr>
          <w:sz w:val="21"/>
          <w:szCs w:val="21"/>
        </w:rPr>
        <w:t xml:space="preserve"> </w:t>
      </w:r>
      <w:r w:rsidR="00862FE4" w:rsidRPr="00595D69">
        <w:rPr>
          <w:sz w:val="21"/>
          <w:szCs w:val="21"/>
        </w:rPr>
        <w:t>which gives an</w:t>
      </w:r>
      <w:r w:rsidR="00837C28" w:rsidRPr="00595D69">
        <w:rPr>
          <w:sz w:val="21"/>
          <w:szCs w:val="21"/>
        </w:rPr>
        <w:t xml:space="preserve"> overview of the CCG’s progress and performance over the last year, as we continue to work with people and partners to create a healthier Hull. </w:t>
      </w:r>
    </w:p>
    <w:p w14:paraId="4FA4BB90" w14:textId="20A75F01" w:rsidR="00595D69" w:rsidRPr="00595D69" w:rsidRDefault="00595D69" w:rsidP="00595D69">
      <w:pPr>
        <w:rPr>
          <w:rFonts w:cs="Arial"/>
          <w:sz w:val="21"/>
          <w:szCs w:val="21"/>
          <w:shd w:val="clear" w:color="auto" w:fill="FFFFFF"/>
        </w:rPr>
      </w:pPr>
      <w:bookmarkStart w:id="3" w:name="_Hlk103694626"/>
      <w:r w:rsidRPr="00595D69">
        <w:rPr>
          <w:rFonts w:cs="Arial"/>
          <w:sz w:val="21"/>
          <w:szCs w:val="21"/>
          <w:shd w:val="clear" w:color="auto" w:fill="FFFFFF"/>
        </w:rPr>
        <w:t xml:space="preserve">It is with sadness, but also with a sense of pride, </w:t>
      </w:r>
      <w:r>
        <w:rPr>
          <w:rFonts w:cs="Arial"/>
          <w:sz w:val="21"/>
          <w:szCs w:val="21"/>
          <w:shd w:val="clear" w:color="auto" w:fill="FFFFFF"/>
        </w:rPr>
        <w:t xml:space="preserve">that I </w:t>
      </w:r>
      <w:r w:rsidR="00915CCF">
        <w:rPr>
          <w:rFonts w:cs="Arial"/>
          <w:sz w:val="21"/>
          <w:szCs w:val="21"/>
          <w:shd w:val="clear" w:color="auto" w:fill="FFFFFF"/>
        </w:rPr>
        <w:t>write this introduction</w:t>
      </w:r>
      <w:r w:rsidRPr="00595D69">
        <w:rPr>
          <w:rFonts w:cs="Arial"/>
          <w:sz w:val="21"/>
          <w:szCs w:val="21"/>
          <w:shd w:val="clear" w:color="auto" w:fill="FFFFFF"/>
        </w:rPr>
        <w:t xml:space="preserve">. It has been an incredible journey being the Accountable Officer for </w:t>
      </w:r>
      <w:r w:rsidR="00B24141">
        <w:rPr>
          <w:rFonts w:cs="Arial"/>
          <w:sz w:val="21"/>
          <w:szCs w:val="21"/>
          <w:shd w:val="clear" w:color="auto" w:fill="FFFFFF"/>
        </w:rPr>
        <w:t xml:space="preserve">NHS </w:t>
      </w:r>
      <w:r w:rsidRPr="00595D69">
        <w:rPr>
          <w:rFonts w:cs="Arial"/>
          <w:sz w:val="21"/>
          <w:szCs w:val="21"/>
          <w:shd w:val="clear" w:color="auto" w:fill="FFFFFF"/>
        </w:rPr>
        <w:t xml:space="preserve">Hull Clinical Commissioning Group. I have been lucky to have been supported by a fantastic and dedicated team, so many remarkable partners and providers in the city, and the people of Hull themselves, who have worked alongside us for the last nine years. </w:t>
      </w:r>
    </w:p>
    <w:bookmarkEnd w:id="3"/>
    <w:p w14:paraId="1DFFC158" w14:textId="77777777" w:rsidR="00DB7EB4" w:rsidRPr="00595D69" w:rsidRDefault="00DB7EB4" w:rsidP="00DB7EB4">
      <w:pPr>
        <w:rPr>
          <w:rFonts w:cs="Arial"/>
          <w:sz w:val="21"/>
          <w:szCs w:val="21"/>
          <w:shd w:val="clear" w:color="auto" w:fill="FFFFFF"/>
        </w:rPr>
      </w:pPr>
      <w:r w:rsidRPr="00595D69">
        <w:rPr>
          <w:rFonts w:cs="Arial"/>
          <w:sz w:val="21"/>
          <w:szCs w:val="21"/>
          <w:shd w:val="clear" w:color="auto" w:fill="FFFFFF"/>
        </w:rPr>
        <w:t>Before I came to Hull, I wasn’t sure what to expect but I quickly fell in love with the place. It has always been in my heart, wanting to make sure people in Hull get</w:t>
      </w:r>
      <w:r>
        <w:rPr>
          <w:rFonts w:cs="Arial"/>
          <w:sz w:val="21"/>
          <w:szCs w:val="21"/>
          <w:shd w:val="clear" w:color="auto" w:fill="FFFFFF"/>
        </w:rPr>
        <w:t xml:space="preserve"> access to</w:t>
      </w:r>
      <w:r w:rsidRPr="00595D69">
        <w:rPr>
          <w:rFonts w:cs="Arial"/>
          <w:sz w:val="21"/>
          <w:szCs w:val="21"/>
          <w:shd w:val="clear" w:color="auto" w:fill="FFFFFF"/>
        </w:rPr>
        <w:t xml:space="preserve"> the very best services they can. We started off wanting to get into every corner of the city. It’s never been just about access to healthcare. It's always been about</w:t>
      </w:r>
      <w:r>
        <w:rPr>
          <w:rFonts w:cs="Arial"/>
          <w:sz w:val="21"/>
          <w:szCs w:val="21"/>
          <w:shd w:val="clear" w:color="auto" w:fill="FFFFFF"/>
        </w:rPr>
        <w:t xml:space="preserve"> addressing</w:t>
      </w:r>
      <w:r w:rsidRPr="00595D69">
        <w:rPr>
          <w:rFonts w:cs="Arial"/>
          <w:sz w:val="21"/>
          <w:szCs w:val="21"/>
          <w:shd w:val="clear" w:color="auto" w:fill="FFFFFF"/>
        </w:rPr>
        <w:t xml:space="preserve"> the wider determinants of health and wellbeing and preventing people </w:t>
      </w:r>
      <w:r>
        <w:rPr>
          <w:rFonts w:cs="Arial"/>
          <w:sz w:val="21"/>
          <w:szCs w:val="21"/>
          <w:shd w:val="clear" w:color="auto" w:fill="FFFFFF"/>
        </w:rPr>
        <w:t>needing treatment</w:t>
      </w:r>
      <w:r w:rsidRPr="00595D69">
        <w:rPr>
          <w:rFonts w:cs="Arial"/>
          <w:sz w:val="21"/>
          <w:szCs w:val="21"/>
          <w:shd w:val="clear" w:color="auto" w:fill="FFFFFF"/>
        </w:rPr>
        <w:t xml:space="preserve"> the first place. </w:t>
      </w:r>
      <w:r>
        <w:rPr>
          <w:rFonts w:cs="Arial"/>
          <w:sz w:val="21"/>
          <w:szCs w:val="21"/>
          <w:shd w:val="clear" w:color="auto" w:fill="FFFFFF"/>
        </w:rPr>
        <w:t>Creating a Healthier Hull truly did reflect our ambition for the population to live happy and healthier lives.</w:t>
      </w:r>
    </w:p>
    <w:p w14:paraId="77A91D97" w14:textId="77777777" w:rsidR="00DB7EB4" w:rsidRPr="00595D69" w:rsidRDefault="00DB7EB4" w:rsidP="00DB7EB4">
      <w:pPr>
        <w:rPr>
          <w:rFonts w:cs="Arial"/>
          <w:sz w:val="21"/>
          <w:szCs w:val="21"/>
          <w:shd w:val="clear" w:color="auto" w:fill="FFFFFF"/>
        </w:rPr>
      </w:pPr>
      <w:r w:rsidRPr="00595D69">
        <w:rPr>
          <w:rFonts w:cs="Arial"/>
          <w:sz w:val="21"/>
          <w:szCs w:val="21"/>
          <w:shd w:val="clear" w:color="auto" w:fill="FFFFFF"/>
        </w:rPr>
        <w:t>I think we have been brave and courageous and done some incredibly innovative things with</w:t>
      </w:r>
      <w:r>
        <w:rPr>
          <w:rFonts w:cs="Arial"/>
          <w:sz w:val="21"/>
          <w:szCs w:val="21"/>
          <w:shd w:val="clear" w:color="auto" w:fill="FFFFFF"/>
        </w:rPr>
        <w:t>in</w:t>
      </w:r>
      <w:r w:rsidRPr="00595D69">
        <w:rPr>
          <w:rFonts w:cs="Arial"/>
          <w:sz w:val="21"/>
          <w:szCs w:val="21"/>
          <w:shd w:val="clear" w:color="auto" w:fill="FFFFFF"/>
        </w:rPr>
        <w:t xml:space="preserve"> Hull CCG. We have been able to do this because we have had such a forward-thinking governing body. I think the culture we have built has gone beyond the walls of the organisation and people are proud of working here, proud of what’s been achieved and want the best for people in the city. </w:t>
      </w:r>
      <w:r w:rsidRPr="00595D69">
        <w:rPr>
          <w:rFonts w:cs="Arial"/>
          <w:sz w:val="21"/>
          <w:szCs w:val="21"/>
        </w:rPr>
        <w:t>We have established relationships with local partners that have grown and matured over recent years, putting the Humber and North Yorkshire Integrated Care Board on a good footing as it takes on</w:t>
      </w:r>
      <w:r>
        <w:rPr>
          <w:rFonts w:cs="Arial"/>
          <w:sz w:val="21"/>
          <w:szCs w:val="21"/>
        </w:rPr>
        <w:t xml:space="preserve"> the</w:t>
      </w:r>
      <w:r w:rsidRPr="00595D69">
        <w:rPr>
          <w:rFonts w:cs="Arial"/>
          <w:sz w:val="21"/>
          <w:szCs w:val="21"/>
        </w:rPr>
        <w:t xml:space="preserve"> statutory responsibility from 1 July 2022.</w:t>
      </w:r>
    </w:p>
    <w:p w14:paraId="114D24BD" w14:textId="70358365" w:rsidR="00595D69" w:rsidRPr="00595D69" w:rsidRDefault="00595D69" w:rsidP="00595D69">
      <w:pPr>
        <w:rPr>
          <w:rFonts w:cs="Arial"/>
          <w:sz w:val="21"/>
          <w:szCs w:val="21"/>
        </w:rPr>
      </w:pPr>
      <w:r w:rsidRPr="00595D69">
        <w:rPr>
          <w:rFonts w:cs="Arial"/>
          <w:sz w:val="21"/>
          <w:szCs w:val="21"/>
        </w:rPr>
        <w:t xml:space="preserve">2021-22 has continued to be a challenging year for the NHS, but the local health system has pulled together to deliver for our patients - which is testament to all who work in it. We are under no illusions that the recovery of elective services will continue for some time yet. In addition, our Primary Care Networks have been outstanding in responding so quickly to the huge demand for booster vaccines in the couple of weeks before Christmas - and managing this demand into 2022. Although COVID is not over, and we still have some restrictions remaining in NHS settings, I hope that people have been able to revert to more normality in their lives. </w:t>
      </w:r>
    </w:p>
    <w:p w14:paraId="57871DE2" w14:textId="77777777" w:rsidR="00595D69" w:rsidRPr="00595D69" w:rsidRDefault="00595D69" w:rsidP="00595D69">
      <w:pPr>
        <w:shd w:val="clear" w:color="auto" w:fill="FFFFFF"/>
        <w:spacing w:after="300"/>
        <w:textAlignment w:val="baseline"/>
        <w:rPr>
          <w:rFonts w:eastAsia="Times New Roman" w:cs="Arial"/>
          <w:sz w:val="21"/>
          <w:szCs w:val="21"/>
        </w:rPr>
      </w:pPr>
      <w:bookmarkStart w:id="4" w:name="_Hlk103694651"/>
      <w:r w:rsidRPr="00595D69">
        <w:rPr>
          <w:rFonts w:eastAsia="Times New Roman" w:cs="Arial"/>
          <w:sz w:val="21"/>
          <w:szCs w:val="21"/>
        </w:rPr>
        <w:t>We had the sad news of Jean Bishop’s death at age 99 on 3 October 2021. Hull’s Bee Lady will be much missed by everyone, but Jean’s legacy will live on in the Jean Bishop Integrated Care Centre. The Centre has gone from strength to strength in its first five years, offering the best experience of care for frail and vulnerable people. I was proud it could continue to support people in care homes and in the community during the pandemic.</w:t>
      </w:r>
      <w:bookmarkEnd w:id="4"/>
      <w:r w:rsidRPr="00595D69">
        <w:rPr>
          <w:rFonts w:eastAsia="Times New Roman" w:cs="Arial"/>
          <w:i/>
          <w:iCs/>
          <w:sz w:val="21"/>
          <w:szCs w:val="21"/>
        </w:rPr>
        <w:t xml:space="preserve"> </w:t>
      </w:r>
    </w:p>
    <w:p w14:paraId="75923BEB" w14:textId="615F8C6B" w:rsidR="00595D69" w:rsidRPr="00595D69" w:rsidRDefault="00B24141" w:rsidP="00595D69">
      <w:pPr>
        <w:rPr>
          <w:rFonts w:cs="Arial"/>
          <w:sz w:val="21"/>
          <w:szCs w:val="21"/>
        </w:rPr>
      </w:pPr>
      <w:r>
        <w:rPr>
          <w:rFonts w:cs="Arial"/>
          <w:sz w:val="21"/>
          <w:szCs w:val="21"/>
        </w:rPr>
        <w:t>We</w:t>
      </w:r>
      <w:r w:rsidR="00595D69" w:rsidRPr="00595D69">
        <w:rPr>
          <w:rFonts w:cs="Arial"/>
          <w:sz w:val="21"/>
          <w:szCs w:val="21"/>
        </w:rPr>
        <w:t xml:space="preserve"> said goodbye to Dr Dan Roper in March. Dan has been with us throughout the whole CCG journey. He’s been a figurehead for Hull, </w:t>
      </w:r>
      <w:r>
        <w:rPr>
          <w:rFonts w:cs="Arial"/>
          <w:sz w:val="21"/>
          <w:szCs w:val="21"/>
        </w:rPr>
        <w:t xml:space="preserve">as well as </w:t>
      </w:r>
      <w:r w:rsidR="00595D69" w:rsidRPr="00595D69">
        <w:rPr>
          <w:rFonts w:cs="Arial"/>
          <w:sz w:val="21"/>
          <w:szCs w:val="21"/>
        </w:rPr>
        <w:t xml:space="preserve">for the CCG, and such a well-respected and admired local GP. He has put heart and soul into serving the people of Hull – firstly as a doctor and then doing all he could to bring about better, more positive life experiences for people. We are so thankful for his contribution and what he’s achieved with his clinical leadership. On behalf of the CCG Board I wish him a long and happy retirement! </w:t>
      </w:r>
    </w:p>
    <w:p w14:paraId="7940D10E" w14:textId="49259DB2" w:rsidR="005C4C90" w:rsidRPr="00595D69" w:rsidRDefault="00B24141" w:rsidP="00595D69">
      <w:pPr>
        <w:rPr>
          <w:rFonts w:ascii="Calibri" w:hAnsi="Calibri" w:cs="Calibri"/>
          <w:sz w:val="21"/>
          <w:szCs w:val="21"/>
        </w:rPr>
      </w:pPr>
      <w:r>
        <w:rPr>
          <w:sz w:val="21"/>
          <w:szCs w:val="21"/>
        </w:rPr>
        <w:t>And finally, t</w:t>
      </w:r>
      <w:r w:rsidR="00595D69" w:rsidRPr="00595D69">
        <w:rPr>
          <w:sz w:val="21"/>
          <w:szCs w:val="21"/>
        </w:rPr>
        <w:t xml:space="preserve">hanks as always, to our CCG staff, Board members, Lay members, GPs and their practice teams and our local voluntary sector for everything they have done in this last year to improve the health and lives of people in Hull. </w:t>
      </w:r>
    </w:p>
    <w:p w14:paraId="7AF7C23B" w14:textId="77777777" w:rsidR="00ED7402" w:rsidRPr="00595D69" w:rsidRDefault="00ED7402" w:rsidP="00B66DE2">
      <w:pPr>
        <w:spacing w:before="0" w:after="0" w:line="240" w:lineRule="auto"/>
        <w:rPr>
          <w:rFonts w:cs="Arial"/>
          <w:b/>
          <w:bCs/>
        </w:rPr>
      </w:pPr>
    </w:p>
    <w:p w14:paraId="46A105D7" w14:textId="2F842121" w:rsidR="005C4C90" w:rsidRPr="00595D69" w:rsidRDefault="005C4C90" w:rsidP="00B66DE2">
      <w:pPr>
        <w:spacing w:before="0" w:after="0" w:line="240" w:lineRule="auto"/>
        <w:rPr>
          <w:rFonts w:cs="Arial"/>
          <w:b/>
          <w:bCs/>
        </w:rPr>
      </w:pPr>
      <w:r w:rsidRPr="00595D69">
        <w:rPr>
          <w:rFonts w:cs="Arial"/>
          <w:b/>
          <w:bCs/>
        </w:rPr>
        <w:t>Emma Latimer</w:t>
      </w:r>
    </w:p>
    <w:p w14:paraId="2A69D768" w14:textId="77777777" w:rsidR="005C4C90" w:rsidRPr="00595D69" w:rsidRDefault="005C4C90" w:rsidP="00B66DE2">
      <w:pPr>
        <w:spacing w:before="0" w:after="0" w:line="240" w:lineRule="auto"/>
        <w:rPr>
          <w:rFonts w:cs="Arial"/>
          <w:b/>
          <w:bCs/>
        </w:rPr>
      </w:pPr>
      <w:r w:rsidRPr="00595D69">
        <w:rPr>
          <w:rFonts w:cs="Arial"/>
          <w:b/>
          <w:bCs/>
        </w:rPr>
        <w:t>NHS Hull CCG Accountable Officer</w:t>
      </w:r>
    </w:p>
    <w:p w14:paraId="6EA5079D" w14:textId="5189EA00" w:rsidR="00F46CE6" w:rsidRDefault="0040639B" w:rsidP="00B66DE2">
      <w:pPr>
        <w:pStyle w:val="Heading3"/>
        <w:spacing w:before="0"/>
      </w:pPr>
      <w:r w:rsidRPr="00595D69">
        <w:rPr>
          <w:rFonts w:cs="Arial"/>
          <w:color w:val="365F91" w:themeColor="accent1" w:themeShade="BF"/>
          <w:sz w:val="22"/>
        </w:rPr>
        <w:br w:type="page"/>
      </w:r>
      <w:bookmarkStart w:id="5" w:name="_Toc103695012"/>
      <w:r w:rsidR="005C4C90" w:rsidRPr="00B14EE4">
        <w:lastRenderedPageBreak/>
        <w:t>Foreword from the CCG Chair</w:t>
      </w:r>
      <w:bookmarkEnd w:id="5"/>
    </w:p>
    <w:p w14:paraId="1E9CB2BB" w14:textId="788EE126" w:rsidR="00F46CE6" w:rsidRPr="005B04A8" w:rsidRDefault="00F46CE6" w:rsidP="005B04A8">
      <w:pPr>
        <w:rPr>
          <w:sz w:val="20"/>
          <w:szCs w:val="20"/>
        </w:rPr>
      </w:pPr>
      <w:r w:rsidRPr="005B04A8">
        <w:rPr>
          <w:sz w:val="20"/>
          <w:szCs w:val="20"/>
        </w:rPr>
        <w:drawing>
          <wp:anchor distT="0" distB="0" distL="114300" distR="114300" simplePos="0" relativeHeight="251695104" behindDoc="0" locked="0" layoutInCell="1" allowOverlap="1" wp14:anchorId="3174D299" wp14:editId="441BC62F">
            <wp:simplePos x="0" y="0"/>
            <wp:positionH relativeFrom="margin">
              <wp:align>left</wp:align>
            </wp:positionH>
            <wp:positionV relativeFrom="paragraph">
              <wp:posOffset>23495</wp:posOffset>
            </wp:positionV>
            <wp:extent cx="765175" cy="1148080"/>
            <wp:effectExtent l="0" t="0" r="0" b="0"/>
            <wp:wrapSquare wrapText="bothSides"/>
            <wp:docPr id="1" name="Picture 1"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rson smiling&#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5175" cy="1148080"/>
                    </a:xfrm>
                    <a:prstGeom prst="rect">
                      <a:avLst/>
                    </a:prstGeom>
                  </pic:spPr>
                </pic:pic>
              </a:graphicData>
            </a:graphic>
          </wp:anchor>
        </w:drawing>
      </w:r>
      <w:r w:rsidRPr="005B04A8">
        <w:rPr>
          <w:sz w:val="20"/>
          <w:szCs w:val="20"/>
        </w:rPr>
        <w:t>As I sit down to write my last Chair’s foreword in the last Annual Report for Hull CCG, it is also one of my last acts as Chair of the CCG before I retire from my post on 31 March, and after 40 years in the NHS, enter the next phase of my life.</w:t>
      </w:r>
    </w:p>
    <w:p w14:paraId="7C816CB2" w14:textId="61AE8EAE" w:rsidR="00F46CE6" w:rsidRPr="00F46CE6" w:rsidRDefault="00F46CE6" w:rsidP="00F46CE6">
      <w:pPr>
        <w:rPr>
          <w:sz w:val="20"/>
          <w:szCs w:val="20"/>
        </w:rPr>
      </w:pPr>
      <w:r w:rsidRPr="00F46CE6">
        <w:rPr>
          <w:sz w:val="20"/>
          <w:szCs w:val="20"/>
        </w:rPr>
        <w:t xml:space="preserve">Clinical Commissioning Groups were introduced in 2013. There were over 200 of them and they were, in effect, the local offices of the NHS throughout England. Their role </w:t>
      </w:r>
      <w:bookmarkStart w:id="6" w:name="_Int_d73fAJPY"/>
      <w:r w:rsidRPr="00F46CE6">
        <w:rPr>
          <w:sz w:val="20"/>
          <w:szCs w:val="20"/>
        </w:rPr>
        <w:t>was</w:t>
      </w:r>
      <w:bookmarkEnd w:id="6"/>
      <w:r w:rsidRPr="00F46CE6">
        <w:rPr>
          <w:sz w:val="20"/>
          <w:szCs w:val="20"/>
        </w:rPr>
        <w:t xml:space="preserve"> to identify the health needs of their populations and use the resources allocated to them to procure the best possible health care provision from Primary, Secondary, Community and Mental Health Care.</w:t>
      </w:r>
    </w:p>
    <w:p w14:paraId="0C33F4C9" w14:textId="204AE3FC" w:rsidR="00F46CE6" w:rsidRPr="00D326D4" w:rsidRDefault="00F46CE6" w:rsidP="00F46CE6">
      <w:pPr>
        <w:rPr>
          <w:sz w:val="20"/>
          <w:szCs w:val="20"/>
        </w:rPr>
      </w:pPr>
      <w:r w:rsidRPr="00D326D4">
        <w:rPr>
          <w:sz w:val="20"/>
          <w:szCs w:val="20"/>
        </w:rPr>
        <w:t>Clinical Commissioning Groups are not being abolished because of lack of success, perceived or otherwise. We are moving back to a system where more is organised at a larger geographical level</w:t>
      </w:r>
      <w:r w:rsidR="00D04C55" w:rsidRPr="00D326D4">
        <w:rPr>
          <w:sz w:val="20"/>
          <w:szCs w:val="20"/>
        </w:rPr>
        <w:t xml:space="preserve"> through the Integrated Care Board, though there will still be a strong focus at ‘Place’.</w:t>
      </w:r>
    </w:p>
    <w:p w14:paraId="404269E8" w14:textId="060D288B" w:rsidR="00F46CE6" w:rsidRPr="00D326D4" w:rsidRDefault="00D04C55" w:rsidP="00F46CE6">
      <w:pPr>
        <w:rPr>
          <w:sz w:val="20"/>
          <w:szCs w:val="20"/>
        </w:rPr>
      </w:pPr>
      <w:r w:rsidRPr="00D326D4">
        <w:rPr>
          <w:sz w:val="20"/>
          <w:szCs w:val="20"/>
        </w:rPr>
        <w:t>Whilst the outcome</w:t>
      </w:r>
      <w:r w:rsidR="00F46CE6" w:rsidRPr="00D326D4">
        <w:rPr>
          <w:sz w:val="20"/>
          <w:szCs w:val="20"/>
        </w:rPr>
        <w:t xml:space="preserve"> </w:t>
      </w:r>
      <w:r w:rsidRPr="00D326D4">
        <w:rPr>
          <w:sz w:val="20"/>
          <w:szCs w:val="20"/>
        </w:rPr>
        <w:t xml:space="preserve">the </w:t>
      </w:r>
      <w:r w:rsidR="00F46CE6" w:rsidRPr="00D326D4">
        <w:rPr>
          <w:sz w:val="20"/>
          <w:szCs w:val="20"/>
        </w:rPr>
        <w:t xml:space="preserve">changes </w:t>
      </w:r>
      <w:r w:rsidR="00C93423" w:rsidRPr="00D326D4">
        <w:rPr>
          <w:sz w:val="20"/>
          <w:szCs w:val="20"/>
        </w:rPr>
        <w:t>are</w:t>
      </w:r>
      <w:r w:rsidR="00F46CE6" w:rsidRPr="00D326D4">
        <w:rPr>
          <w:sz w:val="20"/>
          <w:szCs w:val="20"/>
        </w:rPr>
        <w:t xml:space="preserve"> difficult to predict</w:t>
      </w:r>
      <w:r w:rsidRPr="00D326D4">
        <w:rPr>
          <w:sz w:val="20"/>
          <w:szCs w:val="20"/>
        </w:rPr>
        <w:t>,</w:t>
      </w:r>
      <w:r w:rsidR="00F46CE6" w:rsidRPr="00D326D4">
        <w:rPr>
          <w:sz w:val="20"/>
          <w:szCs w:val="20"/>
        </w:rPr>
        <w:t xml:space="preserve"> </w:t>
      </w:r>
      <w:r w:rsidRPr="00D326D4">
        <w:rPr>
          <w:sz w:val="20"/>
          <w:szCs w:val="20"/>
        </w:rPr>
        <w:t>i</w:t>
      </w:r>
      <w:r w:rsidR="00F46CE6" w:rsidRPr="00D326D4">
        <w:rPr>
          <w:sz w:val="20"/>
          <w:szCs w:val="20"/>
        </w:rPr>
        <w:t xml:space="preserve">t is hoped they will drive integration and improve quality and innovation across the Humber and </w:t>
      </w:r>
      <w:r w:rsidRPr="00D326D4">
        <w:rPr>
          <w:sz w:val="20"/>
          <w:szCs w:val="20"/>
        </w:rPr>
        <w:t xml:space="preserve">North </w:t>
      </w:r>
      <w:r w:rsidR="00F46CE6" w:rsidRPr="00D326D4">
        <w:rPr>
          <w:sz w:val="20"/>
          <w:szCs w:val="20"/>
        </w:rPr>
        <w:t>Yorkshire area.</w:t>
      </w:r>
    </w:p>
    <w:p w14:paraId="4EE5CD89" w14:textId="6D73013A" w:rsidR="00F46CE6" w:rsidRPr="00F46CE6" w:rsidRDefault="00F46CE6" w:rsidP="00F46CE6">
      <w:pPr>
        <w:rPr>
          <w:sz w:val="20"/>
          <w:szCs w:val="20"/>
        </w:rPr>
      </w:pPr>
      <w:r w:rsidRPr="00D326D4">
        <w:rPr>
          <w:sz w:val="20"/>
          <w:szCs w:val="20"/>
        </w:rPr>
        <w:t xml:space="preserve">CCGs have been a bold experiment in placing clinicians – in this case General Practitioners – working with expert colleagues in </w:t>
      </w:r>
      <w:r w:rsidR="006F2759" w:rsidRPr="00D326D4">
        <w:rPr>
          <w:sz w:val="20"/>
          <w:szCs w:val="20"/>
        </w:rPr>
        <w:t>c</w:t>
      </w:r>
      <w:r w:rsidRPr="00D326D4">
        <w:rPr>
          <w:sz w:val="20"/>
          <w:szCs w:val="20"/>
        </w:rPr>
        <w:t>ommissioning services – at the forefront in the decision-making processes, allocating resources in a</w:t>
      </w:r>
      <w:r w:rsidRPr="00F46CE6">
        <w:rPr>
          <w:sz w:val="20"/>
          <w:szCs w:val="20"/>
        </w:rPr>
        <w:t xml:space="preserve"> way that frontline doctors think will benefit patients.   </w:t>
      </w:r>
    </w:p>
    <w:p w14:paraId="78A52203" w14:textId="311DA4A3" w:rsidR="00F46CE6" w:rsidRPr="00F46CE6" w:rsidRDefault="00F46CE6" w:rsidP="00F46CE6">
      <w:pPr>
        <w:rPr>
          <w:sz w:val="20"/>
          <w:szCs w:val="20"/>
        </w:rPr>
      </w:pPr>
      <w:r w:rsidRPr="00F46CE6">
        <w:rPr>
          <w:sz w:val="20"/>
          <w:szCs w:val="20"/>
        </w:rPr>
        <w:t>NHS Hull CCG has taken a major role in public sector leadership</w:t>
      </w:r>
      <w:r w:rsidR="006F2759">
        <w:rPr>
          <w:sz w:val="20"/>
          <w:szCs w:val="20"/>
        </w:rPr>
        <w:t>.</w:t>
      </w:r>
      <w:r w:rsidRPr="00F46CE6">
        <w:rPr>
          <w:sz w:val="20"/>
          <w:szCs w:val="20"/>
        </w:rPr>
        <w:t xml:space="preserve"> </w:t>
      </w:r>
      <w:r w:rsidR="006F2759">
        <w:rPr>
          <w:sz w:val="20"/>
          <w:szCs w:val="20"/>
        </w:rPr>
        <w:t>O</w:t>
      </w:r>
      <w:r w:rsidRPr="00F46CE6">
        <w:rPr>
          <w:sz w:val="20"/>
          <w:szCs w:val="20"/>
        </w:rPr>
        <w:t xml:space="preserve">ver the past decade we have worked closely with health care </w:t>
      </w:r>
      <w:r w:rsidR="006F2759">
        <w:rPr>
          <w:sz w:val="20"/>
          <w:szCs w:val="20"/>
        </w:rPr>
        <w:t>p</w:t>
      </w:r>
      <w:r w:rsidRPr="00F46CE6">
        <w:rPr>
          <w:sz w:val="20"/>
          <w:szCs w:val="20"/>
        </w:rPr>
        <w:t xml:space="preserve">rovider colleagues, our </w:t>
      </w:r>
      <w:r w:rsidR="006F2759">
        <w:rPr>
          <w:sz w:val="20"/>
          <w:szCs w:val="20"/>
        </w:rPr>
        <w:t>l</w:t>
      </w:r>
      <w:r w:rsidRPr="00F46CE6">
        <w:rPr>
          <w:sz w:val="20"/>
          <w:szCs w:val="20"/>
        </w:rPr>
        <w:t xml:space="preserve">ocal </w:t>
      </w:r>
      <w:r w:rsidR="006F2759">
        <w:rPr>
          <w:sz w:val="20"/>
          <w:szCs w:val="20"/>
        </w:rPr>
        <w:t>a</w:t>
      </w:r>
      <w:r w:rsidRPr="00F46CE6">
        <w:rPr>
          <w:sz w:val="20"/>
          <w:szCs w:val="20"/>
        </w:rPr>
        <w:t xml:space="preserve">uthority, </w:t>
      </w:r>
      <w:r w:rsidR="006F2759">
        <w:rPr>
          <w:sz w:val="20"/>
          <w:szCs w:val="20"/>
        </w:rPr>
        <w:t>p</w:t>
      </w:r>
      <w:r w:rsidRPr="00F46CE6">
        <w:rPr>
          <w:sz w:val="20"/>
          <w:szCs w:val="20"/>
        </w:rPr>
        <w:t xml:space="preserve">olice, </w:t>
      </w:r>
      <w:r w:rsidR="006F2759">
        <w:rPr>
          <w:sz w:val="20"/>
          <w:szCs w:val="20"/>
        </w:rPr>
        <w:t>f</w:t>
      </w:r>
      <w:r w:rsidRPr="00F46CE6">
        <w:rPr>
          <w:sz w:val="20"/>
          <w:szCs w:val="20"/>
        </w:rPr>
        <w:t xml:space="preserve">ire, </w:t>
      </w:r>
      <w:r w:rsidR="006F2759">
        <w:rPr>
          <w:sz w:val="20"/>
          <w:szCs w:val="20"/>
        </w:rPr>
        <w:t>a</w:t>
      </w:r>
      <w:r w:rsidRPr="00F46CE6">
        <w:rPr>
          <w:sz w:val="20"/>
          <w:szCs w:val="20"/>
        </w:rPr>
        <w:t xml:space="preserve">mbulance, the voluntary sector, schools, academies and the </w:t>
      </w:r>
      <w:r w:rsidR="006F2759">
        <w:rPr>
          <w:sz w:val="20"/>
          <w:szCs w:val="20"/>
        </w:rPr>
        <w:t>u</w:t>
      </w:r>
      <w:r w:rsidRPr="00F46CE6">
        <w:rPr>
          <w:sz w:val="20"/>
          <w:szCs w:val="20"/>
        </w:rPr>
        <w:t>niversity. Too many people to thank and too many projects to mention, but they are all there in our previous reports for you to read.</w:t>
      </w:r>
    </w:p>
    <w:p w14:paraId="701F045E" w14:textId="5941D7C1" w:rsidR="00F46CE6" w:rsidRPr="00F46CE6" w:rsidRDefault="00F46CE6" w:rsidP="00F46CE6">
      <w:pPr>
        <w:rPr>
          <w:sz w:val="20"/>
          <w:szCs w:val="20"/>
        </w:rPr>
      </w:pPr>
      <w:r w:rsidRPr="00F46CE6">
        <w:rPr>
          <w:sz w:val="20"/>
          <w:szCs w:val="20"/>
        </w:rPr>
        <w:t>The overall feeling gained from that work was of a worthwhile joint enterprise undertaken enthusiastically and passionately, knowing full well how difficult it would be and how long it would take. We have done much but there is still much left to do.</w:t>
      </w:r>
      <w:r>
        <w:rPr>
          <w:sz w:val="20"/>
          <w:szCs w:val="20"/>
        </w:rPr>
        <w:t xml:space="preserve"> </w:t>
      </w:r>
      <w:r w:rsidRPr="00F46CE6">
        <w:rPr>
          <w:sz w:val="20"/>
          <w:szCs w:val="20"/>
        </w:rPr>
        <w:t>New groups and bodies will oversee that work, but what made our partnerships special was that they were locally focused, locally resourced, delivered by those working in the area for those living in the area</w:t>
      </w:r>
      <w:r w:rsidR="006F2759">
        <w:rPr>
          <w:sz w:val="20"/>
          <w:szCs w:val="20"/>
        </w:rPr>
        <w:t>.</w:t>
      </w:r>
      <w:r w:rsidRPr="00F46CE6">
        <w:rPr>
          <w:sz w:val="20"/>
          <w:szCs w:val="20"/>
        </w:rPr>
        <w:t xml:space="preserve">     </w:t>
      </w:r>
    </w:p>
    <w:p w14:paraId="70F790A4" w14:textId="7D12F0EB" w:rsidR="00F46CE6" w:rsidRPr="00F46CE6" w:rsidRDefault="00F46CE6" w:rsidP="00F46CE6">
      <w:pPr>
        <w:rPr>
          <w:sz w:val="20"/>
          <w:szCs w:val="20"/>
        </w:rPr>
      </w:pPr>
      <w:r w:rsidRPr="00F46CE6">
        <w:rPr>
          <w:sz w:val="20"/>
          <w:szCs w:val="20"/>
        </w:rPr>
        <w:t xml:space="preserve">Over the last two years we have not been able to meet with as many of the citizens of Hull as we would have liked to. One of the great pleasures of my job (and I think that I also speak for colleagues) was meeting as many of you as possible at our AGMs and public meetings. Seeing the work of the CCG in action. </w:t>
      </w:r>
    </w:p>
    <w:p w14:paraId="6474E594" w14:textId="4DFEFF73" w:rsidR="00F46CE6" w:rsidRPr="00F46CE6" w:rsidRDefault="00F46CE6" w:rsidP="00F46CE6">
      <w:pPr>
        <w:rPr>
          <w:sz w:val="20"/>
          <w:szCs w:val="20"/>
        </w:rPr>
      </w:pPr>
      <w:r w:rsidRPr="00F46CE6">
        <w:rPr>
          <w:sz w:val="20"/>
          <w:szCs w:val="20"/>
        </w:rPr>
        <w:t xml:space="preserve">Two developments last year gave me special satisfaction. </w:t>
      </w:r>
      <w:bookmarkStart w:id="7" w:name="_Hlk98936902"/>
      <w:r w:rsidRPr="00F46CE6">
        <w:rPr>
          <w:sz w:val="20"/>
          <w:szCs w:val="20"/>
        </w:rPr>
        <w:t xml:space="preserve">In June 2021 Hull CCG was awarded CCG of Sanctuary status for our work with migrants and asylum seekers. </w:t>
      </w:r>
      <w:bookmarkEnd w:id="7"/>
      <w:r w:rsidRPr="00F46CE6">
        <w:rPr>
          <w:sz w:val="20"/>
          <w:szCs w:val="20"/>
        </w:rPr>
        <w:t>I want to say a special thanks to everyone who was involved in that</w:t>
      </w:r>
      <w:r w:rsidR="006F2759">
        <w:rPr>
          <w:sz w:val="20"/>
          <w:szCs w:val="20"/>
        </w:rPr>
        <w:t>.</w:t>
      </w:r>
      <w:r w:rsidRPr="00F46CE6">
        <w:rPr>
          <w:sz w:val="20"/>
          <w:szCs w:val="20"/>
        </w:rPr>
        <w:t xml:space="preserve"> </w:t>
      </w:r>
    </w:p>
    <w:p w14:paraId="73983E4C" w14:textId="4A9AADAD" w:rsidR="00F46CE6" w:rsidRPr="00F46CE6" w:rsidRDefault="00F46CE6" w:rsidP="00F46CE6">
      <w:pPr>
        <w:rPr>
          <w:sz w:val="20"/>
          <w:szCs w:val="20"/>
        </w:rPr>
      </w:pPr>
      <w:r w:rsidRPr="00F46CE6">
        <w:rPr>
          <w:sz w:val="20"/>
          <w:szCs w:val="20"/>
        </w:rPr>
        <w:t>The second was the opening of the West Hull Health Hub after many attempts at developing a facility for that area over several years. It is a wonderful building and a real asset that will provide the dedicated doctors and their staff the best working conditions and a much better environment for patients</w:t>
      </w:r>
      <w:r w:rsidR="006F2759">
        <w:rPr>
          <w:sz w:val="20"/>
          <w:szCs w:val="20"/>
        </w:rPr>
        <w:t>.</w:t>
      </w:r>
      <w:r w:rsidRPr="00F46CE6">
        <w:rPr>
          <w:sz w:val="20"/>
          <w:szCs w:val="20"/>
        </w:rPr>
        <w:t xml:space="preserve">  </w:t>
      </w:r>
    </w:p>
    <w:p w14:paraId="329ADA27" w14:textId="77777777" w:rsidR="00F46CE6" w:rsidRPr="00F46CE6" w:rsidRDefault="00F46CE6" w:rsidP="00F46CE6">
      <w:pPr>
        <w:rPr>
          <w:sz w:val="20"/>
          <w:szCs w:val="20"/>
        </w:rPr>
      </w:pPr>
      <w:r w:rsidRPr="00F46CE6">
        <w:rPr>
          <w:sz w:val="20"/>
          <w:szCs w:val="20"/>
        </w:rPr>
        <w:t xml:space="preserve">It’s been my pleasure to work with, by and large, the same group of staff, senior managers and executives for the last 9 years or so. You are an incredibly dedicated team right from the top - to the not quite the top -there is not a bottom in our organisation! </w:t>
      </w:r>
    </w:p>
    <w:p w14:paraId="79AFDD69" w14:textId="5539EEE5" w:rsidR="00F46CE6" w:rsidRPr="00F46CE6" w:rsidRDefault="00F46CE6" w:rsidP="00F46CE6">
      <w:pPr>
        <w:rPr>
          <w:sz w:val="20"/>
          <w:szCs w:val="20"/>
        </w:rPr>
      </w:pPr>
      <w:r w:rsidRPr="00F46CE6">
        <w:rPr>
          <w:sz w:val="20"/>
          <w:szCs w:val="20"/>
        </w:rPr>
        <w:t>You have kept me and other colleagues very much on the right path and I know as a team we have derived a great deal of pleasure and satisfaction from what we have done, although it has not been without its trials and tribulations. I know you will continue to strive on behalf of the people of Hull.</w:t>
      </w:r>
    </w:p>
    <w:p w14:paraId="6ACDFDC7" w14:textId="2B05A9F4" w:rsidR="00F46CE6" w:rsidRPr="00F46CE6" w:rsidRDefault="00F46CE6" w:rsidP="00F46CE6">
      <w:pPr>
        <w:rPr>
          <w:sz w:val="20"/>
          <w:szCs w:val="20"/>
        </w:rPr>
      </w:pPr>
      <w:r w:rsidRPr="00F46CE6">
        <w:rPr>
          <w:sz w:val="20"/>
          <w:szCs w:val="20"/>
        </w:rPr>
        <w:t>So, it’s goodbye from the CCG and myself and I wish you all the very best for the future</w:t>
      </w:r>
      <w:r w:rsidR="006F2759">
        <w:rPr>
          <w:sz w:val="20"/>
          <w:szCs w:val="20"/>
        </w:rPr>
        <w:t>.</w:t>
      </w:r>
      <w:r w:rsidRPr="00F46CE6">
        <w:rPr>
          <w:sz w:val="20"/>
          <w:szCs w:val="20"/>
        </w:rPr>
        <w:t xml:space="preserve"> </w:t>
      </w:r>
    </w:p>
    <w:p w14:paraId="606D9ED6" w14:textId="3A0B623F" w:rsidR="002E52F0" w:rsidRPr="00F46CE6" w:rsidRDefault="00CC42BE" w:rsidP="00B66DE2">
      <w:pPr>
        <w:spacing w:before="0" w:after="0" w:line="240" w:lineRule="auto"/>
        <w:rPr>
          <w:rFonts w:cs="Arial"/>
          <w:b/>
          <w:bCs/>
          <w:sz w:val="20"/>
          <w:szCs w:val="20"/>
        </w:rPr>
      </w:pPr>
      <w:r w:rsidRPr="00F46CE6">
        <w:rPr>
          <w:rFonts w:eastAsia="Arial" w:cs="Arial"/>
          <w:b/>
          <w:bCs/>
          <w:spacing w:val="-1"/>
          <w:sz w:val="20"/>
          <w:szCs w:val="20"/>
        </w:rPr>
        <w:t>Dr Dan Roper</w:t>
      </w:r>
      <w:r w:rsidR="00C36F64" w:rsidRPr="00F46CE6">
        <w:rPr>
          <w:rFonts w:eastAsia="Arial" w:cs="Arial"/>
          <w:b/>
          <w:bCs/>
          <w:spacing w:val="-1"/>
          <w:sz w:val="20"/>
          <w:szCs w:val="20"/>
        </w:rPr>
        <w:t xml:space="preserve"> </w:t>
      </w:r>
    </w:p>
    <w:p w14:paraId="2AB8C694" w14:textId="315D8548" w:rsidR="002E52F0" w:rsidRPr="0094386E" w:rsidRDefault="00075F52" w:rsidP="00B66DE2">
      <w:pPr>
        <w:tabs>
          <w:tab w:val="clear" w:pos="2835"/>
          <w:tab w:val="clear" w:pos="5670"/>
          <w:tab w:val="clear" w:pos="9016"/>
        </w:tabs>
        <w:spacing w:before="0" w:after="0" w:line="240" w:lineRule="auto"/>
        <w:rPr>
          <w:rFonts w:eastAsia="Arial" w:cs="Arial"/>
          <w:spacing w:val="1"/>
          <w:sz w:val="16"/>
          <w:szCs w:val="16"/>
        </w:rPr>
      </w:pPr>
      <w:r w:rsidRPr="00F46CE6">
        <w:rPr>
          <w:rFonts w:eastAsia="Arial" w:cs="Arial"/>
          <w:b/>
          <w:bCs/>
          <w:spacing w:val="1"/>
          <w:sz w:val="20"/>
          <w:szCs w:val="20"/>
        </w:rPr>
        <w:t xml:space="preserve">NHS Hull </w:t>
      </w:r>
      <w:r w:rsidR="002E52F0" w:rsidRPr="00F46CE6">
        <w:rPr>
          <w:rFonts w:eastAsia="Arial" w:cs="Arial"/>
          <w:b/>
          <w:bCs/>
          <w:sz w:val="20"/>
          <w:szCs w:val="20"/>
        </w:rPr>
        <w:t>CCG</w:t>
      </w:r>
      <w:r w:rsidR="002E52F0" w:rsidRPr="00F46CE6">
        <w:rPr>
          <w:rFonts w:eastAsia="Arial" w:cs="Arial"/>
          <w:b/>
          <w:bCs/>
          <w:spacing w:val="-3"/>
          <w:sz w:val="20"/>
          <w:szCs w:val="20"/>
        </w:rPr>
        <w:t xml:space="preserve"> </w:t>
      </w:r>
      <w:r w:rsidR="002E52F0" w:rsidRPr="00F46CE6">
        <w:rPr>
          <w:rFonts w:eastAsia="Arial" w:cs="Arial"/>
          <w:b/>
          <w:bCs/>
          <w:sz w:val="20"/>
          <w:szCs w:val="20"/>
        </w:rPr>
        <w:t>Ch</w:t>
      </w:r>
      <w:r w:rsidR="00CC42BE" w:rsidRPr="00F46CE6">
        <w:rPr>
          <w:rFonts w:eastAsia="Arial" w:cs="Arial"/>
          <w:b/>
          <w:bCs/>
          <w:spacing w:val="1"/>
          <w:sz w:val="20"/>
          <w:szCs w:val="20"/>
        </w:rPr>
        <w:t>air</w:t>
      </w:r>
      <w:r w:rsidR="005C4C90" w:rsidRPr="0094386E">
        <w:rPr>
          <w:rFonts w:cs="Arial"/>
          <w:sz w:val="16"/>
          <w:szCs w:val="16"/>
        </w:rPr>
        <w:t xml:space="preserve">                                                                                                                                                                                                                                                                                                                                                                                                                                                                                                                                                                                                    </w:t>
      </w:r>
    </w:p>
    <w:p w14:paraId="3C3DE2DB" w14:textId="77777777" w:rsidR="00DA06E8" w:rsidRPr="00A558A4" w:rsidRDefault="004D61F7" w:rsidP="00B66DE2">
      <w:pPr>
        <w:tabs>
          <w:tab w:val="clear" w:pos="2835"/>
          <w:tab w:val="clear" w:pos="5670"/>
          <w:tab w:val="clear" w:pos="9016"/>
        </w:tabs>
        <w:spacing w:before="0" w:after="200" w:line="240" w:lineRule="auto"/>
        <w:rPr>
          <w:rFonts w:eastAsia="Arial" w:cs="Arial"/>
        </w:rPr>
      </w:pPr>
      <w:r w:rsidRPr="00A558A4">
        <w:rPr>
          <w:rFonts w:eastAsia="Arial" w:cs="Arial"/>
        </w:rPr>
        <w:br w:type="page"/>
      </w:r>
    </w:p>
    <w:sdt>
      <w:sdtPr>
        <w:rPr>
          <w:rFonts w:eastAsiaTheme="minorEastAsia" w:cstheme="minorBidi"/>
          <w:b w:val="0"/>
          <w:bCs w:val="0"/>
          <w:color w:val="auto"/>
          <w:spacing w:val="0"/>
          <w:sz w:val="22"/>
          <w:lang w:val="en-GB" w:eastAsia="en-GB"/>
        </w:rPr>
        <w:id w:val="-190071407"/>
        <w:docPartObj>
          <w:docPartGallery w:val="Table of Contents"/>
          <w:docPartUnique/>
        </w:docPartObj>
      </w:sdtPr>
      <w:sdtEndPr/>
      <w:sdtContent>
        <w:p w14:paraId="2D34C686" w14:textId="77777777" w:rsidR="0040639B" w:rsidRDefault="0040639B" w:rsidP="00B66DE2">
          <w:pPr>
            <w:pStyle w:val="TOCHeading"/>
          </w:pPr>
          <w:r>
            <w:t>Contents</w:t>
          </w:r>
        </w:p>
        <w:p w14:paraId="1F386F5F" w14:textId="6E518BF6" w:rsidR="00F714B7" w:rsidRDefault="0040639B">
          <w:pPr>
            <w:pStyle w:val="TOC1"/>
            <w:rPr>
              <w:rFonts w:asciiTheme="minorHAnsi" w:eastAsiaTheme="minorEastAsia" w:hAnsiTheme="minorHAnsi" w:cstheme="minorBidi"/>
              <w:bCs w:val="0"/>
            </w:rPr>
          </w:pPr>
          <w:r>
            <w:fldChar w:fldCharType="begin"/>
          </w:r>
          <w:r>
            <w:instrText xml:space="preserve"> TOC \o "1-3" \h \z \u </w:instrText>
          </w:r>
          <w:r>
            <w:fldChar w:fldCharType="separate"/>
          </w:r>
          <w:hyperlink w:anchor="_Toc103695010" w:history="1">
            <w:r w:rsidR="00F714B7" w:rsidRPr="00265258">
              <w:rPr>
                <w:rStyle w:val="Hyperlink"/>
              </w:rPr>
              <w:t>NHS Hull Clinical Commissioning Group Annual Report and Accounts 2021-22</w:t>
            </w:r>
            <w:r w:rsidR="00F714B7">
              <w:rPr>
                <w:webHidden/>
              </w:rPr>
              <w:tab/>
            </w:r>
            <w:r w:rsidR="00F714B7">
              <w:rPr>
                <w:webHidden/>
              </w:rPr>
              <w:fldChar w:fldCharType="begin"/>
            </w:r>
            <w:r w:rsidR="00F714B7">
              <w:rPr>
                <w:webHidden/>
              </w:rPr>
              <w:instrText xml:space="preserve"> PAGEREF _Toc103695010 \h </w:instrText>
            </w:r>
            <w:r w:rsidR="00F714B7">
              <w:rPr>
                <w:webHidden/>
              </w:rPr>
            </w:r>
            <w:r w:rsidR="00F714B7">
              <w:rPr>
                <w:webHidden/>
              </w:rPr>
              <w:fldChar w:fldCharType="separate"/>
            </w:r>
            <w:r w:rsidR="00F714B7">
              <w:rPr>
                <w:webHidden/>
              </w:rPr>
              <w:t>1</w:t>
            </w:r>
            <w:r w:rsidR="00F714B7">
              <w:rPr>
                <w:webHidden/>
              </w:rPr>
              <w:fldChar w:fldCharType="end"/>
            </w:r>
          </w:hyperlink>
        </w:p>
        <w:p w14:paraId="53154B9A" w14:textId="4FB29E18" w:rsidR="00F714B7" w:rsidRDefault="006461E1">
          <w:pPr>
            <w:pStyle w:val="TOC2"/>
            <w:rPr>
              <w:rFonts w:asciiTheme="minorHAnsi" w:hAnsiTheme="minorHAnsi"/>
              <w:lang w:val="en-GB" w:eastAsia="en-GB"/>
            </w:rPr>
          </w:pPr>
          <w:hyperlink w:anchor="_Toc103695011" w:history="1">
            <w:r w:rsidR="00F714B7" w:rsidRPr="00265258">
              <w:rPr>
                <w:rStyle w:val="Hyperlink"/>
              </w:rPr>
              <w:t>Welcome from the Accountable Officer</w:t>
            </w:r>
            <w:r w:rsidR="00F714B7">
              <w:rPr>
                <w:webHidden/>
              </w:rPr>
              <w:tab/>
            </w:r>
            <w:r w:rsidR="00F714B7">
              <w:rPr>
                <w:webHidden/>
              </w:rPr>
              <w:fldChar w:fldCharType="begin"/>
            </w:r>
            <w:r w:rsidR="00F714B7">
              <w:rPr>
                <w:webHidden/>
              </w:rPr>
              <w:instrText xml:space="preserve"> PAGEREF _Toc103695011 \h </w:instrText>
            </w:r>
            <w:r w:rsidR="00F714B7">
              <w:rPr>
                <w:webHidden/>
              </w:rPr>
            </w:r>
            <w:r w:rsidR="00F714B7">
              <w:rPr>
                <w:webHidden/>
              </w:rPr>
              <w:fldChar w:fldCharType="separate"/>
            </w:r>
            <w:r w:rsidR="00F714B7">
              <w:rPr>
                <w:webHidden/>
              </w:rPr>
              <w:t>3</w:t>
            </w:r>
            <w:r w:rsidR="00F714B7">
              <w:rPr>
                <w:webHidden/>
              </w:rPr>
              <w:fldChar w:fldCharType="end"/>
            </w:r>
          </w:hyperlink>
        </w:p>
        <w:p w14:paraId="730246B5" w14:textId="4FD5CA52" w:rsidR="00F714B7" w:rsidRDefault="006461E1">
          <w:pPr>
            <w:pStyle w:val="TOC3"/>
            <w:rPr>
              <w:rFonts w:asciiTheme="minorHAnsi" w:hAnsiTheme="minorHAnsi"/>
              <w:lang w:val="en-GB" w:eastAsia="en-GB"/>
            </w:rPr>
          </w:pPr>
          <w:hyperlink w:anchor="_Toc103695012" w:history="1">
            <w:r w:rsidR="00F714B7" w:rsidRPr="00265258">
              <w:rPr>
                <w:rStyle w:val="Hyperlink"/>
              </w:rPr>
              <w:t>Foreword from the CCG Chair</w:t>
            </w:r>
            <w:r w:rsidR="00F714B7">
              <w:rPr>
                <w:webHidden/>
              </w:rPr>
              <w:tab/>
            </w:r>
            <w:r w:rsidR="00F714B7">
              <w:rPr>
                <w:webHidden/>
              </w:rPr>
              <w:fldChar w:fldCharType="begin"/>
            </w:r>
            <w:r w:rsidR="00F714B7">
              <w:rPr>
                <w:webHidden/>
              </w:rPr>
              <w:instrText xml:space="preserve"> PAGEREF _Toc103695012 \h </w:instrText>
            </w:r>
            <w:r w:rsidR="00F714B7">
              <w:rPr>
                <w:webHidden/>
              </w:rPr>
            </w:r>
            <w:r w:rsidR="00F714B7">
              <w:rPr>
                <w:webHidden/>
              </w:rPr>
              <w:fldChar w:fldCharType="separate"/>
            </w:r>
            <w:r w:rsidR="00F714B7">
              <w:rPr>
                <w:webHidden/>
              </w:rPr>
              <w:t>4</w:t>
            </w:r>
            <w:r w:rsidR="00F714B7">
              <w:rPr>
                <w:webHidden/>
              </w:rPr>
              <w:fldChar w:fldCharType="end"/>
            </w:r>
          </w:hyperlink>
        </w:p>
        <w:p w14:paraId="395F7FF2" w14:textId="08B5F4D1" w:rsidR="00F714B7" w:rsidRDefault="006461E1">
          <w:pPr>
            <w:pStyle w:val="TOC1"/>
            <w:rPr>
              <w:rFonts w:asciiTheme="minorHAnsi" w:eastAsiaTheme="minorEastAsia" w:hAnsiTheme="minorHAnsi" w:cstheme="minorBidi"/>
              <w:bCs w:val="0"/>
            </w:rPr>
          </w:pPr>
          <w:hyperlink w:anchor="_Toc103695013" w:history="1">
            <w:r w:rsidR="00F714B7" w:rsidRPr="00265258">
              <w:rPr>
                <w:rStyle w:val="Hyperlink"/>
              </w:rPr>
              <w:t>PERFORMANCE REPORT 2021-22</w:t>
            </w:r>
            <w:r w:rsidR="00F714B7">
              <w:rPr>
                <w:webHidden/>
              </w:rPr>
              <w:tab/>
            </w:r>
            <w:r w:rsidR="00F714B7">
              <w:rPr>
                <w:webHidden/>
              </w:rPr>
              <w:fldChar w:fldCharType="begin"/>
            </w:r>
            <w:r w:rsidR="00F714B7">
              <w:rPr>
                <w:webHidden/>
              </w:rPr>
              <w:instrText xml:space="preserve"> PAGEREF _Toc103695013 \h </w:instrText>
            </w:r>
            <w:r w:rsidR="00F714B7">
              <w:rPr>
                <w:webHidden/>
              </w:rPr>
            </w:r>
            <w:r w:rsidR="00F714B7">
              <w:rPr>
                <w:webHidden/>
              </w:rPr>
              <w:fldChar w:fldCharType="separate"/>
            </w:r>
            <w:r w:rsidR="00F714B7">
              <w:rPr>
                <w:webHidden/>
              </w:rPr>
              <w:t>7</w:t>
            </w:r>
            <w:r w:rsidR="00F714B7">
              <w:rPr>
                <w:webHidden/>
              </w:rPr>
              <w:fldChar w:fldCharType="end"/>
            </w:r>
          </w:hyperlink>
        </w:p>
        <w:p w14:paraId="1FBC39DD" w14:textId="641C8E69" w:rsidR="00F714B7" w:rsidRDefault="006461E1">
          <w:pPr>
            <w:pStyle w:val="TOC2"/>
            <w:rPr>
              <w:rFonts w:asciiTheme="minorHAnsi" w:hAnsiTheme="minorHAnsi"/>
              <w:lang w:val="en-GB" w:eastAsia="en-GB"/>
            </w:rPr>
          </w:pPr>
          <w:hyperlink w:anchor="_Toc103695014" w:history="1">
            <w:r w:rsidR="00F714B7" w:rsidRPr="00265258">
              <w:rPr>
                <w:rStyle w:val="Hyperlink"/>
              </w:rPr>
              <w:t>We are NHS Hull Clinical Commissioning Group (CCG)</w:t>
            </w:r>
            <w:r w:rsidR="00F714B7">
              <w:rPr>
                <w:webHidden/>
              </w:rPr>
              <w:tab/>
            </w:r>
            <w:r w:rsidR="00F714B7">
              <w:rPr>
                <w:webHidden/>
              </w:rPr>
              <w:fldChar w:fldCharType="begin"/>
            </w:r>
            <w:r w:rsidR="00F714B7">
              <w:rPr>
                <w:webHidden/>
              </w:rPr>
              <w:instrText xml:space="preserve"> PAGEREF _Toc103695014 \h </w:instrText>
            </w:r>
            <w:r w:rsidR="00F714B7">
              <w:rPr>
                <w:webHidden/>
              </w:rPr>
            </w:r>
            <w:r w:rsidR="00F714B7">
              <w:rPr>
                <w:webHidden/>
              </w:rPr>
              <w:fldChar w:fldCharType="separate"/>
            </w:r>
            <w:r w:rsidR="00F714B7">
              <w:rPr>
                <w:webHidden/>
              </w:rPr>
              <w:t>8</w:t>
            </w:r>
            <w:r w:rsidR="00F714B7">
              <w:rPr>
                <w:webHidden/>
              </w:rPr>
              <w:fldChar w:fldCharType="end"/>
            </w:r>
          </w:hyperlink>
        </w:p>
        <w:p w14:paraId="130489B0" w14:textId="65712286" w:rsidR="00F714B7" w:rsidRDefault="006461E1">
          <w:pPr>
            <w:pStyle w:val="TOC2"/>
            <w:rPr>
              <w:rFonts w:asciiTheme="minorHAnsi" w:hAnsiTheme="minorHAnsi"/>
              <w:lang w:val="en-GB" w:eastAsia="en-GB"/>
            </w:rPr>
          </w:pPr>
          <w:hyperlink w:anchor="_Toc103695015" w:history="1">
            <w:r w:rsidR="00F714B7" w:rsidRPr="00265258">
              <w:rPr>
                <w:rStyle w:val="Hyperlink"/>
              </w:rPr>
              <w:t>Performance Overview 2021-22 from Emma Latimer, Accountable Officer</w:t>
            </w:r>
            <w:r w:rsidR="00F714B7">
              <w:rPr>
                <w:webHidden/>
              </w:rPr>
              <w:tab/>
            </w:r>
            <w:r w:rsidR="00F714B7">
              <w:rPr>
                <w:webHidden/>
              </w:rPr>
              <w:fldChar w:fldCharType="begin"/>
            </w:r>
            <w:r w:rsidR="00F714B7">
              <w:rPr>
                <w:webHidden/>
              </w:rPr>
              <w:instrText xml:space="preserve"> PAGEREF _Toc103695015 \h </w:instrText>
            </w:r>
            <w:r w:rsidR="00F714B7">
              <w:rPr>
                <w:webHidden/>
              </w:rPr>
            </w:r>
            <w:r w:rsidR="00F714B7">
              <w:rPr>
                <w:webHidden/>
              </w:rPr>
              <w:fldChar w:fldCharType="separate"/>
            </w:r>
            <w:r w:rsidR="00F714B7">
              <w:rPr>
                <w:webHidden/>
              </w:rPr>
              <w:t>9</w:t>
            </w:r>
            <w:r w:rsidR="00F714B7">
              <w:rPr>
                <w:webHidden/>
              </w:rPr>
              <w:fldChar w:fldCharType="end"/>
            </w:r>
          </w:hyperlink>
        </w:p>
        <w:p w14:paraId="3022D378" w14:textId="21661C1B" w:rsidR="00F714B7" w:rsidRDefault="006461E1">
          <w:pPr>
            <w:pStyle w:val="TOC3"/>
            <w:rPr>
              <w:rFonts w:asciiTheme="minorHAnsi" w:hAnsiTheme="minorHAnsi"/>
              <w:lang w:val="en-GB" w:eastAsia="en-GB"/>
            </w:rPr>
          </w:pPr>
          <w:hyperlink w:anchor="_Toc103695016" w:history="1">
            <w:r w:rsidR="00F714B7" w:rsidRPr="00265258">
              <w:rPr>
                <w:rStyle w:val="Hyperlink"/>
                <w:rFonts w:cs="Arial"/>
              </w:rPr>
              <w:t>Humber and North Yorkshire Health and Care Partnership</w:t>
            </w:r>
            <w:r w:rsidR="00F714B7">
              <w:rPr>
                <w:webHidden/>
              </w:rPr>
              <w:tab/>
            </w:r>
            <w:r w:rsidR="00F714B7">
              <w:rPr>
                <w:webHidden/>
              </w:rPr>
              <w:fldChar w:fldCharType="begin"/>
            </w:r>
            <w:r w:rsidR="00F714B7">
              <w:rPr>
                <w:webHidden/>
              </w:rPr>
              <w:instrText xml:space="preserve"> PAGEREF _Toc103695016 \h </w:instrText>
            </w:r>
            <w:r w:rsidR="00F714B7">
              <w:rPr>
                <w:webHidden/>
              </w:rPr>
            </w:r>
            <w:r w:rsidR="00F714B7">
              <w:rPr>
                <w:webHidden/>
              </w:rPr>
              <w:fldChar w:fldCharType="separate"/>
            </w:r>
            <w:r w:rsidR="00F714B7">
              <w:rPr>
                <w:webHidden/>
              </w:rPr>
              <w:t>9</w:t>
            </w:r>
            <w:r w:rsidR="00F714B7">
              <w:rPr>
                <w:webHidden/>
              </w:rPr>
              <w:fldChar w:fldCharType="end"/>
            </w:r>
          </w:hyperlink>
        </w:p>
        <w:p w14:paraId="431774B7" w14:textId="78784F29" w:rsidR="00F714B7" w:rsidRDefault="006461E1">
          <w:pPr>
            <w:pStyle w:val="TOC3"/>
            <w:rPr>
              <w:rFonts w:asciiTheme="minorHAnsi" w:hAnsiTheme="minorHAnsi"/>
              <w:lang w:val="en-GB" w:eastAsia="en-GB"/>
            </w:rPr>
          </w:pPr>
          <w:hyperlink w:anchor="_Toc103695017" w:history="1">
            <w:r w:rsidR="00F714B7" w:rsidRPr="00265258">
              <w:rPr>
                <w:rStyle w:val="Hyperlink"/>
              </w:rPr>
              <w:t>Developing a local Health and Care Partnership for Hull</w:t>
            </w:r>
            <w:r w:rsidR="00F714B7">
              <w:rPr>
                <w:webHidden/>
              </w:rPr>
              <w:tab/>
            </w:r>
            <w:r w:rsidR="00F714B7">
              <w:rPr>
                <w:webHidden/>
              </w:rPr>
              <w:fldChar w:fldCharType="begin"/>
            </w:r>
            <w:r w:rsidR="00F714B7">
              <w:rPr>
                <w:webHidden/>
              </w:rPr>
              <w:instrText xml:space="preserve"> PAGEREF _Toc103695017 \h </w:instrText>
            </w:r>
            <w:r w:rsidR="00F714B7">
              <w:rPr>
                <w:webHidden/>
              </w:rPr>
            </w:r>
            <w:r w:rsidR="00F714B7">
              <w:rPr>
                <w:webHidden/>
              </w:rPr>
              <w:fldChar w:fldCharType="separate"/>
            </w:r>
            <w:r w:rsidR="00F714B7">
              <w:rPr>
                <w:webHidden/>
              </w:rPr>
              <w:t>11</w:t>
            </w:r>
            <w:r w:rsidR="00F714B7">
              <w:rPr>
                <w:webHidden/>
              </w:rPr>
              <w:fldChar w:fldCharType="end"/>
            </w:r>
          </w:hyperlink>
        </w:p>
        <w:p w14:paraId="75E56D50" w14:textId="48B7B79D" w:rsidR="00F714B7" w:rsidRDefault="006461E1">
          <w:pPr>
            <w:pStyle w:val="TOC2"/>
            <w:rPr>
              <w:rFonts w:asciiTheme="minorHAnsi" w:hAnsiTheme="minorHAnsi"/>
              <w:lang w:val="en-GB" w:eastAsia="en-GB"/>
            </w:rPr>
          </w:pPr>
          <w:hyperlink w:anchor="_Toc103695018" w:history="1">
            <w:r w:rsidR="00F714B7" w:rsidRPr="00265258">
              <w:rPr>
                <w:rStyle w:val="Hyperlink"/>
              </w:rPr>
              <w:t>CCG commissioning programmes 2021-22</w:t>
            </w:r>
            <w:r w:rsidR="00F714B7">
              <w:rPr>
                <w:webHidden/>
              </w:rPr>
              <w:tab/>
            </w:r>
            <w:r w:rsidR="00F714B7">
              <w:rPr>
                <w:webHidden/>
              </w:rPr>
              <w:fldChar w:fldCharType="begin"/>
            </w:r>
            <w:r w:rsidR="00F714B7">
              <w:rPr>
                <w:webHidden/>
              </w:rPr>
              <w:instrText xml:space="preserve"> PAGEREF _Toc103695018 \h </w:instrText>
            </w:r>
            <w:r w:rsidR="00F714B7">
              <w:rPr>
                <w:webHidden/>
              </w:rPr>
            </w:r>
            <w:r w:rsidR="00F714B7">
              <w:rPr>
                <w:webHidden/>
              </w:rPr>
              <w:fldChar w:fldCharType="separate"/>
            </w:r>
            <w:r w:rsidR="00F714B7">
              <w:rPr>
                <w:webHidden/>
              </w:rPr>
              <w:t>13</w:t>
            </w:r>
            <w:r w:rsidR="00F714B7">
              <w:rPr>
                <w:webHidden/>
              </w:rPr>
              <w:fldChar w:fldCharType="end"/>
            </w:r>
          </w:hyperlink>
        </w:p>
        <w:p w14:paraId="7D9F9849" w14:textId="576FF80E" w:rsidR="00F714B7" w:rsidRDefault="006461E1">
          <w:pPr>
            <w:pStyle w:val="TOC3"/>
            <w:rPr>
              <w:rFonts w:asciiTheme="minorHAnsi" w:hAnsiTheme="minorHAnsi"/>
              <w:lang w:val="en-GB" w:eastAsia="en-GB"/>
            </w:rPr>
          </w:pPr>
          <w:hyperlink w:anchor="_Toc103695019" w:history="1">
            <w:r w:rsidR="00F714B7" w:rsidRPr="00265258">
              <w:rPr>
                <w:rStyle w:val="Hyperlink"/>
              </w:rPr>
              <w:t>Unplanned (Emergency) Care</w:t>
            </w:r>
            <w:r w:rsidR="00F714B7">
              <w:rPr>
                <w:webHidden/>
              </w:rPr>
              <w:tab/>
            </w:r>
            <w:r w:rsidR="00F714B7">
              <w:rPr>
                <w:webHidden/>
              </w:rPr>
              <w:fldChar w:fldCharType="begin"/>
            </w:r>
            <w:r w:rsidR="00F714B7">
              <w:rPr>
                <w:webHidden/>
              </w:rPr>
              <w:instrText xml:space="preserve"> PAGEREF _Toc103695019 \h </w:instrText>
            </w:r>
            <w:r w:rsidR="00F714B7">
              <w:rPr>
                <w:webHidden/>
              </w:rPr>
            </w:r>
            <w:r w:rsidR="00F714B7">
              <w:rPr>
                <w:webHidden/>
              </w:rPr>
              <w:fldChar w:fldCharType="separate"/>
            </w:r>
            <w:r w:rsidR="00F714B7">
              <w:rPr>
                <w:webHidden/>
              </w:rPr>
              <w:t>13</w:t>
            </w:r>
            <w:r w:rsidR="00F714B7">
              <w:rPr>
                <w:webHidden/>
              </w:rPr>
              <w:fldChar w:fldCharType="end"/>
            </w:r>
          </w:hyperlink>
        </w:p>
        <w:p w14:paraId="6EA21D08" w14:textId="0D8D1CFA" w:rsidR="00F714B7" w:rsidRDefault="006461E1">
          <w:pPr>
            <w:pStyle w:val="TOC3"/>
            <w:rPr>
              <w:rFonts w:asciiTheme="minorHAnsi" w:hAnsiTheme="minorHAnsi"/>
              <w:lang w:val="en-GB" w:eastAsia="en-GB"/>
            </w:rPr>
          </w:pPr>
          <w:hyperlink w:anchor="_Toc103695020" w:history="1">
            <w:r w:rsidR="00F714B7" w:rsidRPr="00265258">
              <w:rPr>
                <w:rStyle w:val="Hyperlink"/>
              </w:rPr>
              <w:t>Planned Care</w:t>
            </w:r>
            <w:r w:rsidR="00F714B7">
              <w:rPr>
                <w:webHidden/>
              </w:rPr>
              <w:tab/>
            </w:r>
            <w:r w:rsidR="00F714B7">
              <w:rPr>
                <w:webHidden/>
              </w:rPr>
              <w:fldChar w:fldCharType="begin"/>
            </w:r>
            <w:r w:rsidR="00F714B7">
              <w:rPr>
                <w:webHidden/>
              </w:rPr>
              <w:instrText xml:space="preserve"> PAGEREF _Toc103695020 \h </w:instrText>
            </w:r>
            <w:r w:rsidR="00F714B7">
              <w:rPr>
                <w:webHidden/>
              </w:rPr>
            </w:r>
            <w:r w:rsidR="00F714B7">
              <w:rPr>
                <w:webHidden/>
              </w:rPr>
              <w:fldChar w:fldCharType="separate"/>
            </w:r>
            <w:r w:rsidR="00F714B7">
              <w:rPr>
                <w:webHidden/>
              </w:rPr>
              <w:t>14</w:t>
            </w:r>
            <w:r w:rsidR="00F714B7">
              <w:rPr>
                <w:webHidden/>
              </w:rPr>
              <w:fldChar w:fldCharType="end"/>
            </w:r>
          </w:hyperlink>
        </w:p>
        <w:p w14:paraId="5C40A721" w14:textId="41CACD97" w:rsidR="00F714B7" w:rsidRDefault="006461E1">
          <w:pPr>
            <w:pStyle w:val="TOC3"/>
            <w:rPr>
              <w:rFonts w:asciiTheme="minorHAnsi" w:hAnsiTheme="minorHAnsi"/>
              <w:lang w:val="en-GB" w:eastAsia="en-GB"/>
            </w:rPr>
          </w:pPr>
          <w:hyperlink w:anchor="_Toc103695021" w:history="1">
            <w:r w:rsidR="00F714B7" w:rsidRPr="00265258">
              <w:rPr>
                <w:rStyle w:val="Hyperlink"/>
              </w:rPr>
              <w:t>Cancer</w:t>
            </w:r>
            <w:r w:rsidR="00F714B7">
              <w:rPr>
                <w:webHidden/>
              </w:rPr>
              <w:tab/>
            </w:r>
            <w:r w:rsidR="00F714B7">
              <w:rPr>
                <w:webHidden/>
              </w:rPr>
              <w:fldChar w:fldCharType="begin"/>
            </w:r>
            <w:r w:rsidR="00F714B7">
              <w:rPr>
                <w:webHidden/>
              </w:rPr>
              <w:instrText xml:space="preserve"> PAGEREF _Toc103695021 \h </w:instrText>
            </w:r>
            <w:r w:rsidR="00F714B7">
              <w:rPr>
                <w:webHidden/>
              </w:rPr>
            </w:r>
            <w:r w:rsidR="00F714B7">
              <w:rPr>
                <w:webHidden/>
              </w:rPr>
              <w:fldChar w:fldCharType="separate"/>
            </w:r>
            <w:r w:rsidR="00F714B7">
              <w:rPr>
                <w:webHidden/>
              </w:rPr>
              <w:t>16</w:t>
            </w:r>
            <w:r w:rsidR="00F714B7">
              <w:rPr>
                <w:webHidden/>
              </w:rPr>
              <w:fldChar w:fldCharType="end"/>
            </w:r>
          </w:hyperlink>
        </w:p>
        <w:p w14:paraId="37587421" w14:textId="70EF0569" w:rsidR="00F714B7" w:rsidRDefault="006461E1">
          <w:pPr>
            <w:pStyle w:val="TOC3"/>
            <w:rPr>
              <w:rFonts w:asciiTheme="minorHAnsi" w:hAnsiTheme="minorHAnsi"/>
              <w:lang w:val="en-GB" w:eastAsia="en-GB"/>
            </w:rPr>
          </w:pPr>
          <w:hyperlink w:anchor="_Toc103695022" w:history="1">
            <w:r w:rsidR="00F714B7" w:rsidRPr="00265258">
              <w:rPr>
                <w:rStyle w:val="Hyperlink"/>
              </w:rPr>
              <w:t>Maternity, children and young people</w:t>
            </w:r>
            <w:r w:rsidR="00F714B7">
              <w:rPr>
                <w:webHidden/>
              </w:rPr>
              <w:tab/>
            </w:r>
            <w:r w:rsidR="00F714B7">
              <w:rPr>
                <w:webHidden/>
              </w:rPr>
              <w:fldChar w:fldCharType="begin"/>
            </w:r>
            <w:r w:rsidR="00F714B7">
              <w:rPr>
                <w:webHidden/>
              </w:rPr>
              <w:instrText xml:space="preserve"> PAGEREF _Toc103695022 \h </w:instrText>
            </w:r>
            <w:r w:rsidR="00F714B7">
              <w:rPr>
                <w:webHidden/>
              </w:rPr>
            </w:r>
            <w:r w:rsidR="00F714B7">
              <w:rPr>
                <w:webHidden/>
              </w:rPr>
              <w:fldChar w:fldCharType="separate"/>
            </w:r>
            <w:r w:rsidR="00F714B7">
              <w:rPr>
                <w:webHidden/>
              </w:rPr>
              <w:t>17</w:t>
            </w:r>
            <w:r w:rsidR="00F714B7">
              <w:rPr>
                <w:webHidden/>
              </w:rPr>
              <w:fldChar w:fldCharType="end"/>
            </w:r>
          </w:hyperlink>
        </w:p>
        <w:p w14:paraId="576BF958" w14:textId="56DF6179" w:rsidR="00F714B7" w:rsidRDefault="006461E1">
          <w:pPr>
            <w:pStyle w:val="TOC3"/>
            <w:rPr>
              <w:rFonts w:asciiTheme="minorHAnsi" w:hAnsiTheme="minorHAnsi"/>
              <w:lang w:val="en-GB" w:eastAsia="en-GB"/>
            </w:rPr>
          </w:pPr>
          <w:hyperlink w:anchor="_Toc103695023" w:history="1">
            <w:r w:rsidR="00F714B7" w:rsidRPr="00265258">
              <w:rPr>
                <w:rStyle w:val="Hyperlink"/>
              </w:rPr>
              <w:t>Mental Health 2021-22</w:t>
            </w:r>
            <w:r w:rsidR="00F714B7">
              <w:rPr>
                <w:webHidden/>
              </w:rPr>
              <w:tab/>
            </w:r>
            <w:r w:rsidR="00F714B7">
              <w:rPr>
                <w:webHidden/>
              </w:rPr>
              <w:fldChar w:fldCharType="begin"/>
            </w:r>
            <w:r w:rsidR="00F714B7">
              <w:rPr>
                <w:webHidden/>
              </w:rPr>
              <w:instrText xml:space="preserve"> PAGEREF _Toc103695023 \h </w:instrText>
            </w:r>
            <w:r w:rsidR="00F714B7">
              <w:rPr>
                <w:webHidden/>
              </w:rPr>
            </w:r>
            <w:r w:rsidR="00F714B7">
              <w:rPr>
                <w:webHidden/>
              </w:rPr>
              <w:fldChar w:fldCharType="separate"/>
            </w:r>
            <w:r w:rsidR="00F714B7">
              <w:rPr>
                <w:webHidden/>
              </w:rPr>
              <w:t>19</w:t>
            </w:r>
            <w:r w:rsidR="00F714B7">
              <w:rPr>
                <w:webHidden/>
              </w:rPr>
              <w:fldChar w:fldCharType="end"/>
            </w:r>
          </w:hyperlink>
        </w:p>
        <w:p w14:paraId="64497943" w14:textId="78F5133E" w:rsidR="00F714B7" w:rsidRDefault="006461E1">
          <w:pPr>
            <w:pStyle w:val="TOC3"/>
            <w:rPr>
              <w:rFonts w:asciiTheme="minorHAnsi" w:hAnsiTheme="minorHAnsi"/>
              <w:lang w:val="en-GB" w:eastAsia="en-GB"/>
            </w:rPr>
          </w:pPr>
          <w:hyperlink w:anchor="_Toc103695024" w:history="1">
            <w:r w:rsidR="00F714B7" w:rsidRPr="00265258">
              <w:rPr>
                <w:rStyle w:val="Hyperlink"/>
              </w:rPr>
              <w:t>Integrated Delivery 2021-22</w:t>
            </w:r>
            <w:r w:rsidR="00F714B7">
              <w:rPr>
                <w:webHidden/>
              </w:rPr>
              <w:tab/>
            </w:r>
            <w:r w:rsidR="00F714B7">
              <w:rPr>
                <w:webHidden/>
              </w:rPr>
              <w:fldChar w:fldCharType="begin"/>
            </w:r>
            <w:r w:rsidR="00F714B7">
              <w:rPr>
                <w:webHidden/>
              </w:rPr>
              <w:instrText xml:space="preserve"> PAGEREF _Toc103695024 \h </w:instrText>
            </w:r>
            <w:r w:rsidR="00F714B7">
              <w:rPr>
                <w:webHidden/>
              </w:rPr>
            </w:r>
            <w:r w:rsidR="00F714B7">
              <w:rPr>
                <w:webHidden/>
              </w:rPr>
              <w:fldChar w:fldCharType="separate"/>
            </w:r>
            <w:r w:rsidR="00F714B7">
              <w:rPr>
                <w:webHidden/>
              </w:rPr>
              <w:t>20</w:t>
            </w:r>
            <w:r w:rsidR="00F714B7">
              <w:rPr>
                <w:webHidden/>
              </w:rPr>
              <w:fldChar w:fldCharType="end"/>
            </w:r>
          </w:hyperlink>
        </w:p>
        <w:p w14:paraId="71BDE670" w14:textId="4A3F8682" w:rsidR="00F714B7" w:rsidRDefault="006461E1">
          <w:pPr>
            <w:pStyle w:val="TOC2"/>
            <w:rPr>
              <w:rFonts w:asciiTheme="minorHAnsi" w:hAnsiTheme="minorHAnsi"/>
              <w:lang w:val="en-GB" w:eastAsia="en-GB"/>
            </w:rPr>
          </w:pPr>
          <w:hyperlink w:anchor="_Toc103695025" w:history="1">
            <w:r w:rsidR="00F714B7" w:rsidRPr="00265258">
              <w:rPr>
                <w:rStyle w:val="Hyperlink"/>
              </w:rPr>
              <w:t>Primary care in Hull 2021-22</w:t>
            </w:r>
            <w:r w:rsidR="00F714B7">
              <w:rPr>
                <w:webHidden/>
              </w:rPr>
              <w:tab/>
            </w:r>
            <w:r w:rsidR="00F714B7">
              <w:rPr>
                <w:webHidden/>
              </w:rPr>
              <w:fldChar w:fldCharType="begin"/>
            </w:r>
            <w:r w:rsidR="00F714B7">
              <w:rPr>
                <w:webHidden/>
              </w:rPr>
              <w:instrText xml:space="preserve"> PAGEREF _Toc103695025 \h </w:instrText>
            </w:r>
            <w:r w:rsidR="00F714B7">
              <w:rPr>
                <w:webHidden/>
              </w:rPr>
            </w:r>
            <w:r w:rsidR="00F714B7">
              <w:rPr>
                <w:webHidden/>
              </w:rPr>
              <w:fldChar w:fldCharType="separate"/>
            </w:r>
            <w:r w:rsidR="00F714B7">
              <w:rPr>
                <w:webHidden/>
              </w:rPr>
              <w:t>21</w:t>
            </w:r>
            <w:r w:rsidR="00F714B7">
              <w:rPr>
                <w:webHidden/>
              </w:rPr>
              <w:fldChar w:fldCharType="end"/>
            </w:r>
          </w:hyperlink>
        </w:p>
        <w:p w14:paraId="1D3E547F" w14:textId="2DC2ACBE" w:rsidR="00F714B7" w:rsidRDefault="006461E1">
          <w:pPr>
            <w:pStyle w:val="TOC3"/>
            <w:rPr>
              <w:rFonts w:asciiTheme="minorHAnsi" w:hAnsiTheme="minorHAnsi"/>
              <w:lang w:val="en-GB" w:eastAsia="en-GB"/>
            </w:rPr>
          </w:pPr>
          <w:hyperlink w:anchor="_Toc103695026" w:history="1">
            <w:r w:rsidR="00F714B7" w:rsidRPr="00265258">
              <w:rPr>
                <w:rStyle w:val="Hyperlink"/>
              </w:rPr>
              <w:t>Digitally enabled care</w:t>
            </w:r>
            <w:r w:rsidR="00F714B7">
              <w:rPr>
                <w:webHidden/>
              </w:rPr>
              <w:tab/>
            </w:r>
            <w:r w:rsidR="00F714B7">
              <w:rPr>
                <w:webHidden/>
              </w:rPr>
              <w:fldChar w:fldCharType="begin"/>
            </w:r>
            <w:r w:rsidR="00F714B7">
              <w:rPr>
                <w:webHidden/>
              </w:rPr>
              <w:instrText xml:space="preserve"> PAGEREF _Toc103695026 \h </w:instrText>
            </w:r>
            <w:r w:rsidR="00F714B7">
              <w:rPr>
                <w:webHidden/>
              </w:rPr>
            </w:r>
            <w:r w:rsidR="00F714B7">
              <w:rPr>
                <w:webHidden/>
              </w:rPr>
              <w:fldChar w:fldCharType="separate"/>
            </w:r>
            <w:r w:rsidR="00F714B7">
              <w:rPr>
                <w:webHidden/>
              </w:rPr>
              <w:t>23</w:t>
            </w:r>
            <w:r w:rsidR="00F714B7">
              <w:rPr>
                <w:webHidden/>
              </w:rPr>
              <w:fldChar w:fldCharType="end"/>
            </w:r>
          </w:hyperlink>
        </w:p>
        <w:p w14:paraId="7B3C3EB6" w14:textId="108DBEA7" w:rsidR="00F714B7" w:rsidRDefault="006461E1">
          <w:pPr>
            <w:pStyle w:val="TOC2"/>
            <w:rPr>
              <w:rFonts w:asciiTheme="minorHAnsi" w:hAnsiTheme="minorHAnsi"/>
              <w:lang w:val="en-GB" w:eastAsia="en-GB"/>
            </w:rPr>
          </w:pPr>
          <w:hyperlink w:anchor="_Toc103695027" w:history="1">
            <w:r w:rsidR="00F714B7" w:rsidRPr="00265258">
              <w:rPr>
                <w:rStyle w:val="Hyperlink"/>
              </w:rPr>
              <w:t>Engaging people and communities 2021-22</w:t>
            </w:r>
            <w:r w:rsidR="00F714B7">
              <w:rPr>
                <w:webHidden/>
              </w:rPr>
              <w:tab/>
            </w:r>
            <w:r w:rsidR="00F714B7">
              <w:rPr>
                <w:webHidden/>
              </w:rPr>
              <w:fldChar w:fldCharType="begin"/>
            </w:r>
            <w:r w:rsidR="00F714B7">
              <w:rPr>
                <w:webHidden/>
              </w:rPr>
              <w:instrText xml:space="preserve"> PAGEREF _Toc103695027 \h </w:instrText>
            </w:r>
            <w:r w:rsidR="00F714B7">
              <w:rPr>
                <w:webHidden/>
              </w:rPr>
            </w:r>
            <w:r w:rsidR="00F714B7">
              <w:rPr>
                <w:webHidden/>
              </w:rPr>
              <w:fldChar w:fldCharType="separate"/>
            </w:r>
            <w:r w:rsidR="00F714B7">
              <w:rPr>
                <w:webHidden/>
              </w:rPr>
              <w:t>25</w:t>
            </w:r>
            <w:r w:rsidR="00F714B7">
              <w:rPr>
                <w:webHidden/>
              </w:rPr>
              <w:fldChar w:fldCharType="end"/>
            </w:r>
          </w:hyperlink>
        </w:p>
        <w:p w14:paraId="513EBD42" w14:textId="0A0F13ED" w:rsidR="00F714B7" w:rsidRDefault="006461E1">
          <w:pPr>
            <w:pStyle w:val="TOC3"/>
            <w:rPr>
              <w:rFonts w:asciiTheme="minorHAnsi" w:hAnsiTheme="minorHAnsi"/>
              <w:lang w:val="en-GB" w:eastAsia="en-GB"/>
            </w:rPr>
          </w:pPr>
          <w:hyperlink w:anchor="_Toc103695028" w:history="1">
            <w:r w:rsidR="00F714B7" w:rsidRPr="00265258">
              <w:rPr>
                <w:rStyle w:val="Hyperlink"/>
              </w:rPr>
              <w:t>We said…We did … co-production work in 2021-22</w:t>
            </w:r>
            <w:r w:rsidR="00F714B7">
              <w:rPr>
                <w:webHidden/>
              </w:rPr>
              <w:tab/>
            </w:r>
            <w:r w:rsidR="00F714B7">
              <w:rPr>
                <w:webHidden/>
              </w:rPr>
              <w:fldChar w:fldCharType="begin"/>
            </w:r>
            <w:r w:rsidR="00F714B7">
              <w:rPr>
                <w:webHidden/>
              </w:rPr>
              <w:instrText xml:space="preserve"> PAGEREF _Toc103695028 \h </w:instrText>
            </w:r>
            <w:r w:rsidR="00F714B7">
              <w:rPr>
                <w:webHidden/>
              </w:rPr>
            </w:r>
            <w:r w:rsidR="00F714B7">
              <w:rPr>
                <w:webHidden/>
              </w:rPr>
              <w:fldChar w:fldCharType="separate"/>
            </w:r>
            <w:r w:rsidR="00F714B7">
              <w:rPr>
                <w:webHidden/>
              </w:rPr>
              <w:t>27</w:t>
            </w:r>
            <w:r w:rsidR="00F714B7">
              <w:rPr>
                <w:webHidden/>
              </w:rPr>
              <w:fldChar w:fldCharType="end"/>
            </w:r>
          </w:hyperlink>
        </w:p>
        <w:p w14:paraId="6EEF719A" w14:textId="0ACB6F56" w:rsidR="00F714B7" w:rsidRDefault="006461E1">
          <w:pPr>
            <w:pStyle w:val="TOC3"/>
            <w:rPr>
              <w:rFonts w:asciiTheme="minorHAnsi" w:hAnsiTheme="minorHAnsi"/>
              <w:lang w:val="en-GB" w:eastAsia="en-GB"/>
            </w:rPr>
          </w:pPr>
          <w:hyperlink w:anchor="_Toc103695029" w:history="1">
            <w:r w:rsidR="00F714B7" w:rsidRPr="00265258">
              <w:rPr>
                <w:rStyle w:val="Hyperlink"/>
              </w:rPr>
              <w:t>Digital storytelling</w:t>
            </w:r>
            <w:r w:rsidR="00F714B7">
              <w:rPr>
                <w:webHidden/>
              </w:rPr>
              <w:tab/>
            </w:r>
            <w:r w:rsidR="00F714B7">
              <w:rPr>
                <w:webHidden/>
              </w:rPr>
              <w:fldChar w:fldCharType="begin"/>
            </w:r>
            <w:r w:rsidR="00F714B7">
              <w:rPr>
                <w:webHidden/>
              </w:rPr>
              <w:instrText xml:space="preserve"> PAGEREF _Toc103695029 \h </w:instrText>
            </w:r>
            <w:r w:rsidR="00F714B7">
              <w:rPr>
                <w:webHidden/>
              </w:rPr>
            </w:r>
            <w:r w:rsidR="00F714B7">
              <w:rPr>
                <w:webHidden/>
              </w:rPr>
              <w:fldChar w:fldCharType="separate"/>
            </w:r>
            <w:r w:rsidR="00F714B7">
              <w:rPr>
                <w:webHidden/>
              </w:rPr>
              <w:t>29</w:t>
            </w:r>
            <w:r w:rsidR="00F714B7">
              <w:rPr>
                <w:webHidden/>
              </w:rPr>
              <w:fldChar w:fldCharType="end"/>
            </w:r>
          </w:hyperlink>
        </w:p>
        <w:p w14:paraId="72E61EF9" w14:textId="5F2A2EE1" w:rsidR="00F714B7" w:rsidRDefault="006461E1">
          <w:pPr>
            <w:pStyle w:val="TOC3"/>
            <w:rPr>
              <w:rFonts w:asciiTheme="minorHAnsi" w:hAnsiTheme="minorHAnsi"/>
              <w:lang w:val="en-GB" w:eastAsia="en-GB"/>
            </w:rPr>
          </w:pPr>
          <w:hyperlink w:anchor="_Toc103695030" w:history="1">
            <w:r w:rsidR="00F714B7" w:rsidRPr="00265258">
              <w:rPr>
                <w:rStyle w:val="Hyperlink"/>
              </w:rPr>
              <w:t>Enhancing patient experience</w:t>
            </w:r>
            <w:r w:rsidR="00F714B7">
              <w:rPr>
                <w:webHidden/>
              </w:rPr>
              <w:tab/>
            </w:r>
            <w:r w:rsidR="00F714B7">
              <w:rPr>
                <w:webHidden/>
              </w:rPr>
              <w:fldChar w:fldCharType="begin"/>
            </w:r>
            <w:r w:rsidR="00F714B7">
              <w:rPr>
                <w:webHidden/>
              </w:rPr>
              <w:instrText xml:space="preserve"> PAGEREF _Toc103695030 \h </w:instrText>
            </w:r>
            <w:r w:rsidR="00F714B7">
              <w:rPr>
                <w:webHidden/>
              </w:rPr>
            </w:r>
            <w:r w:rsidR="00F714B7">
              <w:rPr>
                <w:webHidden/>
              </w:rPr>
              <w:fldChar w:fldCharType="separate"/>
            </w:r>
            <w:r w:rsidR="00F714B7">
              <w:rPr>
                <w:webHidden/>
              </w:rPr>
              <w:t>31</w:t>
            </w:r>
            <w:r w:rsidR="00F714B7">
              <w:rPr>
                <w:webHidden/>
              </w:rPr>
              <w:fldChar w:fldCharType="end"/>
            </w:r>
          </w:hyperlink>
        </w:p>
        <w:p w14:paraId="013F2462" w14:textId="79289047" w:rsidR="00F714B7" w:rsidRDefault="006461E1">
          <w:pPr>
            <w:pStyle w:val="TOC3"/>
            <w:rPr>
              <w:rFonts w:asciiTheme="minorHAnsi" w:hAnsiTheme="minorHAnsi"/>
              <w:lang w:val="en-GB" w:eastAsia="en-GB"/>
            </w:rPr>
          </w:pPr>
          <w:hyperlink w:anchor="_Toc103695031" w:history="1">
            <w:r w:rsidR="00F714B7" w:rsidRPr="00265258">
              <w:rPr>
                <w:rStyle w:val="Hyperlink"/>
              </w:rPr>
              <w:t>Highlights of year in health 2021-22</w:t>
            </w:r>
            <w:r w:rsidR="00F714B7">
              <w:rPr>
                <w:webHidden/>
              </w:rPr>
              <w:tab/>
            </w:r>
            <w:r w:rsidR="00F714B7">
              <w:rPr>
                <w:webHidden/>
              </w:rPr>
              <w:fldChar w:fldCharType="begin"/>
            </w:r>
            <w:r w:rsidR="00F714B7">
              <w:rPr>
                <w:webHidden/>
              </w:rPr>
              <w:instrText xml:space="preserve"> PAGEREF _Toc103695031 \h </w:instrText>
            </w:r>
            <w:r w:rsidR="00F714B7">
              <w:rPr>
                <w:webHidden/>
              </w:rPr>
            </w:r>
            <w:r w:rsidR="00F714B7">
              <w:rPr>
                <w:webHidden/>
              </w:rPr>
              <w:fldChar w:fldCharType="separate"/>
            </w:r>
            <w:r w:rsidR="00F714B7">
              <w:rPr>
                <w:webHidden/>
              </w:rPr>
              <w:t>31</w:t>
            </w:r>
            <w:r w:rsidR="00F714B7">
              <w:rPr>
                <w:webHidden/>
              </w:rPr>
              <w:fldChar w:fldCharType="end"/>
            </w:r>
          </w:hyperlink>
        </w:p>
        <w:p w14:paraId="6E6362B2" w14:textId="71AD6478" w:rsidR="00F714B7" w:rsidRDefault="006461E1">
          <w:pPr>
            <w:pStyle w:val="TOC2"/>
            <w:rPr>
              <w:rFonts w:asciiTheme="minorHAnsi" w:hAnsiTheme="minorHAnsi"/>
              <w:lang w:val="en-GB" w:eastAsia="en-GB"/>
            </w:rPr>
          </w:pPr>
          <w:hyperlink w:anchor="_Toc103695032" w:history="1">
            <w:r w:rsidR="00F714B7" w:rsidRPr="00265258">
              <w:rPr>
                <w:rStyle w:val="Hyperlink"/>
              </w:rPr>
              <w:t>Improving Quality</w:t>
            </w:r>
            <w:r w:rsidR="00F714B7">
              <w:rPr>
                <w:webHidden/>
              </w:rPr>
              <w:tab/>
            </w:r>
            <w:r w:rsidR="00F714B7">
              <w:rPr>
                <w:webHidden/>
              </w:rPr>
              <w:fldChar w:fldCharType="begin"/>
            </w:r>
            <w:r w:rsidR="00F714B7">
              <w:rPr>
                <w:webHidden/>
              </w:rPr>
              <w:instrText xml:space="preserve"> PAGEREF _Toc103695032 \h </w:instrText>
            </w:r>
            <w:r w:rsidR="00F714B7">
              <w:rPr>
                <w:webHidden/>
              </w:rPr>
            </w:r>
            <w:r w:rsidR="00F714B7">
              <w:rPr>
                <w:webHidden/>
              </w:rPr>
              <w:fldChar w:fldCharType="separate"/>
            </w:r>
            <w:r w:rsidR="00F714B7">
              <w:rPr>
                <w:webHidden/>
              </w:rPr>
              <w:t>33</w:t>
            </w:r>
            <w:r w:rsidR="00F714B7">
              <w:rPr>
                <w:webHidden/>
              </w:rPr>
              <w:fldChar w:fldCharType="end"/>
            </w:r>
          </w:hyperlink>
        </w:p>
        <w:p w14:paraId="75CE2F1D" w14:textId="5F329724" w:rsidR="00F714B7" w:rsidRDefault="006461E1">
          <w:pPr>
            <w:pStyle w:val="TOC2"/>
            <w:rPr>
              <w:rFonts w:asciiTheme="minorHAnsi" w:hAnsiTheme="minorHAnsi"/>
              <w:lang w:val="en-GB" w:eastAsia="en-GB"/>
            </w:rPr>
          </w:pPr>
          <w:hyperlink w:anchor="_Toc103695033" w:history="1">
            <w:r w:rsidR="00F714B7" w:rsidRPr="00265258">
              <w:rPr>
                <w:rStyle w:val="Hyperlink"/>
              </w:rPr>
              <w:t>Action to reduce health inequalities</w:t>
            </w:r>
            <w:r w:rsidR="00F714B7">
              <w:rPr>
                <w:webHidden/>
              </w:rPr>
              <w:tab/>
            </w:r>
            <w:r w:rsidR="00F714B7">
              <w:rPr>
                <w:webHidden/>
              </w:rPr>
              <w:fldChar w:fldCharType="begin"/>
            </w:r>
            <w:r w:rsidR="00F714B7">
              <w:rPr>
                <w:webHidden/>
              </w:rPr>
              <w:instrText xml:space="preserve"> PAGEREF _Toc103695033 \h </w:instrText>
            </w:r>
            <w:r w:rsidR="00F714B7">
              <w:rPr>
                <w:webHidden/>
              </w:rPr>
            </w:r>
            <w:r w:rsidR="00F714B7">
              <w:rPr>
                <w:webHidden/>
              </w:rPr>
              <w:fldChar w:fldCharType="separate"/>
            </w:r>
            <w:r w:rsidR="00F714B7">
              <w:rPr>
                <w:webHidden/>
              </w:rPr>
              <w:t>37</w:t>
            </w:r>
            <w:r w:rsidR="00F714B7">
              <w:rPr>
                <w:webHidden/>
              </w:rPr>
              <w:fldChar w:fldCharType="end"/>
            </w:r>
          </w:hyperlink>
        </w:p>
        <w:p w14:paraId="01F258DC" w14:textId="396235E7" w:rsidR="00F714B7" w:rsidRDefault="006461E1">
          <w:pPr>
            <w:pStyle w:val="TOC3"/>
            <w:rPr>
              <w:rFonts w:asciiTheme="minorHAnsi" w:hAnsiTheme="minorHAnsi"/>
              <w:lang w:val="en-GB" w:eastAsia="en-GB"/>
            </w:rPr>
          </w:pPr>
          <w:hyperlink w:anchor="_Toc103695034" w:history="1">
            <w:r w:rsidR="00F714B7" w:rsidRPr="00265258">
              <w:rPr>
                <w:rStyle w:val="Hyperlink"/>
              </w:rPr>
              <w:t>Contributing to the delivery of the health and wellbeing strategy for Hull</w:t>
            </w:r>
            <w:r w:rsidR="00F714B7">
              <w:rPr>
                <w:webHidden/>
              </w:rPr>
              <w:tab/>
            </w:r>
            <w:r w:rsidR="00F714B7">
              <w:rPr>
                <w:webHidden/>
              </w:rPr>
              <w:fldChar w:fldCharType="begin"/>
            </w:r>
            <w:r w:rsidR="00F714B7">
              <w:rPr>
                <w:webHidden/>
              </w:rPr>
              <w:instrText xml:space="preserve"> PAGEREF _Toc103695034 \h </w:instrText>
            </w:r>
            <w:r w:rsidR="00F714B7">
              <w:rPr>
                <w:webHidden/>
              </w:rPr>
            </w:r>
            <w:r w:rsidR="00F714B7">
              <w:rPr>
                <w:webHidden/>
              </w:rPr>
              <w:fldChar w:fldCharType="separate"/>
            </w:r>
            <w:r w:rsidR="00F714B7">
              <w:rPr>
                <w:webHidden/>
              </w:rPr>
              <w:t>39</w:t>
            </w:r>
            <w:r w:rsidR="00F714B7">
              <w:rPr>
                <w:webHidden/>
              </w:rPr>
              <w:fldChar w:fldCharType="end"/>
            </w:r>
          </w:hyperlink>
        </w:p>
        <w:p w14:paraId="4947A3FF" w14:textId="2E9A53BC" w:rsidR="00F714B7" w:rsidRDefault="006461E1">
          <w:pPr>
            <w:pStyle w:val="TOC2"/>
            <w:rPr>
              <w:rFonts w:asciiTheme="minorHAnsi" w:hAnsiTheme="minorHAnsi"/>
              <w:lang w:val="en-GB" w:eastAsia="en-GB"/>
            </w:rPr>
          </w:pPr>
          <w:hyperlink w:anchor="_Toc103695035" w:history="1">
            <w:r w:rsidR="00F714B7" w:rsidRPr="00265258">
              <w:rPr>
                <w:rStyle w:val="Hyperlink"/>
              </w:rPr>
              <w:t>Performance on NHS Constitution and Quality Indicators 2021-22</w:t>
            </w:r>
            <w:r w:rsidR="00F714B7">
              <w:rPr>
                <w:webHidden/>
              </w:rPr>
              <w:tab/>
            </w:r>
            <w:r w:rsidR="00F714B7">
              <w:rPr>
                <w:webHidden/>
              </w:rPr>
              <w:fldChar w:fldCharType="begin"/>
            </w:r>
            <w:r w:rsidR="00F714B7">
              <w:rPr>
                <w:webHidden/>
              </w:rPr>
              <w:instrText xml:space="preserve"> PAGEREF _Toc103695035 \h </w:instrText>
            </w:r>
            <w:r w:rsidR="00F714B7">
              <w:rPr>
                <w:webHidden/>
              </w:rPr>
            </w:r>
            <w:r w:rsidR="00F714B7">
              <w:rPr>
                <w:webHidden/>
              </w:rPr>
              <w:fldChar w:fldCharType="separate"/>
            </w:r>
            <w:r w:rsidR="00F714B7">
              <w:rPr>
                <w:webHidden/>
              </w:rPr>
              <w:t>41</w:t>
            </w:r>
            <w:r w:rsidR="00F714B7">
              <w:rPr>
                <w:webHidden/>
              </w:rPr>
              <w:fldChar w:fldCharType="end"/>
            </w:r>
          </w:hyperlink>
        </w:p>
        <w:p w14:paraId="5C6B50B1" w14:textId="112533C8" w:rsidR="00F714B7" w:rsidRDefault="006461E1">
          <w:pPr>
            <w:pStyle w:val="TOC2"/>
            <w:rPr>
              <w:rFonts w:asciiTheme="minorHAnsi" w:hAnsiTheme="minorHAnsi"/>
              <w:lang w:val="en-GB" w:eastAsia="en-GB"/>
            </w:rPr>
          </w:pPr>
          <w:hyperlink w:anchor="_Toc103695036" w:history="1">
            <w:r w:rsidR="00F714B7" w:rsidRPr="00265258">
              <w:rPr>
                <w:rStyle w:val="Hyperlink"/>
              </w:rPr>
              <w:t>Performance and financial analysis 2021-22</w:t>
            </w:r>
            <w:r w:rsidR="00F714B7">
              <w:rPr>
                <w:webHidden/>
              </w:rPr>
              <w:tab/>
            </w:r>
            <w:r w:rsidR="00F714B7">
              <w:rPr>
                <w:webHidden/>
              </w:rPr>
              <w:fldChar w:fldCharType="begin"/>
            </w:r>
            <w:r w:rsidR="00F714B7">
              <w:rPr>
                <w:webHidden/>
              </w:rPr>
              <w:instrText xml:space="preserve"> PAGEREF _Toc103695036 \h </w:instrText>
            </w:r>
            <w:r w:rsidR="00F714B7">
              <w:rPr>
                <w:webHidden/>
              </w:rPr>
            </w:r>
            <w:r w:rsidR="00F714B7">
              <w:rPr>
                <w:webHidden/>
              </w:rPr>
              <w:fldChar w:fldCharType="separate"/>
            </w:r>
            <w:r w:rsidR="00F714B7">
              <w:rPr>
                <w:webHidden/>
              </w:rPr>
              <w:t>46</w:t>
            </w:r>
            <w:r w:rsidR="00F714B7">
              <w:rPr>
                <w:webHidden/>
              </w:rPr>
              <w:fldChar w:fldCharType="end"/>
            </w:r>
          </w:hyperlink>
        </w:p>
        <w:p w14:paraId="1C038C17" w14:textId="715AE3D6" w:rsidR="00F714B7" w:rsidRDefault="006461E1">
          <w:pPr>
            <w:pStyle w:val="TOC2"/>
            <w:rPr>
              <w:rFonts w:asciiTheme="minorHAnsi" w:hAnsiTheme="minorHAnsi"/>
              <w:lang w:val="en-GB" w:eastAsia="en-GB"/>
            </w:rPr>
          </w:pPr>
          <w:hyperlink w:anchor="_Toc103695037" w:history="1">
            <w:r w:rsidR="00F714B7" w:rsidRPr="00265258">
              <w:rPr>
                <w:rStyle w:val="Hyperlink"/>
              </w:rPr>
              <w:t>Sustainability Report 2021-22</w:t>
            </w:r>
            <w:r w:rsidR="00F714B7">
              <w:rPr>
                <w:webHidden/>
              </w:rPr>
              <w:tab/>
            </w:r>
            <w:r w:rsidR="00F714B7">
              <w:rPr>
                <w:webHidden/>
              </w:rPr>
              <w:fldChar w:fldCharType="begin"/>
            </w:r>
            <w:r w:rsidR="00F714B7">
              <w:rPr>
                <w:webHidden/>
              </w:rPr>
              <w:instrText xml:space="preserve"> PAGEREF _Toc103695037 \h </w:instrText>
            </w:r>
            <w:r w:rsidR="00F714B7">
              <w:rPr>
                <w:webHidden/>
              </w:rPr>
            </w:r>
            <w:r w:rsidR="00F714B7">
              <w:rPr>
                <w:webHidden/>
              </w:rPr>
              <w:fldChar w:fldCharType="separate"/>
            </w:r>
            <w:r w:rsidR="00F714B7">
              <w:rPr>
                <w:webHidden/>
              </w:rPr>
              <w:t>48</w:t>
            </w:r>
            <w:r w:rsidR="00F714B7">
              <w:rPr>
                <w:webHidden/>
              </w:rPr>
              <w:fldChar w:fldCharType="end"/>
            </w:r>
          </w:hyperlink>
        </w:p>
        <w:p w14:paraId="4F221683" w14:textId="086EFE43" w:rsidR="00F714B7" w:rsidRDefault="006461E1">
          <w:pPr>
            <w:pStyle w:val="TOC1"/>
            <w:rPr>
              <w:rFonts w:asciiTheme="minorHAnsi" w:eastAsiaTheme="minorEastAsia" w:hAnsiTheme="minorHAnsi" w:cstheme="minorBidi"/>
              <w:bCs w:val="0"/>
            </w:rPr>
          </w:pPr>
          <w:hyperlink w:anchor="_Toc103695038" w:history="1">
            <w:r w:rsidR="00F714B7" w:rsidRPr="00265258">
              <w:rPr>
                <w:rStyle w:val="Hyperlink"/>
              </w:rPr>
              <w:t>ACCOUNTABILITY REPORT 2021-22</w:t>
            </w:r>
            <w:r w:rsidR="00F714B7">
              <w:rPr>
                <w:webHidden/>
              </w:rPr>
              <w:tab/>
            </w:r>
            <w:r w:rsidR="00F714B7">
              <w:rPr>
                <w:webHidden/>
              </w:rPr>
              <w:fldChar w:fldCharType="begin"/>
            </w:r>
            <w:r w:rsidR="00F714B7">
              <w:rPr>
                <w:webHidden/>
              </w:rPr>
              <w:instrText xml:space="preserve"> PAGEREF _Toc103695038 \h </w:instrText>
            </w:r>
            <w:r w:rsidR="00F714B7">
              <w:rPr>
                <w:webHidden/>
              </w:rPr>
            </w:r>
            <w:r w:rsidR="00F714B7">
              <w:rPr>
                <w:webHidden/>
              </w:rPr>
              <w:fldChar w:fldCharType="separate"/>
            </w:r>
            <w:r w:rsidR="00F714B7">
              <w:rPr>
                <w:webHidden/>
              </w:rPr>
              <w:t>49</w:t>
            </w:r>
            <w:r w:rsidR="00F714B7">
              <w:rPr>
                <w:webHidden/>
              </w:rPr>
              <w:fldChar w:fldCharType="end"/>
            </w:r>
          </w:hyperlink>
        </w:p>
        <w:p w14:paraId="69C6765B" w14:textId="0A2A45C4" w:rsidR="00F714B7" w:rsidRDefault="006461E1">
          <w:pPr>
            <w:pStyle w:val="TOC2"/>
            <w:rPr>
              <w:rFonts w:asciiTheme="minorHAnsi" w:hAnsiTheme="minorHAnsi"/>
              <w:lang w:val="en-GB" w:eastAsia="en-GB"/>
            </w:rPr>
          </w:pPr>
          <w:hyperlink w:anchor="_Toc103695039" w:history="1">
            <w:r w:rsidR="00F714B7" w:rsidRPr="00265258">
              <w:rPr>
                <w:rStyle w:val="Hyperlink"/>
              </w:rPr>
              <w:t>Corporate Governance Report</w:t>
            </w:r>
            <w:r w:rsidR="00F714B7">
              <w:rPr>
                <w:webHidden/>
              </w:rPr>
              <w:tab/>
            </w:r>
            <w:r w:rsidR="00F714B7">
              <w:rPr>
                <w:webHidden/>
              </w:rPr>
              <w:fldChar w:fldCharType="begin"/>
            </w:r>
            <w:r w:rsidR="00F714B7">
              <w:rPr>
                <w:webHidden/>
              </w:rPr>
              <w:instrText xml:space="preserve"> PAGEREF _Toc103695039 \h </w:instrText>
            </w:r>
            <w:r w:rsidR="00F714B7">
              <w:rPr>
                <w:webHidden/>
              </w:rPr>
            </w:r>
            <w:r w:rsidR="00F714B7">
              <w:rPr>
                <w:webHidden/>
              </w:rPr>
              <w:fldChar w:fldCharType="separate"/>
            </w:r>
            <w:r w:rsidR="00F714B7">
              <w:rPr>
                <w:webHidden/>
              </w:rPr>
              <w:t>50</w:t>
            </w:r>
            <w:r w:rsidR="00F714B7">
              <w:rPr>
                <w:webHidden/>
              </w:rPr>
              <w:fldChar w:fldCharType="end"/>
            </w:r>
          </w:hyperlink>
        </w:p>
        <w:p w14:paraId="7DB767EF" w14:textId="3D57AFA3" w:rsidR="00F714B7" w:rsidRDefault="006461E1">
          <w:pPr>
            <w:pStyle w:val="TOC3"/>
            <w:rPr>
              <w:rFonts w:asciiTheme="minorHAnsi" w:hAnsiTheme="minorHAnsi"/>
              <w:lang w:val="en-GB" w:eastAsia="en-GB"/>
            </w:rPr>
          </w:pPr>
          <w:hyperlink w:anchor="_Toc103695040" w:history="1">
            <w:r w:rsidR="00F714B7" w:rsidRPr="00265258">
              <w:rPr>
                <w:rStyle w:val="Hyperlink"/>
              </w:rPr>
              <w:t>Hull CCG Members Report 2021-22</w:t>
            </w:r>
            <w:r w:rsidR="00F714B7">
              <w:rPr>
                <w:webHidden/>
              </w:rPr>
              <w:tab/>
            </w:r>
            <w:r w:rsidR="00F714B7">
              <w:rPr>
                <w:webHidden/>
              </w:rPr>
              <w:fldChar w:fldCharType="begin"/>
            </w:r>
            <w:r w:rsidR="00F714B7">
              <w:rPr>
                <w:webHidden/>
              </w:rPr>
              <w:instrText xml:space="preserve"> PAGEREF _Toc103695040 \h </w:instrText>
            </w:r>
            <w:r w:rsidR="00F714B7">
              <w:rPr>
                <w:webHidden/>
              </w:rPr>
            </w:r>
            <w:r w:rsidR="00F714B7">
              <w:rPr>
                <w:webHidden/>
              </w:rPr>
              <w:fldChar w:fldCharType="separate"/>
            </w:r>
            <w:r w:rsidR="00F714B7">
              <w:rPr>
                <w:webHidden/>
              </w:rPr>
              <w:t>50</w:t>
            </w:r>
            <w:r w:rsidR="00F714B7">
              <w:rPr>
                <w:webHidden/>
              </w:rPr>
              <w:fldChar w:fldCharType="end"/>
            </w:r>
          </w:hyperlink>
        </w:p>
        <w:p w14:paraId="001B24BA" w14:textId="32FE3FA9" w:rsidR="00F714B7" w:rsidRDefault="006461E1">
          <w:pPr>
            <w:pStyle w:val="TOC3"/>
            <w:rPr>
              <w:rFonts w:asciiTheme="minorHAnsi" w:hAnsiTheme="minorHAnsi"/>
              <w:lang w:val="en-GB" w:eastAsia="en-GB"/>
            </w:rPr>
          </w:pPr>
          <w:hyperlink w:anchor="_Toc103695041" w:history="1">
            <w:r w:rsidR="00F714B7" w:rsidRPr="00265258">
              <w:rPr>
                <w:rStyle w:val="Hyperlink"/>
              </w:rPr>
              <w:t>CCG Member Practices 2021-22</w:t>
            </w:r>
            <w:r w:rsidR="00F714B7">
              <w:rPr>
                <w:webHidden/>
              </w:rPr>
              <w:tab/>
            </w:r>
            <w:r w:rsidR="00F714B7">
              <w:rPr>
                <w:webHidden/>
              </w:rPr>
              <w:fldChar w:fldCharType="begin"/>
            </w:r>
            <w:r w:rsidR="00F714B7">
              <w:rPr>
                <w:webHidden/>
              </w:rPr>
              <w:instrText xml:space="preserve"> PAGEREF _Toc103695041 \h </w:instrText>
            </w:r>
            <w:r w:rsidR="00F714B7">
              <w:rPr>
                <w:webHidden/>
              </w:rPr>
            </w:r>
            <w:r w:rsidR="00F714B7">
              <w:rPr>
                <w:webHidden/>
              </w:rPr>
              <w:fldChar w:fldCharType="separate"/>
            </w:r>
            <w:r w:rsidR="00F714B7">
              <w:rPr>
                <w:webHidden/>
              </w:rPr>
              <w:t>50</w:t>
            </w:r>
            <w:r w:rsidR="00F714B7">
              <w:rPr>
                <w:webHidden/>
              </w:rPr>
              <w:fldChar w:fldCharType="end"/>
            </w:r>
          </w:hyperlink>
        </w:p>
        <w:p w14:paraId="2C5CB270" w14:textId="31B03094" w:rsidR="00F714B7" w:rsidRDefault="006461E1">
          <w:pPr>
            <w:pStyle w:val="TOC3"/>
            <w:rPr>
              <w:rFonts w:asciiTheme="minorHAnsi" w:hAnsiTheme="minorHAnsi"/>
              <w:lang w:val="en-GB" w:eastAsia="en-GB"/>
            </w:rPr>
          </w:pPr>
          <w:hyperlink w:anchor="_Toc103695042" w:history="1">
            <w:r w:rsidR="00F714B7" w:rsidRPr="00265258">
              <w:rPr>
                <w:rStyle w:val="Hyperlink"/>
              </w:rPr>
              <w:t>CCG Board Membership 2021-22</w:t>
            </w:r>
            <w:r w:rsidR="00F714B7">
              <w:rPr>
                <w:webHidden/>
              </w:rPr>
              <w:tab/>
            </w:r>
            <w:r w:rsidR="00F714B7">
              <w:rPr>
                <w:webHidden/>
              </w:rPr>
              <w:fldChar w:fldCharType="begin"/>
            </w:r>
            <w:r w:rsidR="00F714B7">
              <w:rPr>
                <w:webHidden/>
              </w:rPr>
              <w:instrText xml:space="preserve"> PAGEREF _Toc103695042 \h </w:instrText>
            </w:r>
            <w:r w:rsidR="00F714B7">
              <w:rPr>
                <w:webHidden/>
              </w:rPr>
            </w:r>
            <w:r w:rsidR="00F714B7">
              <w:rPr>
                <w:webHidden/>
              </w:rPr>
              <w:fldChar w:fldCharType="separate"/>
            </w:r>
            <w:r w:rsidR="00F714B7">
              <w:rPr>
                <w:webHidden/>
              </w:rPr>
              <w:t>51</w:t>
            </w:r>
            <w:r w:rsidR="00F714B7">
              <w:rPr>
                <w:webHidden/>
              </w:rPr>
              <w:fldChar w:fldCharType="end"/>
            </w:r>
          </w:hyperlink>
        </w:p>
        <w:p w14:paraId="7B36355F" w14:textId="1C0607B6" w:rsidR="00F714B7" w:rsidRDefault="006461E1">
          <w:pPr>
            <w:pStyle w:val="TOC3"/>
            <w:rPr>
              <w:rFonts w:asciiTheme="minorHAnsi" w:hAnsiTheme="minorHAnsi"/>
              <w:lang w:val="en-GB" w:eastAsia="en-GB"/>
            </w:rPr>
          </w:pPr>
          <w:hyperlink w:anchor="_Toc103695043" w:history="1">
            <w:r w:rsidR="00F714B7" w:rsidRPr="00265258">
              <w:rPr>
                <w:rStyle w:val="Hyperlink"/>
              </w:rPr>
              <w:t>Personal data related incidents</w:t>
            </w:r>
            <w:r w:rsidR="00F714B7">
              <w:rPr>
                <w:webHidden/>
              </w:rPr>
              <w:tab/>
            </w:r>
            <w:r w:rsidR="00F714B7">
              <w:rPr>
                <w:webHidden/>
              </w:rPr>
              <w:fldChar w:fldCharType="begin"/>
            </w:r>
            <w:r w:rsidR="00F714B7">
              <w:rPr>
                <w:webHidden/>
              </w:rPr>
              <w:instrText xml:space="preserve"> PAGEREF _Toc103695043 \h </w:instrText>
            </w:r>
            <w:r w:rsidR="00F714B7">
              <w:rPr>
                <w:webHidden/>
              </w:rPr>
            </w:r>
            <w:r w:rsidR="00F714B7">
              <w:rPr>
                <w:webHidden/>
              </w:rPr>
              <w:fldChar w:fldCharType="separate"/>
            </w:r>
            <w:r w:rsidR="00F714B7">
              <w:rPr>
                <w:webHidden/>
              </w:rPr>
              <w:t>52</w:t>
            </w:r>
            <w:r w:rsidR="00F714B7">
              <w:rPr>
                <w:webHidden/>
              </w:rPr>
              <w:fldChar w:fldCharType="end"/>
            </w:r>
          </w:hyperlink>
        </w:p>
        <w:p w14:paraId="69AA7F0F" w14:textId="0679B04C" w:rsidR="00F714B7" w:rsidRDefault="006461E1">
          <w:pPr>
            <w:pStyle w:val="TOC3"/>
            <w:rPr>
              <w:rFonts w:asciiTheme="minorHAnsi" w:hAnsiTheme="minorHAnsi"/>
              <w:lang w:val="en-GB" w:eastAsia="en-GB"/>
            </w:rPr>
          </w:pPr>
          <w:hyperlink w:anchor="_Toc103695044" w:history="1">
            <w:r w:rsidR="00F714B7" w:rsidRPr="00265258">
              <w:rPr>
                <w:rStyle w:val="Hyperlink"/>
              </w:rPr>
              <w:t>Modern Slavery Act</w:t>
            </w:r>
            <w:r w:rsidR="00F714B7">
              <w:rPr>
                <w:webHidden/>
              </w:rPr>
              <w:tab/>
            </w:r>
            <w:r w:rsidR="00F714B7">
              <w:rPr>
                <w:webHidden/>
              </w:rPr>
              <w:fldChar w:fldCharType="begin"/>
            </w:r>
            <w:r w:rsidR="00F714B7">
              <w:rPr>
                <w:webHidden/>
              </w:rPr>
              <w:instrText xml:space="preserve"> PAGEREF _Toc103695044 \h </w:instrText>
            </w:r>
            <w:r w:rsidR="00F714B7">
              <w:rPr>
                <w:webHidden/>
              </w:rPr>
            </w:r>
            <w:r w:rsidR="00F714B7">
              <w:rPr>
                <w:webHidden/>
              </w:rPr>
              <w:fldChar w:fldCharType="separate"/>
            </w:r>
            <w:r w:rsidR="00F714B7">
              <w:rPr>
                <w:webHidden/>
              </w:rPr>
              <w:t>53</w:t>
            </w:r>
            <w:r w:rsidR="00F714B7">
              <w:rPr>
                <w:webHidden/>
              </w:rPr>
              <w:fldChar w:fldCharType="end"/>
            </w:r>
          </w:hyperlink>
        </w:p>
        <w:p w14:paraId="4CD964E6" w14:textId="1B487009" w:rsidR="00F714B7" w:rsidRDefault="006461E1">
          <w:pPr>
            <w:pStyle w:val="TOC3"/>
            <w:rPr>
              <w:rFonts w:asciiTheme="minorHAnsi" w:hAnsiTheme="minorHAnsi"/>
              <w:lang w:val="en-GB" w:eastAsia="en-GB"/>
            </w:rPr>
          </w:pPr>
          <w:hyperlink w:anchor="_Toc103695045" w:history="1">
            <w:r w:rsidR="00F714B7" w:rsidRPr="00265258">
              <w:rPr>
                <w:rStyle w:val="Hyperlink"/>
              </w:rPr>
              <w:t>Access to Information</w:t>
            </w:r>
            <w:r w:rsidR="00F714B7">
              <w:rPr>
                <w:webHidden/>
              </w:rPr>
              <w:tab/>
            </w:r>
            <w:r w:rsidR="00F714B7">
              <w:rPr>
                <w:webHidden/>
              </w:rPr>
              <w:fldChar w:fldCharType="begin"/>
            </w:r>
            <w:r w:rsidR="00F714B7">
              <w:rPr>
                <w:webHidden/>
              </w:rPr>
              <w:instrText xml:space="preserve"> PAGEREF _Toc103695045 \h </w:instrText>
            </w:r>
            <w:r w:rsidR="00F714B7">
              <w:rPr>
                <w:webHidden/>
              </w:rPr>
            </w:r>
            <w:r w:rsidR="00F714B7">
              <w:rPr>
                <w:webHidden/>
              </w:rPr>
              <w:fldChar w:fldCharType="separate"/>
            </w:r>
            <w:r w:rsidR="00F714B7">
              <w:rPr>
                <w:webHidden/>
              </w:rPr>
              <w:t>53</w:t>
            </w:r>
            <w:r w:rsidR="00F714B7">
              <w:rPr>
                <w:webHidden/>
              </w:rPr>
              <w:fldChar w:fldCharType="end"/>
            </w:r>
          </w:hyperlink>
        </w:p>
        <w:p w14:paraId="4B00AE76" w14:textId="264CF985" w:rsidR="00F714B7" w:rsidRDefault="006461E1">
          <w:pPr>
            <w:pStyle w:val="TOC3"/>
            <w:rPr>
              <w:rFonts w:asciiTheme="minorHAnsi" w:hAnsiTheme="minorHAnsi"/>
              <w:lang w:val="en-GB" w:eastAsia="en-GB"/>
            </w:rPr>
          </w:pPr>
          <w:hyperlink w:anchor="_Toc103695046" w:history="1">
            <w:r w:rsidR="00F714B7" w:rsidRPr="00265258">
              <w:rPr>
                <w:rStyle w:val="Hyperlink"/>
              </w:rPr>
              <w:t>Handling complaints</w:t>
            </w:r>
            <w:r w:rsidR="00F714B7">
              <w:rPr>
                <w:webHidden/>
              </w:rPr>
              <w:tab/>
            </w:r>
            <w:r w:rsidR="00F714B7">
              <w:rPr>
                <w:webHidden/>
              </w:rPr>
              <w:fldChar w:fldCharType="begin"/>
            </w:r>
            <w:r w:rsidR="00F714B7">
              <w:rPr>
                <w:webHidden/>
              </w:rPr>
              <w:instrText xml:space="preserve"> PAGEREF _Toc103695046 \h </w:instrText>
            </w:r>
            <w:r w:rsidR="00F714B7">
              <w:rPr>
                <w:webHidden/>
              </w:rPr>
            </w:r>
            <w:r w:rsidR="00F714B7">
              <w:rPr>
                <w:webHidden/>
              </w:rPr>
              <w:fldChar w:fldCharType="separate"/>
            </w:r>
            <w:r w:rsidR="00F714B7">
              <w:rPr>
                <w:webHidden/>
              </w:rPr>
              <w:t>53</w:t>
            </w:r>
            <w:r w:rsidR="00F714B7">
              <w:rPr>
                <w:webHidden/>
              </w:rPr>
              <w:fldChar w:fldCharType="end"/>
            </w:r>
          </w:hyperlink>
        </w:p>
        <w:p w14:paraId="7431B5B6" w14:textId="3448DD34" w:rsidR="00F714B7" w:rsidRDefault="006461E1">
          <w:pPr>
            <w:pStyle w:val="TOC3"/>
            <w:rPr>
              <w:rFonts w:asciiTheme="minorHAnsi" w:hAnsiTheme="minorHAnsi"/>
              <w:lang w:val="en-GB" w:eastAsia="en-GB"/>
            </w:rPr>
          </w:pPr>
          <w:hyperlink w:anchor="_Toc103695047" w:history="1">
            <w:r w:rsidR="00F714B7" w:rsidRPr="00265258">
              <w:rPr>
                <w:rStyle w:val="Hyperlink"/>
              </w:rPr>
              <w:t>Raising concerns – whistleblowing arrangements</w:t>
            </w:r>
            <w:r w:rsidR="00F714B7">
              <w:rPr>
                <w:webHidden/>
              </w:rPr>
              <w:tab/>
            </w:r>
            <w:r w:rsidR="00F714B7">
              <w:rPr>
                <w:webHidden/>
              </w:rPr>
              <w:fldChar w:fldCharType="begin"/>
            </w:r>
            <w:r w:rsidR="00F714B7">
              <w:rPr>
                <w:webHidden/>
              </w:rPr>
              <w:instrText xml:space="preserve"> PAGEREF _Toc103695047 \h </w:instrText>
            </w:r>
            <w:r w:rsidR="00F714B7">
              <w:rPr>
                <w:webHidden/>
              </w:rPr>
            </w:r>
            <w:r w:rsidR="00F714B7">
              <w:rPr>
                <w:webHidden/>
              </w:rPr>
              <w:fldChar w:fldCharType="separate"/>
            </w:r>
            <w:r w:rsidR="00F714B7">
              <w:rPr>
                <w:webHidden/>
              </w:rPr>
              <w:t>54</w:t>
            </w:r>
            <w:r w:rsidR="00F714B7">
              <w:rPr>
                <w:webHidden/>
              </w:rPr>
              <w:fldChar w:fldCharType="end"/>
            </w:r>
          </w:hyperlink>
        </w:p>
        <w:p w14:paraId="321506F2" w14:textId="597897E8" w:rsidR="00F714B7" w:rsidRDefault="006461E1">
          <w:pPr>
            <w:pStyle w:val="TOC3"/>
            <w:rPr>
              <w:rFonts w:asciiTheme="minorHAnsi" w:hAnsiTheme="minorHAnsi"/>
              <w:lang w:val="en-GB" w:eastAsia="en-GB"/>
            </w:rPr>
          </w:pPr>
          <w:hyperlink w:anchor="_Toc103695048" w:history="1">
            <w:r w:rsidR="00F714B7" w:rsidRPr="00265258">
              <w:rPr>
                <w:rStyle w:val="Hyperlink"/>
              </w:rPr>
              <w:t>Emergency Preparedness, Resilience and Response</w:t>
            </w:r>
            <w:r w:rsidR="00F714B7">
              <w:rPr>
                <w:webHidden/>
              </w:rPr>
              <w:tab/>
            </w:r>
            <w:r w:rsidR="00F714B7">
              <w:rPr>
                <w:webHidden/>
              </w:rPr>
              <w:fldChar w:fldCharType="begin"/>
            </w:r>
            <w:r w:rsidR="00F714B7">
              <w:rPr>
                <w:webHidden/>
              </w:rPr>
              <w:instrText xml:space="preserve"> PAGEREF _Toc103695048 \h </w:instrText>
            </w:r>
            <w:r w:rsidR="00F714B7">
              <w:rPr>
                <w:webHidden/>
              </w:rPr>
            </w:r>
            <w:r w:rsidR="00F714B7">
              <w:rPr>
                <w:webHidden/>
              </w:rPr>
              <w:fldChar w:fldCharType="separate"/>
            </w:r>
            <w:r w:rsidR="00F714B7">
              <w:rPr>
                <w:webHidden/>
              </w:rPr>
              <w:t>54</w:t>
            </w:r>
            <w:r w:rsidR="00F714B7">
              <w:rPr>
                <w:webHidden/>
              </w:rPr>
              <w:fldChar w:fldCharType="end"/>
            </w:r>
          </w:hyperlink>
        </w:p>
        <w:p w14:paraId="6BB84741" w14:textId="237E3784" w:rsidR="00F714B7" w:rsidRDefault="006461E1">
          <w:pPr>
            <w:pStyle w:val="TOC3"/>
            <w:rPr>
              <w:rFonts w:asciiTheme="minorHAnsi" w:hAnsiTheme="minorHAnsi"/>
              <w:lang w:val="en-GB" w:eastAsia="en-GB"/>
            </w:rPr>
          </w:pPr>
          <w:hyperlink w:anchor="_Toc103695049" w:history="1">
            <w:r w:rsidR="00F714B7" w:rsidRPr="00265258">
              <w:rPr>
                <w:rStyle w:val="Hyperlink"/>
              </w:rPr>
              <w:t>Statement of Disclosure to Auditors</w:t>
            </w:r>
            <w:r w:rsidR="00F714B7">
              <w:rPr>
                <w:webHidden/>
              </w:rPr>
              <w:tab/>
            </w:r>
            <w:r w:rsidR="00F714B7">
              <w:rPr>
                <w:webHidden/>
              </w:rPr>
              <w:fldChar w:fldCharType="begin"/>
            </w:r>
            <w:r w:rsidR="00F714B7">
              <w:rPr>
                <w:webHidden/>
              </w:rPr>
              <w:instrText xml:space="preserve"> PAGEREF _Toc103695049 \h </w:instrText>
            </w:r>
            <w:r w:rsidR="00F714B7">
              <w:rPr>
                <w:webHidden/>
              </w:rPr>
            </w:r>
            <w:r w:rsidR="00F714B7">
              <w:rPr>
                <w:webHidden/>
              </w:rPr>
              <w:fldChar w:fldCharType="separate"/>
            </w:r>
            <w:r w:rsidR="00F714B7">
              <w:rPr>
                <w:webHidden/>
              </w:rPr>
              <w:t>55</w:t>
            </w:r>
            <w:r w:rsidR="00F714B7">
              <w:rPr>
                <w:webHidden/>
              </w:rPr>
              <w:fldChar w:fldCharType="end"/>
            </w:r>
          </w:hyperlink>
        </w:p>
        <w:p w14:paraId="1792848C" w14:textId="51536167" w:rsidR="00F714B7" w:rsidRDefault="006461E1">
          <w:pPr>
            <w:pStyle w:val="TOC3"/>
            <w:rPr>
              <w:rFonts w:asciiTheme="minorHAnsi" w:hAnsiTheme="minorHAnsi"/>
              <w:lang w:val="en-GB" w:eastAsia="en-GB"/>
            </w:rPr>
          </w:pPr>
          <w:hyperlink w:anchor="_Toc103695050" w:history="1">
            <w:r w:rsidR="00F714B7" w:rsidRPr="00265258">
              <w:rPr>
                <w:rStyle w:val="Hyperlink"/>
                <w:rFonts w:eastAsia="Arial" w:cs="Arial"/>
              </w:rPr>
              <w:t>Statement of Accountable Officer’s Responsibilities</w:t>
            </w:r>
            <w:r w:rsidR="00F714B7">
              <w:rPr>
                <w:webHidden/>
              </w:rPr>
              <w:tab/>
            </w:r>
            <w:r w:rsidR="00F714B7">
              <w:rPr>
                <w:webHidden/>
              </w:rPr>
              <w:fldChar w:fldCharType="begin"/>
            </w:r>
            <w:r w:rsidR="00F714B7">
              <w:rPr>
                <w:webHidden/>
              </w:rPr>
              <w:instrText xml:space="preserve"> PAGEREF _Toc103695050 \h </w:instrText>
            </w:r>
            <w:r w:rsidR="00F714B7">
              <w:rPr>
                <w:webHidden/>
              </w:rPr>
            </w:r>
            <w:r w:rsidR="00F714B7">
              <w:rPr>
                <w:webHidden/>
              </w:rPr>
              <w:fldChar w:fldCharType="separate"/>
            </w:r>
            <w:r w:rsidR="00F714B7">
              <w:rPr>
                <w:webHidden/>
              </w:rPr>
              <w:t>56</w:t>
            </w:r>
            <w:r w:rsidR="00F714B7">
              <w:rPr>
                <w:webHidden/>
              </w:rPr>
              <w:fldChar w:fldCharType="end"/>
            </w:r>
          </w:hyperlink>
        </w:p>
        <w:p w14:paraId="6AF3B31E" w14:textId="1B5357EE" w:rsidR="00F714B7" w:rsidRDefault="006461E1">
          <w:pPr>
            <w:pStyle w:val="TOC2"/>
            <w:rPr>
              <w:rFonts w:asciiTheme="minorHAnsi" w:hAnsiTheme="minorHAnsi"/>
              <w:lang w:val="en-GB" w:eastAsia="en-GB"/>
            </w:rPr>
          </w:pPr>
          <w:hyperlink w:anchor="_Toc103695051" w:history="1">
            <w:r w:rsidR="00F714B7" w:rsidRPr="00265258">
              <w:rPr>
                <w:rStyle w:val="Hyperlink"/>
                <w:rFonts w:eastAsia="Arial" w:cstheme="majorBidi"/>
                <w:b/>
                <w:bCs/>
              </w:rPr>
              <w:t>Governance Statement</w:t>
            </w:r>
            <w:r w:rsidR="00F714B7">
              <w:rPr>
                <w:webHidden/>
              </w:rPr>
              <w:tab/>
            </w:r>
            <w:r w:rsidR="00F714B7">
              <w:rPr>
                <w:webHidden/>
              </w:rPr>
              <w:fldChar w:fldCharType="begin"/>
            </w:r>
            <w:r w:rsidR="00F714B7">
              <w:rPr>
                <w:webHidden/>
              </w:rPr>
              <w:instrText xml:space="preserve"> PAGEREF _Toc103695051 \h </w:instrText>
            </w:r>
            <w:r w:rsidR="00F714B7">
              <w:rPr>
                <w:webHidden/>
              </w:rPr>
            </w:r>
            <w:r w:rsidR="00F714B7">
              <w:rPr>
                <w:webHidden/>
              </w:rPr>
              <w:fldChar w:fldCharType="separate"/>
            </w:r>
            <w:r w:rsidR="00F714B7">
              <w:rPr>
                <w:webHidden/>
              </w:rPr>
              <w:t>57</w:t>
            </w:r>
            <w:r w:rsidR="00F714B7">
              <w:rPr>
                <w:webHidden/>
              </w:rPr>
              <w:fldChar w:fldCharType="end"/>
            </w:r>
          </w:hyperlink>
        </w:p>
        <w:p w14:paraId="222B71F2" w14:textId="6944854F" w:rsidR="00F714B7" w:rsidRDefault="006461E1">
          <w:pPr>
            <w:pStyle w:val="TOC2"/>
            <w:rPr>
              <w:rFonts w:asciiTheme="minorHAnsi" w:hAnsiTheme="minorHAnsi"/>
              <w:lang w:val="en-GB" w:eastAsia="en-GB"/>
            </w:rPr>
          </w:pPr>
          <w:hyperlink w:anchor="_Toc103695052" w:history="1">
            <w:r w:rsidR="00F714B7" w:rsidRPr="00265258">
              <w:rPr>
                <w:rStyle w:val="Hyperlink"/>
              </w:rPr>
              <w:t>Remuneration Report</w:t>
            </w:r>
            <w:r w:rsidR="00F714B7">
              <w:rPr>
                <w:webHidden/>
              </w:rPr>
              <w:tab/>
            </w:r>
            <w:r w:rsidR="00F714B7">
              <w:rPr>
                <w:webHidden/>
              </w:rPr>
              <w:fldChar w:fldCharType="begin"/>
            </w:r>
            <w:r w:rsidR="00F714B7">
              <w:rPr>
                <w:webHidden/>
              </w:rPr>
              <w:instrText xml:space="preserve"> PAGEREF _Toc103695052 \h </w:instrText>
            </w:r>
            <w:r w:rsidR="00F714B7">
              <w:rPr>
                <w:webHidden/>
              </w:rPr>
            </w:r>
            <w:r w:rsidR="00F714B7">
              <w:rPr>
                <w:webHidden/>
              </w:rPr>
              <w:fldChar w:fldCharType="separate"/>
            </w:r>
            <w:r w:rsidR="00F714B7">
              <w:rPr>
                <w:webHidden/>
              </w:rPr>
              <w:t>78</w:t>
            </w:r>
            <w:r w:rsidR="00F714B7">
              <w:rPr>
                <w:webHidden/>
              </w:rPr>
              <w:fldChar w:fldCharType="end"/>
            </w:r>
          </w:hyperlink>
        </w:p>
        <w:p w14:paraId="77BF280D" w14:textId="4C2A7DCA" w:rsidR="00F714B7" w:rsidRDefault="006461E1">
          <w:pPr>
            <w:pStyle w:val="TOC3"/>
            <w:rPr>
              <w:rFonts w:asciiTheme="minorHAnsi" w:hAnsiTheme="minorHAnsi"/>
              <w:lang w:val="en-GB" w:eastAsia="en-GB"/>
            </w:rPr>
          </w:pPr>
          <w:hyperlink w:anchor="_Toc103695053" w:history="1">
            <w:r w:rsidR="00F714B7" w:rsidRPr="00265258">
              <w:rPr>
                <w:rStyle w:val="Hyperlink"/>
              </w:rPr>
              <w:t>Remuneration</w:t>
            </w:r>
            <w:r w:rsidR="00F714B7">
              <w:rPr>
                <w:webHidden/>
              </w:rPr>
              <w:tab/>
            </w:r>
            <w:r w:rsidR="00F714B7">
              <w:rPr>
                <w:webHidden/>
              </w:rPr>
              <w:fldChar w:fldCharType="begin"/>
            </w:r>
            <w:r w:rsidR="00F714B7">
              <w:rPr>
                <w:webHidden/>
              </w:rPr>
              <w:instrText xml:space="preserve"> PAGEREF _Toc103695053 \h </w:instrText>
            </w:r>
            <w:r w:rsidR="00F714B7">
              <w:rPr>
                <w:webHidden/>
              </w:rPr>
            </w:r>
            <w:r w:rsidR="00F714B7">
              <w:rPr>
                <w:webHidden/>
              </w:rPr>
              <w:fldChar w:fldCharType="separate"/>
            </w:r>
            <w:r w:rsidR="00F714B7">
              <w:rPr>
                <w:webHidden/>
              </w:rPr>
              <w:t>78</w:t>
            </w:r>
            <w:r w:rsidR="00F714B7">
              <w:rPr>
                <w:webHidden/>
              </w:rPr>
              <w:fldChar w:fldCharType="end"/>
            </w:r>
          </w:hyperlink>
        </w:p>
        <w:p w14:paraId="7B708470" w14:textId="4E4F6C80" w:rsidR="00F714B7" w:rsidRDefault="006461E1">
          <w:pPr>
            <w:pStyle w:val="TOC3"/>
            <w:rPr>
              <w:rFonts w:asciiTheme="minorHAnsi" w:hAnsiTheme="minorHAnsi"/>
              <w:lang w:val="en-GB" w:eastAsia="en-GB"/>
            </w:rPr>
          </w:pPr>
          <w:hyperlink w:anchor="_Toc103695054" w:history="1">
            <w:r w:rsidR="00F714B7" w:rsidRPr="00265258">
              <w:rPr>
                <w:rStyle w:val="Hyperlink"/>
              </w:rPr>
              <w:t>Remuneration policy 2021-22</w:t>
            </w:r>
            <w:r w:rsidR="00F714B7">
              <w:rPr>
                <w:webHidden/>
              </w:rPr>
              <w:tab/>
            </w:r>
            <w:r w:rsidR="00F714B7">
              <w:rPr>
                <w:webHidden/>
              </w:rPr>
              <w:fldChar w:fldCharType="begin"/>
            </w:r>
            <w:r w:rsidR="00F714B7">
              <w:rPr>
                <w:webHidden/>
              </w:rPr>
              <w:instrText xml:space="preserve"> PAGEREF _Toc103695054 \h </w:instrText>
            </w:r>
            <w:r w:rsidR="00F714B7">
              <w:rPr>
                <w:webHidden/>
              </w:rPr>
            </w:r>
            <w:r w:rsidR="00F714B7">
              <w:rPr>
                <w:webHidden/>
              </w:rPr>
              <w:fldChar w:fldCharType="separate"/>
            </w:r>
            <w:r w:rsidR="00F714B7">
              <w:rPr>
                <w:webHidden/>
              </w:rPr>
              <w:t>78</w:t>
            </w:r>
            <w:r w:rsidR="00F714B7">
              <w:rPr>
                <w:webHidden/>
              </w:rPr>
              <w:fldChar w:fldCharType="end"/>
            </w:r>
          </w:hyperlink>
        </w:p>
        <w:p w14:paraId="2695B77F" w14:textId="6FB83C78" w:rsidR="00F714B7" w:rsidRDefault="006461E1">
          <w:pPr>
            <w:pStyle w:val="TOC3"/>
            <w:rPr>
              <w:rFonts w:asciiTheme="minorHAnsi" w:hAnsiTheme="minorHAnsi"/>
              <w:lang w:val="en-GB" w:eastAsia="en-GB"/>
            </w:rPr>
          </w:pPr>
          <w:hyperlink w:anchor="_Toc103695055" w:history="1">
            <w:r w:rsidR="00F714B7" w:rsidRPr="00265258">
              <w:rPr>
                <w:rStyle w:val="Hyperlink"/>
                <w:rFonts w:cs="Calibri"/>
              </w:rPr>
              <w:t>Remuneration Committee Membership</w:t>
            </w:r>
            <w:r w:rsidR="00F714B7">
              <w:rPr>
                <w:webHidden/>
              </w:rPr>
              <w:tab/>
            </w:r>
            <w:r w:rsidR="00F714B7">
              <w:rPr>
                <w:webHidden/>
              </w:rPr>
              <w:fldChar w:fldCharType="begin"/>
            </w:r>
            <w:r w:rsidR="00F714B7">
              <w:rPr>
                <w:webHidden/>
              </w:rPr>
              <w:instrText xml:space="preserve"> PAGEREF _Toc103695055 \h </w:instrText>
            </w:r>
            <w:r w:rsidR="00F714B7">
              <w:rPr>
                <w:webHidden/>
              </w:rPr>
            </w:r>
            <w:r w:rsidR="00F714B7">
              <w:rPr>
                <w:webHidden/>
              </w:rPr>
              <w:fldChar w:fldCharType="separate"/>
            </w:r>
            <w:r w:rsidR="00F714B7">
              <w:rPr>
                <w:webHidden/>
              </w:rPr>
              <w:t>78</w:t>
            </w:r>
            <w:r w:rsidR="00F714B7">
              <w:rPr>
                <w:webHidden/>
              </w:rPr>
              <w:fldChar w:fldCharType="end"/>
            </w:r>
          </w:hyperlink>
        </w:p>
        <w:p w14:paraId="58AD51E3" w14:textId="56FD1D4C" w:rsidR="00F714B7" w:rsidRDefault="006461E1">
          <w:pPr>
            <w:pStyle w:val="TOC3"/>
            <w:rPr>
              <w:rFonts w:asciiTheme="minorHAnsi" w:hAnsiTheme="minorHAnsi"/>
              <w:lang w:val="en-GB" w:eastAsia="en-GB"/>
            </w:rPr>
          </w:pPr>
          <w:hyperlink w:anchor="_Toc103695056" w:history="1">
            <w:r w:rsidR="00F714B7" w:rsidRPr="00265258">
              <w:rPr>
                <w:rStyle w:val="Hyperlink"/>
              </w:rPr>
              <w:t>Senior manager remuneration 2021-22 (including salary and pension entitlements) (subject to audit)</w:t>
            </w:r>
            <w:r w:rsidR="00F714B7">
              <w:rPr>
                <w:webHidden/>
              </w:rPr>
              <w:tab/>
            </w:r>
            <w:r w:rsidR="00F714B7">
              <w:rPr>
                <w:webHidden/>
              </w:rPr>
              <w:fldChar w:fldCharType="begin"/>
            </w:r>
            <w:r w:rsidR="00F714B7">
              <w:rPr>
                <w:webHidden/>
              </w:rPr>
              <w:instrText xml:space="preserve"> PAGEREF _Toc103695056 \h </w:instrText>
            </w:r>
            <w:r w:rsidR="00F714B7">
              <w:rPr>
                <w:webHidden/>
              </w:rPr>
            </w:r>
            <w:r w:rsidR="00F714B7">
              <w:rPr>
                <w:webHidden/>
              </w:rPr>
              <w:fldChar w:fldCharType="separate"/>
            </w:r>
            <w:r w:rsidR="00F714B7">
              <w:rPr>
                <w:webHidden/>
              </w:rPr>
              <w:t>79</w:t>
            </w:r>
            <w:r w:rsidR="00F714B7">
              <w:rPr>
                <w:webHidden/>
              </w:rPr>
              <w:fldChar w:fldCharType="end"/>
            </w:r>
          </w:hyperlink>
        </w:p>
        <w:p w14:paraId="0C2B47A3" w14:textId="635E12B6" w:rsidR="00F714B7" w:rsidRDefault="006461E1">
          <w:pPr>
            <w:pStyle w:val="TOC3"/>
            <w:rPr>
              <w:rFonts w:asciiTheme="minorHAnsi" w:hAnsiTheme="minorHAnsi"/>
              <w:lang w:val="en-GB" w:eastAsia="en-GB"/>
            </w:rPr>
          </w:pPr>
          <w:hyperlink w:anchor="_Toc103695057" w:history="1">
            <w:r w:rsidR="00F714B7" w:rsidRPr="00265258">
              <w:rPr>
                <w:rStyle w:val="Hyperlink"/>
              </w:rPr>
              <w:t>Senior manager remuneration 2020-21 (including salary and pension entitlements) (subject to audit)</w:t>
            </w:r>
            <w:r w:rsidR="00F714B7">
              <w:rPr>
                <w:webHidden/>
              </w:rPr>
              <w:tab/>
            </w:r>
            <w:r w:rsidR="00F714B7">
              <w:rPr>
                <w:webHidden/>
              </w:rPr>
              <w:fldChar w:fldCharType="begin"/>
            </w:r>
            <w:r w:rsidR="00F714B7">
              <w:rPr>
                <w:webHidden/>
              </w:rPr>
              <w:instrText xml:space="preserve"> PAGEREF _Toc103695057 \h </w:instrText>
            </w:r>
            <w:r w:rsidR="00F714B7">
              <w:rPr>
                <w:webHidden/>
              </w:rPr>
            </w:r>
            <w:r w:rsidR="00F714B7">
              <w:rPr>
                <w:webHidden/>
              </w:rPr>
              <w:fldChar w:fldCharType="separate"/>
            </w:r>
            <w:r w:rsidR="00F714B7">
              <w:rPr>
                <w:webHidden/>
              </w:rPr>
              <w:t>80</w:t>
            </w:r>
            <w:r w:rsidR="00F714B7">
              <w:rPr>
                <w:webHidden/>
              </w:rPr>
              <w:fldChar w:fldCharType="end"/>
            </w:r>
          </w:hyperlink>
        </w:p>
        <w:p w14:paraId="7367E758" w14:textId="7EDAB727" w:rsidR="00F714B7" w:rsidRDefault="006461E1">
          <w:pPr>
            <w:pStyle w:val="TOC3"/>
            <w:rPr>
              <w:rFonts w:asciiTheme="minorHAnsi" w:hAnsiTheme="minorHAnsi"/>
              <w:lang w:val="en-GB" w:eastAsia="en-GB"/>
            </w:rPr>
          </w:pPr>
          <w:hyperlink w:anchor="_Toc103695058" w:history="1">
            <w:r w:rsidR="00F714B7" w:rsidRPr="00265258">
              <w:rPr>
                <w:rStyle w:val="Hyperlink"/>
              </w:rPr>
              <w:t>Pensions Table 2021-22 (subject to audit)</w:t>
            </w:r>
            <w:r w:rsidR="00F714B7">
              <w:rPr>
                <w:webHidden/>
              </w:rPr>
              <w:tab/>
            </w:r>
            <w:r w:rsidR="00F714B7">
              <w:rPr>
                <w:webHidden/>
              </w:rPr>
              <w:fldChar w:fldCharType="begin"/>
            </w:r>
            <w:r w:rsidR="00F714B7">
              <w:rPr>
                <w:webHidden/>
              </w:rPr>
              <w:instrText xml:space="preserve"> PAGEREF _Toc103695058 \h </w:instrText>
            </w:r>
            <w:r w:rsidR="00F714B7">
              <w:rPr>
                <w:webHidden/>
              </w:rPr>
            </w:r>
            <w:r w:rsidR="00F714B7">
              <w:rPr>
                <w:webHidden/>
              </w:rPr>
              <w:fldChar w:fldCharType="separate"/>
            </w:r>
            <w:r w:rsidR="00F714B7">
              <w:rPr>
                <w:webHidden/>
              </w:rPr>
              <w:t>81</w:t>
            </w:r>
            <w:r w:rsidR="00F714B7">
              <w:rPr>
                <w:webHidden/>
              </w:rPr>
              <w:fldChar w:fldCharType="end"/>
            </w:r>
          </w:hyperlink>
        </w:p>
        <w:p w14:paraId="7422FE78" w14:textId="3F8BDC3F" w:rsidR="00F714B7" w:rsidRDefault="006461E1">
          <w:pPr>
            <w:pStyle w:val="TOC2"/>
            <w:rPr>
              <w:rFonts w:asciiTheme="minorHAnsi" w:hAnsiTheme="minorHAnsi"/>
              <w:lang w:val="en-GB" w:eastAsia="en-GB"/>
            </w:rPr>
          </w:pPr>
          <w:hyperlink w:anchor="_Toc103695059" w:history="1">
            <w:r w:rsidR="00F714B7" w:rsidRPr="00265258">
              <w:rPr>
                <w:rStyle w:val="Hyperlink"/>
              </w:rPr>
              <w:t>Fair Pay Disclosure and Pay ratio information</w:t>
            </w:r>
            <w:r w:rsidR="00F714B7" w:rsidRPr="00265258">
              <w:rPr>
                <w:rStyle w:val="Hyperlink"/>
                <w:rFonts w:eastAsiaTheme="majorEastAsia" w:cstheme="majorBidi"/>
              </w:rPr>
              <w:t xml:space="preserve"> (subject to audit)</w:t>
            </w:r>
            <w:r w:rsidR="00F714B7">
              <w:rPr>
                <w:webHidden/>
              </w:rPr>
              <w:tab/>
            </w:r>
            <w:r w:rsidR="00F714B7">
              <w:rPr>
                <w:webHidden/>
              </w:rPr>
              <w:fldChar w:fldCharType="begin"/>
            </w:r>
            <w:r w:rsidR="00F714B7">
              <w:rPr>
                <w:webHidden/>
              </w:rPr>
              <w:instrText xml:space="preserve"> PAGEREF _Toc103695059 \h </w:instrText>
            </w:r>
            <w:r w:rsidR="00F714B7">
              <w:rPr>
                <w:webHidden/>
              </w:rPr>
            </w:r>
            <w:r w:rsidR="00F714B7">
              <w:rPr>
                <w:webHidden/>
              </w:rPr>
              <w:fldChar w:fldCharType="separate"/>
            </w:r>
            <w:r w:rsidR="00F714B7">
              <w:rPr>
                <w:webHidden/>
              </w:rPr>
              <w:t>82</w:t>
            </w:r>
            <w:r w:rsidR="00F714B7">
              <w:rPr>
                <w:webHidden/>
              </w:rPr>
              <w:fldChar w:fldCharType="end"/>
            </w:r>
          </w:hyperlink>
        </w:p>
        <w:p w14:paraId="7D894A2F" w14:textId="5DBF8D28" w:rsidR="00F714B7" w:rsidRDefault="006461E1">
          <w:pPr>
            <w:pStyle w:val="TOC3"/>
            <w:rPr>
              <w:rFonts w:asciiTheme="minorHAnsi" w:hAnsiTheme="minorHAnsi"/>
              <w:lang w:val="en-GB" w:eastAsia="en-GB"/>
            </w:rPr>
          </w:pPr>
          <w:hyperlink w:anchor="_Toc103695060" w:history="1">
            <w:r w:rsidR="00F714B7" w:rsidRPr="00265258">
              <w:rPr>
                <w:rStyle w:val="Hyperlink"/>
              </w:rPr>
              <w:t>Audit costs 2021-22</w:t>
            </w:r>
            <w:r w:rsidR="00F714B7">
              <w:rPr>
                <w:webHidden/>
              </w:rPr>
              <w:tab/>
            </w:r>
            <w:r w:rsidR="00F714B7">
              <w:rPr>
                <w:webHidden/>
              </w:rPr>
              <w:fldChar w:fldCharType="begin"/>
            </w:r>
            <w:r w:rsidR="00F714B7">
              <w:rPr>
                <w:webHidden/>
              </w:rPr>
              <w:instrText xml:space="preserve"> PAGEREF _Toc103695060 \h </w:instrText>
            </w:r>
            <w:r w:rsidR="00F714B7">
              <w:rPr>
                <w:webHidden/>
              </w:rPr>
            </w:r>
            <w:r w:rsidR="00F714B7">
              <w:rPr>
                <w:webHidden/>
              </w:rPr>
              <w:fldChar w:fldCharType="separate"/>
            </w:r>
            <w:r w:rsidR="00F714B7">
              <w:rPr>
                <w:webHidden/>
              </w:rPr>
              <w:t>83</w:t>
            </w:r>
            <w:r w:rsidR="00F714B7">
              <w:rPr>
                <w:webHidden/>
              </w:rPr>
              <w:fldChar w:fldCharType="end"/>
            </w:r>
          </w:hyperlink>
        </w:p>
        <w:p w14:paraId="16EFF260" w14:textId="4B8AC349" w:rsidR="00F714B7" w:rsidRDefault="006461E1">
          <w:pPr>
            <w:pStyle w:val="TOC3"/>
            <w:rPr>
              <w:rFonts w:asciiTheme="minorHAnsi" w:hAnsiTheme="minorHAnsi"/>
              <w:lang w:val="en-GB" w:eastAsia="en-GB"/>
            </w:rPr>
          </w:pPr>
          <w:hyperlink w:anchor="_Toc103695061" w:history="1">
            <w:r w:rsidR="00F714B7" w:rsidRPr="00265258">
              <w:rPr>
                <w:rStyle w:val="Hyperlink"/>
              </w:rPr>
              <w:t>Better payments practice code (subject to audit)</w:t>
            </w:r>
            <w:r w:rsidR="00F714B7">
              <w:rPr>
                <w:webHidden/>
              </w:rPr>
              <w:tab/>
            </w:r>
            <w:r w:rsidR="00F714B7">
              <w:rPr>
                <w:webHidden/>
              </w:rPr>
              <w:fldChar w:fldCharType="begin"/>
            </w:r>
            <w:r w:rsidR="00F714B7">
              <w:rPr>
                <w:webHidden/>
              </w:rPr>
              <w:instrText xml:space="preserve"> PAGEREF _Toc103695061 \h </w:instrText>
            </w:r>
            <w:r w:rsidR="00F714B7">
              <w:rPr>
                <w:webHidden/>
              </w:rPr>
            </w:r>
            <w:r w:rsidR="00F714B7">
              <w:rPr>
                <w:webHidden/>
              </w:rPr>
              <w:fldChar w:fldCharType="separate"/>
            </w:r>
            <w:r w:rsidR="00F714B7">
              <w:rPr>
                <w:webHidden/>
              </w:rPr>
              <w:t>83</w:t>
            </w:r>
            <w:r w:rsidR="00F714B7">
              <w:rPr>
                <w:webHidden/>
              </w:rPr>
              <w:fldChar w:fldCharType="end"/>
            </w:r>
          </w:hyperlink>
        </w:p>
        <w:p w14:paraId="0E3205C0" w14:textId="685A3BAC" w:rsidR="00F714B7" w:rsidRDefault="006461E1">
          <w:pPr>
            <w:pStyle w:val="TOC2"/>
            <w:rPr>
              <w:rFonts w:asciiTheme="minorHAnsi" w:hAnsiTheme="minorHAnsi"/>
              <w:lang w:val="en-GB" w:eastAsia="en-GB"/>
            </w:rPr>
          </w:pPr>
          <w:hyperlink w:anchor="_Toc103695062" w:history="1">
            <w:r w:rsidR="00F714B7" w:rsidRPr="00265258">
              <w:rPr>
                <w:rStyle w:val="Hyperlink"/>
              </w:rPr>
              <w:t>Staff Report</w:t>
            </w:r>
            <w:r w:rsidR="00F714B7">
              <w:rPr>
                <w:webHidden/>
              </w:rPr>
              <w:tab/>
            </w:r>
            <w:r w:rsidR="00F714B7">
              <w:rPr>
                <w:webHidden/>
              </w:rPr>
              <w:fldChar w:fldCharType="begin"/>
            </w:r>
            <w:r w:rsidR="00F714B7">
              <w:rPr>
                <w:webHidden/>
              </w:rPr>
              <w:instrText xml:space="preserve"> PAGEREF _Toc103695062 \h </w:instrText>
            </w:r>
            <w:r w:rsidR="00F714B7">
              <w:rPr>
                <w:webHidden/>
              </w:rPr>
            </w:r>
            <w:r w:rsidR="00F714B7">
              <w:rPr>
                <w:webHidden/>
              </w:rPr>
              <w:fldChar w:fldCharType="separate"/>
            </w:r>
            <w:r w:rsidR="00F714B7">
              <w:rPr>
                <w:webHidden/>
              </w:rPr>
              <w:t>85</w:t>
            </w:r>
            <w:r w:rsidR="00F714B7">
              <w:rPr>
                <w:webHidden/>
              </w:rPr>
              <w:fldChar w:fldCharType="end"/>
            </w:r>
          </w:hyperlink>
        </w:p>
        <w:p w14:paraId="3013450F" w14:textId="0A06C5C8" w:rsidR="00F714B7" w:rsidRDefault="006461E1">
          <w:pPr>
            <w:pStyle w:val="TOC2"/>
            <w:rPr>
              <w:rFonts w:asciiTheme="minorHAnsi" w:hAnsiTheme="minorHAnsi"/>
              <w:lang w:val="en-GB" w:eastAsia="en-GB"/>
            </w:rPr>
          </w:pPr>
          <w:hyperlink w:anchor="_Toc103695063" w:history="1">
            <w:r w:rsidR="00F714B7" w:rsidRPr="00265258">
              <w:rPr>
                <w:rStyle w:val="Hyperlink"/>
                <w:rFonts w:eastAsiaTheme="majorEastAsia" w:cstheme="majorBidi"/>
              </w:rPr>
              <w:t>Promoting Equality 2021-22</w:t>
            </w:r>
            <w:r w:rsidR="00F714B7">
              <w:rPr>
                <w:webHidden/>
              </w:rPr>
              <w:tab/>
            </w:r>
            <w:r w:rsidR="00F714B7">
              <w:rPr>
                <w:webHidden/>
              </w:rPr>
              <w:fldChar w:fldCharType="begin"/>
            </w:r>
            <w:r w:rsidR="00F714B7">
              <w:rPr>
                <w:webHidden/>
              </w:rPr>
              <w:instrText xml:space="preserve"> PAGEREF _Toc103695063 \h </w:instrText>
            </w:r>
            <w:r w:rsidR="00F714B7">
              <w:rPr>
                <w:webHidden/>
              </w:rPr>
            </w:r>
            <w:r w:rsidR="00F714B7">
              <w:rPr>
                <w:webHidden/>
              </w:rPr>
              <w:fldChar w:fldCharType="separate"/>
            </w:r>
            <w:r w:rsidR="00F714B7">
              <w:rPr>
                <w:webHidden/>
              </w:rPr>
              <w:t>85</w:t>
            </w:r>
            <w:r w:rsidR="00F714B7">
              <w:rPr>
                <w:webHidden/>
              </w:rPr>
              <w:fldChar w:fldCharType="end"/>
            </w:r>
          </w:hyperlink>
        </w:p>
        <w:p w14:paraId="6E4D0DAA" w14:textId="2F67BD52" w:rsidR="00F714B7" w:rsidRDefault="006461E1">
          <w:pPr>
            <w:pStyle w:val="TOC3"/>
            <w:rPr>
              <w:rFonts w:asciiTheme="minorHAnsi" w:hAnsiTheme="minorHAnsi"/>
              <w:lang w:val="en-GB" w:eastAsia="en-GB"/>
            </w:rPr>
          </w:pPr>
          <w:hyperlink w:anchor="_Toc103695064" w:history="1">
            <w:r w:rsidR="00F714B7" w:rsidRPr="00265258">
              <w:rPr>
                <w:rStyle w:val="Hyperlink"/>
              </w:rPr>
              <w:t>Staff engagement, workforce health and wellbeing</w:t>
            </w:r>
            <w:r w:rsidR="00F714B7">
              <w:rPr>
                <w:webHidden/>
              </w:rPr>
              <w:tab/>
            </w:r>
            <w:r w:rsidR="00F714B7">
              <w:rPr>
                <w:webHidden/>
              </w:rPr>
              <w:fldChar w:fldCharType="begin"/>
            </w:r>
            <w:r w:rsidR="00F714B7">
              <w:rPr>
                <w:webHidden/>
              </w:rPr>
              <w:instrText xml:space="preserve"> PAGEREF _Toc103695064 \h </w:instrText>
            </w:r>
            <w:r w:rsidR="00F714B7">
              <w:rPr>
                <w:webHidden/>
              </w:rPr>
            </w:r>
            <w:r w:rsidR="00F714B7">
              <w:rPr>
                <w:webHidden/>
              </w:rPr>
              <w:fldChar w:fldCharType="separate"/>
            </w:r>
            <w:r w:rsidR="00F714B7">
              <w:rPr>
                <w:webHidden/>
              </w:rPr>
              <w:t>88</w:t>
            </w:r>
            <w:r w:rsidR="00F714B7">
              <w:rPr>
                <w:webHidden/>
              </w:rPr>
              <w:fldChar w:fldCharType="end"/>
            </w:r>
          </w:hyperlink>
        </w:p>
        <w:p w14:paraId="1D121BF6" w14:textId="24F1AE87" w:rsidR="00F714B7" w:rsidRDefault="006461E1">
          <w:pPr>
            <w:pStyle w:val="TOC3"/>
            <w:rPr>
              <w:rFonts w:asciiTheme="minorHAnsi" w:hAnsiTheme="minorHAnsi"/>
              <w:lang w:val="en-GB" w:eastAsia="en-GB"/>
            </w:rPr>
          </w:pPr>
          <w:hyperlink w:anchor="_Toc103695065" w:history="1">
            <w:r w:rsidR="00F714B7" w:rsidRPr="00265258">
              <w:rPr>
                <w:rStyle w:val="Hyperlink"/>
              </w:rPr>
              <w:t>Health and Safety performance 2021-22</w:t>
            </w:r>
            <w:r w:rsidR="00F714B7">
              <w:rPr>
                <w:webHidden/>
              </w:rPr>
              <w:tab/>
            </w:r>
            <w:r w:rsidR="00F714B7">
              <w:rPr>
                <w:webHidden/>
              </w:rPr>
              <w:fldChar w:fldCharType="begin"/>
            </w:r>
            <w:r w:rsidR="00F714B7">
              <w:rPr>
                <w:webHidden/>
              </w:rPr>
              <w:instrText xml:space="preserve"> PAGEREF _Toc103695065 \h </w:instrText>
            </w:r>
            <w:r w:rsidR="00F714B7">
              <w:rPr>
                <w:webHidden/>
              </w:rPr>
            </w:r>
            <w:r w:rsidR="00F714B7">
              <w:rPr>
                <w:webHidden/>
              </w:rPr>
              <w:fldChar w:fldCharType="separate"/>
            </w:r>
            <w:r w:rsidR="00F714B7">
              <w:rPr>
                <w:webHidden/>
              </w:rPr>
              <w:t>89</w:t>
            </w:r>
            <w:r w:rsidR="00F714B7">
              <w:rPr>
                <w:webHidden/>
              </w:rPr>
              <w:fldChar w:fldCharType="end"/>
            </w:r>
          </w:hyperlink>
        </w:p>
        <w:p w14:paraId="5AC760BE" w14:textId="2120B1F2" w:rsidR="00F714B7" w:rsidRDefault="006461E1">
          <w:pPr>
            <w:pStyle w:val="TOC3"/>
            <w:rPr>
              <w:rFonts w:asciiTheme="minorHAnsi" w:hAnsiTheme="minorHAnsi"/>
              <w:lang w:val="en-GB" w:eastAsia="en-GB"/>
            </w:rPr>
          </w:pPr>
          <w:hyperlink w:anchor="_Toc103695066" w:history="1">
            <w:r w:rsidR="00F714B7" w:rsidRPr="00265258">
              <w:rPr>
                <w:rStyle w:val="Hyperlink"/>
              </w:rPr>
              <w:t>Staff consultation</w:t>
            </w:r>
            <w:r w:rsidR="00F714B7">
              <w:rPr>
                <w:webHidden/>
              </w:rPr>
              <w:tab/>
            </w:r>
            <w:r w:rsidR="00F714B7">
              <w:rPr>
                <w:webHidden/>
              </w:rPr>
              <w:fldChar w:fldCharType="begin"/>
            </w:r>
            <w:r w:rsidR="00F714B7">
              <w:rPr>
                <w:webHidden/>
              </w:rPr>
              <w:instrText xml:space="preserve"> PAGEREF _Toc103695066 \h </w:instrText>
            </w:r>
            <w:r w:rsidR="00F714B7">
              <w:rPr>
                <w:webHidden/>
              </w:rPr>
            </w:r>
            <w:r w:rsidR="00F714B7">
              <w:rPr>
                <w:webHidden/>
              </w:rPr>
              <w:fldChar w:fldCharType="separate"/>
            </w:r>
            <w:r w:rsidR="00F714B7">
              <w:rPr>
                <w:webHidden/>
              </w:rPr>
              <w:t>90</w:t>
            </w:r>
            <w:r w:rsidR="00F714B7">
              <w:rPr>
                <w:webHidden/>
              </w:rPr>
              <w:fldChar w:fldCharType="end"/>
            </w:r>
          </w:hyperlink>
        </w:p>
        <w:p w14:paraId="2DD73197" w14:textId="5410763E" w:rsidR="00F714B7" w:rsidRDefault="006461E1">
          <w:pPr>
            <w:pStyle w:val="TOC3"/>
            <w:rPr>
              <w:rFonts w:asciiTheme="minorHAnsi" w:hAnsiTheme="minorHAnsi"/>
              <w:lang w:val="en-GB" w:eastAsia="en-GB"/>
            </w:rPr>
          </w:pPr>
          <w:hyperlink w:anchor="_Toc103695067" w:history="1">
            <w:r w:rsidR="00F714B7" w:rsidRPr="00265258">
              <w:rPr>
                <w:rStyle w:val="Hyperlink"/>
              </w:rPr>
              <w:t>Trade union facility time 2021-22</w:t>
            </w:r>
            <w:r w:rsidR="00F714B7">
              <w:rPr>
                <w:webHidden/>
              </w:rPr>
              <w:tab/>
            </w:r>
            <w:r w:rsidR="00F714B7">
              <w:rPr>
                <w:webHidden/>
              </w:rPr>
              <w:fldChar w:fldCharType="begin"/>
            </w:r>
            <w:r w:rsidR="00F714B7">
              <w:rPr>
                <w:webHidden/>
              </w:rPr>
              <w:instrText xml:space="preserve"> PAGEREF _Toc103695067 \h </w:instrText>
            </w:r>
            <w:r w:rsidR="00F714B7">
              <w:rPr>
                <w:webHidden/>
              </w:rPr>
            </w:r>
            <w:r w:rsidR="00F714B7">
              <w:rPr>
                <w:webHidden/>
              </w:rPr>
              <w:fldChar w:fldCharType="separate"/>
            </w:r>
            <w:r w:rsidR="00F714B7">
              <w:rPr>
                <w:webHidden/>
              </w:rPr>
              <w:t>90</w:t>
            </w:r>
            <w:r w:rsidR="00F714B7">
              <w:rPr>
                <w:webHidden/>
              </w:rPr>
              <w:fldChar w:fldCharType="end"/>
            </w:r>
          </w:hyperlink>
        </w:p>
        <w:p w14:paraId="33963C28" w14:textId="0DDBAFE2" w:rsidR="00F714B7" w:rsidRDefault="006461E1">
          <w:pPr>
            <w:pStyle w:val="TOC3"/>
            <w:rPr>
              <w:rFonts w:asciiTheme="minorHAnsi" w:hAnsiTheme="minorHAnsi"/>
              <w:lang w:val="en-GB" w:eastAsia="en-GB"/>
            </w:rPr>
          </w:pPr>
          <w:hyperlink w:anchor="_Toc103695068" w:history="1">
            <w:r w:rsidR="00F714B7" w:rsidRPr="00265258">
              <w:rPr>
                <w:rStyle w:val="Hyperlink"/>
                <w:rFonts w:cs="Arial"/>
              </w:rPr>
              <w:t>CCG staff numbers 2021-22 (senior managers)</w:t>
            </w:r>
            <w:r w:rsidR="00F714B7">
              <w:rPr>
                <w:webHidden/>
              </w:rPr>
              <w:tab/>
            </w:r>
            <w:r w:rsidR="00F714B7">
              <w:rPr>
                <w:webHidden/>
              </w:rPr>
              <w:fldChar w:fldCharType="begin"/>
            </w:r>
            <w:r w:rsidR="00F714B7">
              <w:rPr>
                <w:webHidden/>
              </w:rPr>
              <w:instrText xml:space="preserve"> PAGEREF _Toc103695068 \h </w:instrText>
            </w:r>
            <w:r w:rsidR="00F714B7">
              <w:rPr>
                <w:webHidden/>
              </w:rPr>
            </w:r>
            <w:r w:rsidR="00F714B7">
              <w:rPr>
                <w:webHidden/>
              </w:rPr>
              <w:fldChar w:fldCharType="separate"/>
            </w:r>
            <w:r w:rsidR="00F714B7">
              <w:rPr>
                <w:webHidden/>
              </w:rPr>
              <w:t>91</w:t>
            </w:r>
            <w:r w:rsidR="00F714B7">
              <w:rPr>
                <w:webHidden/>
              </w:rPr>
              <w:fldChar w:fldCharType="end"/>
            </w:r>
          </w:hyperlink>
        </w:p>
        <w:p w14:paraId="258E9D41" w14:textId="472855D0" w:rsidR="00F714B7" w:rsidRDefault="006461E1">
          <w:pPr>
            <w:pStyle w:val="TOC3"/>
            <w:rPr>
              <w:rFonts w:asciiTheme="minorHAnsi" w:hAnsiTheme="minorHAnsi"/>
              <w:lang w:val="en-GB" w:eastAsia="en-GB"/>
            </w:rPr>
          </w:pPr>
          <w:hyperlink w:anchor="_Toc103695069" w:history="1">
            <w:r w:rsidR="00F714B7" w:rsidRPr="00265258">
              <w:rPr>
                <w:rStyle w:val="Hyperlink"/>
              </w:rPr>
              <w:t>Gender composition for staff, Governing Body and Council of Members 2021-22</w:t>
            </w:r>
            <w:r w:rsidR="00F714B7">
              <w:rPr>
                <w:webHidden/>
              </w:rPr>
              <w:tab/>
            </w:r>
            <w:r w:rsidR="00F714B7">
              <w:rPr>
                <w:webHidden/>
              </w:rPr>
              <w:fldChar w:fldCharType="begin"/>
            </w:r>
            <w:r w:rsidR="00F714B7">
              <w:rPr>
                <w:webHidden/>
              </w:rPr>
              <w:instrText xml:space="preserve"> PAGEREF _Toc103695069 \h </w:instrText>
            </w:r>
            <w:r w:rsidR="00F714B7">
              <w:rPr>
                <w:webHidden/>
              </w:rPr>
            </w:r>
            <w:r w:rsidR="00F714B7">
              <w:rPr>
                <w:webHidden/>
              </w:rPr>
              <w:fldChar w:fldCharType="separate"/>
            </w:r>
            <w:r w:rsidR="00F714B7">
              <w:rPr>
                <w:webHidden/>
              </w:rPr>
              <w:t>91</w:t>
            </w:r>
            <w:r w:rsidR="00F714B7">
              <w:rPr>
                <w:webHidden/>
              </w:rPr>
              <w:fldChar w:fldCharType="end"/>
            </w:r>
          </w:hyperlink>
        </w:p>
        <w:p w14:paraId="6B338E78" w14:textId="51EF2403" w:rsidR="00F714B7" w:rsidRDefault="006461E1">
          <w:pPr>
            <w:pStyle w:val="TOC3"/>
            <w:rPr>
              <w:rFonts w:asciiTheme="minorHAnsi" w:hAnsiTheme="minorHAnsi"/>
              <w:lang w:val="en-GB" w:eastAsia="en-GB"/>
            </w:rPr>
          </w:pPr>
          <w:hyperlink w:anchor="_Toc103695070" w:history="1">
            <w:r w:rsidR="00F714B7" w:rsidRPr="00265258">
              <w:rPr>
                <w:rStyle w:val="Hyperlink"/>
                <w:rFonts w:cs="Arial"/>
              </w:rPr>
              <w:t>Sickness Absence Data</w:t>
            </w:r>
            <w:r w:rsidR="00F714B7">
              <w:rPr>
                <w:webHidden/>
              </w:rPr>
              <w:tab/>
            </w:r>
            <w:r w:rsidR="00F714B7">
              <w:rPr>
                <w:webHidden/>
              </w:rPr>
              <w:fldChar w:fldCharType="begin"/>
            </w:r>
            <w:r w:rsidR="00F714B7">
              <w:rPr>
                <w:webHidden/>
              </w:rPr>
              <w:instrText xml:space="preserve"> PAGEREF _Toc103695070 \h </w:instrText>
            </w:r>
            <w:r w:rsidR="00F714B7">
              <w:rPr>
                <w:webHidden/>
              </w:rPr>
            </w:r>
            <w:r w:rsidR="00F714B7">
              <w:rPr>
                <w:webHidden/>
              </w:rPr>
              <w:fldChar w:fldCharType="separate"/>
            </w:r>
            <w:r w:rsidR="00F714B7">
              <w:rPr>
                <w:webHidden/>
              </w:rPr>
              <w:t>92</w:t>
            </w:r>
            <w:r w:rsidR="00F714B7">
              <w:rPr>
                <w:webHidden/>
              </w:rPr>
              <w:fldChar w:fldCharType="end"/>
            </w:r>
          </w:hyperlink>
        </w:p>
        <w:p w14:paraId="33ED72DA" w14:textId="2661641B" w:rsidR="00F714B7" w:rsidRDefault="006461E1">
          <w:pPr>
            <w:pStyle w:val="TOC3"/>
            <w:rPr>
              <w:rFonts w:asciiTheme="minorHAnsi" w:hAnsiTheme="minorHAnsi"/>
              <w:lang w:val="en-GB" w:eastAsia="en-GB"/>
            </w:rPr>
          </w:pPr>
          <w:hyperlink w:anchor="_Toc103695071" w:history="1">
            <w:r w:rsidR="00F714B7" w:rsidRPr="00265258">
              <w:rPr>
                <w:rStyle w:val="Hyperlink"/>
              </w:rPr>
              <w:t>Staff turnover</w:t>
            </w:r>
            <w:r w:rsidR="00F714B7">
              <w:rPr>
                <w:webHidden/>
              </w:rPr>
              <w:tab/>
            </w:r>
            <w:r w:rsidR="00F714B7">
              <w:rPr>
                <w:webHidden/>
              </w:rPr>
              <w:fldChar w:fldCharType="begin"/>
            </w:r>
            <w:r w:rsidR="00F714B7">
              <w:rPr>
                <w:webHidden/>
              </w:rPr>
              <w:instrText xml:space="preserve"> PAGEREF _Toc103695071 \h </w:instrText>
            </w:r>
            <w:r w:rsidR="00F714B7">
              <w:rPr>
                <w:webHidden/>
              </w:rPr>
            </w:r>
            <w:r w:rsidR="00F714B7">
              <w:rPr>
                <w:webHidden/>
              </w:rPr>
              <w:fldChar w:fldCharType="separate"/>
            </w:r>
            <w:r w:rsidR="00F714B7">
              <w:rPr>
                <w:webHidden/>
              </w:rPr>
              <w:t>92</w:t>
            </w:r>
            <w:r w:rsidR="00F714B7">
              <w:rPr>
                <w:webHidden/>
              </w:rPr>
              <w:fldChar w:fldCharType="end"/>
            </w:r>
          </w:hyperlink>
        </w:p>
        <w:p w14:paraId="375BE658" w14:textId="73B1B265" w:rsidR="00F714B7" w:rsidRDefault="006461E1">
          <w:pPr>
            <w:pStyle w:val="TOC2"/>
            <w:rPr>
              <w:rFonts w:asciiTheme="minorHAnsi" w:hAnsiTheme="minorHAnsi"/>
              <w:lang w:val="en-GB" w:eastAsia="en-GB"/>
            </w:rPr>
          </w:pPr>
          <w:hyperlink r:id="rId16" w:anchor="_Toc103695072" w:history="1">
            <w:r w:rsidR="00F714B7" w:rsidRPr="00265258">
              <w:rPr>
                <w:rStyle w:val="Hyperlink"/>
              </w:rPr>
              <w:t>Staff costs table 2021-22 (subject to audit)</w:t>
            </w:r>
            <w:r w:rsidR="00F714B7">
              <w:rPr>
                <w:webHidden/>
              </w:rPr>
              <w:tab/>
            </w:r>
            <w:r w:rsidR="00F714B7">
              <w:rPr>
                <w:webHidden/>
              </w:rPr>
              <w:fldChar w:fldCharType="begin"/>
            </w:r>
            <w:r w:rsidR="00F714B7">
              <w:rPr>
                <w:webHidden/>
              </w:rPr>
              <w:instrText xml:space="preserve"> PAGEREF _Toc103695072 \h </w:instrText>
            </w:r>
            <w:r w:rsidR="00F714B7">
              <w:rPr>
                <w:webHidden/>
              </w:rPr>
            </w:r>
            <w:r w:rsidR="00F714B7">
              <w:rPr>
                <w:webHidden/>
              </w:rPr>
              <w:fldChar w:fldCharType="separate"/>
            </w:r>
            <w:r w:rsidR="00F714B7">
              <w:rPr>
                <w:webHidden/>
              </w:rPr>
              <w:t>93</w:t>
            </w:r>
            <w:r w:rsidR="00F714B7">
              <w:rPr>
                <w:webHidden/>
              </w:rPr>
              <w:fldChar w:fldCharType="end"/>
            </w:r>
          </w:hyperlink>
        </w:p>
        <w:p w14:paraId="5BA08CF1" w14:textId="2EC704D7" w:rsidR="00F714B7" w:rsidRDefault="006461E1">
          <w:pPr>
            <w:pStyle w:val="TOC2"/>
            <w:rPr>
              <w:rFonts w:asciiTheme="minorHAnsi" w:hAnsiTheme="minorHAnsi"/>
              <w:lang w:val="en-GB" w:eastAsia="en-GB"/>
            </w:rPr>
          </w:pPr>
          <w:hyperlink w:anchor="_Toc103695073" w:history="1">
            <w:r w:rsidR="00F714B7" w:rsidRPr="00265258">
              <w:rPr>
                <w:rStyle w:val="Hyperlink"/>
              </w:rPr>
              <w:t>Other payments during 2021-22 (subject to audit)</w:t>
            </w:r>
            <w:r w:rsidR="00F714B7">
              <w:rPr>
                <w:webHidden/>
              </w:rPr>
              <w:tab/>
            </w:r>
            <w:r w:rsidR="00F714B7">
              <w:rPr>
                <w:webHidden/>
              </w:rPr>
              <w:fldChar w:fldCharType="begin"/>
            </w:r>
            <w:r w:rsidR="00F714B7">
              <w:rPr>
                <w:webHidden/>
              </w:rPr>
              <w:instrText xml:space="preserve"> PAGEREF _Toc103695073 \h </w:instrText>
            </w:r>
            <w:r w:rsidR="00F714B7">
              <w:rPr>
                <w:webHidden/>
              </w:rPr>
            </w:r>
            <w:r w:rsidR="00F714B7">
              <w:rPr>
                <w:webHidden/>
              </w:rPr>
              <w:fldChar w:fldCharType="separate"/>
            </w:r>
            <w:r w:rsidR="00F714B7">
              <w:rPr>
                <w:webHidden/>
              </w:rPr>
              <w:t>95</w:t>
            </w:r>
            <w:r w:rsidR="00F714B7">
              <w:rPr>
                <w:webHidden/>
              </w:rPr>
              <w:fldChar w:fldCharType="end"/>
            </w:r>
          </w:hyperlink>
        </w:p>
        <w:p w14:paraId="394BE4A0" w14:textId="51C04C51" w:rsidR="00F714B7" w:rsidRDefault="006461E1">
          <w:pPr>
            <w:pStyle w:val="TOC2"/>
            <w:rPr>
              <w:rFonts w:asciiTheme="minorHAnsi" w:hAnsiTheme="minorHAnsi"/>
              <w:lang w:val="en-GB" w:eastAsia="en-GB"/>
            </w:rPr>
          </w:pPr>
          <w:hyperlink w:anchor="_Toc103695074" w:history="1">
            <w:r w:rsidR="00F714B7" w:rsidRPr="00265258">
              <w:rPr>
                <w:rStyle w:val="Hyperlink"/>
              </w:rPr>
              <w:t>Expenditure on consultancy (subject to audit)</w:t>
            </w:r>
            <w:r w:rsidR="00F714B7">
              <w:rPr>
                <w:webHidden/>
              </w:rPr>
              <w:tab/>
            </w:r>
            <w:r w:rsidR="00F714B7">
              <w:rPr>
                <w:webHidden/>
              </w:rPr>
              <w:fldChar w:fldCharType="begin"/>
            </w:r>
            <w:r w:rsidR="00F714B7">
              <w:rPr>
                <w:webHidden/>
              </w:rPr>
              <w:instrText xml:space="preserve"> PAGEREF _Toc103695074 \h </w:instrText>
            </w:r>
            <w:r w:rsidR="00F714B7">
              <w:rPr>
                <w:webHidden/>
              </w:rPr>
            </w:r>
            <w:r w:rsidR="00F714B7">
              <w:rPr>
                <w:webHidden/>
              </w:rPr>
              <w:fldChar w:fldCharType="separate"/>
            </w:r>
            <w:r w:rsidR="00F714B7">
              <w:rPr>
                <w:webHidden/>
              </w:rPr>
              <w:t>95</w:t>
            </w:r>
            <w:r w:rsidR="00F714B7">
              <w:rPr>
                <w:webHidden/>
              </w:rPr>
              <w:fldChar w:fldCharType="end"/>
            </w:r>
          </w:hyperlink>
        </w:p>
        <w:p w14:paraId="2F8E9742" w14:textId="2C3C080A" w:rsidR="00F714B7" w:rsidRDefault="006461E1">
          <w:pPr>
            <w:pStyle w:val="TOC2"/>
            <w:rPr>
              <w:rFonts w:asciiTheme="minorHAnsi" w:hAnsiTheme="minorHAnsi"/>
              <w:lang w:val="en-GB" w:eastAsia="en-GB"/>
            </w:rPr>
          </w:pPr>
          <w:hyperlink w:anchor="_Toc103695075" w:history="1">
            <w:r w:rsidR="00F714B7" w:rsidRPr="00265258">
              <w:rPr>
                <w:rStyle w:val="Hyperlink"/>
              </w:rPr>
              <w:t>Parliamentary Accountability and Audit Report</w:t>
            </w:r>
            <w:r w:rsidR="00F714B7">
              <w:rPr>
                <w:webHidden/>
              </w:rPr>
              <w:tab/>
            </w:r>
            <w:r w:rsidR="00F714B7">
              <w:rPr>
                <w:webHidden/>
              </w:rPr>
              <w:fldChar w:fldCharType="begin"/>
            </w:r>
            <w:r w:rsidR="00F714B7">
              <w:rPr>
                <w:webHidden/>
              </w:rPr>
              <w:instrText xml:space="preserve"> PAGEREF _Toc103695075 \h </w:instrText>
            </w:r>
            <w:r w:rsidR="00F714B7">
              <w:rPr>
                <w:webHidden/>
              </w:rPr>
            </w:r>
            <w:r w:rsidR="00F714B7">
              <w:rPr>
                <w:webHidden/>
              </w:rPr>
              <w:fldChar w:fldCharType="separate"/>
            </w:r>
            <w:r w:rsidR="00F714B7">
              <w:rPr>
                <w:webHidden/>
              </w:rPr>
              <w:t>95</w:t>
            </w:r>
            <w:r w:rsidR="00F714B7">
              <w:rPr>
                <w:webHidden/>
              </w:rPr>
              <w:fldChar w:fldCharType="end"/>
            </w:r>
          </w:hyperlink>
        </w:p>
        <w:p w14:paraId="0C4D7D3F" w14:textId="3DD05D71" w:rsidR="00F714B7" w:rsidRDefault="006461E1">
          <w:pPr>
            <w:pStyle w:val="TOC1"/>
            <w:rPr>
              <w:rFonts w:asciiTheme="minorHAnsi" w:eastAsiaTheme="minorEastAsia" w:hAnsiTheme="minorHAnsi" w:cstheme="minorBidi"/>
              <w:bCs w:val="0"/>
            </w:rPr>
          </w:pPr>
          <w:hyperlink w:anchor="_Toc103695076" w:history="1">
            <w:r w:rsidR="00F714B7" w:rsidRPr="00265258">
              <w:rPr>
                <w:rStyle w:val="Hyperlink"/>
              </w:rPr>
              <w:t>ANNUAL ACCOUNTS 2021-22</w:t>
            </w:r>
            <w:r w:rsidR="00F714B7">
              <w:rPr>
                <w:webHidden/>
              </w:rPr>
              <w:tab/>
            </w:r>
            <w:r w:rsidR="00F714B7">
              <w:rPr>
                <w:webHidden/>
              </w:rPr>
              <w:fldChar w:fldCharType="begin"/>
            </w:r>
            <w:r w:rsidR="00F714B7">
              <w:rPr>
                <w:webHidden/>
              </w:rPr>
              <w:instrText xml:space="preserve"> PAGEREF _Toc103695076 \h </w:instrText>
            </w:r>
            <w:r w:rsidR="00F714B7">
              <w:rPr>
                <w:webHidden/>
              </w:rPr>
            </w:r>
            <w:r w:rsidR="00F714B7">
              <w:rPr>
                <w:webHidden/>
              </w:rPr>
              <w:fldChar w:fldCharType="separate"/>
            </w:r>
            <w:r w:rsidR="00F714B7">
              <w:rPr>
                <w:webHidden/>
              </w:rPr>
              <w:t>96</w:t>
            </w:r>
            <w:r w:rsidR="00F714B7">
              <w:rPr>
                <w:webHidden/>
              </w:rPr>
              <w:fldChar w:fldCharType="end"/>
            </w:r>
          </w:hyperlink>
        </w:p>
        <w:p w14:paraId="2DDF3D0B" w14:textId="13CA8B31" w:rsidR="0040639B" w:rsidRDefault="0040639B" w:rsidP="00B66DE2">
          <w:r>
            <w:rPr>
              <w:b/>
              <w:bCs/>
            </w:rPr>
            <w:fldChar w:fldCharType="end"/>
          </w:r>
        </w:p>
      </w:sdtContent>
    </w:sdt>
    <w:p w14:paraId="6B08A907" w14:textId="1F5E0C82" w:rsidR="003A2A7B" w:rsidRPr="00C000F8" w:rsidRDefault="00234A14" w:rsidP="00C000F8">
      <w:pPr>
        <w:pStyle w:val="Heading1"/>
      </w:pPr>
      <w:r w:rsidRPr="00A558A4">
        <w:br w:type="page"/>
      </w:r>
      <w:bookmarkStart w:id="8" w:name="_Toc103695013"/>
      <w:r w:rsidR="007428AE" w:rsidRPr="00B14EE4">
        <w:lastRenderedPageBreak/>
        <w:t>PERFORMANCE REPORT</w:t>
      </w:r>
      <w:r w:rsidR="00905FA4" w:rsidRPr="00B14EE4">
        <w:t xml:space="preserve"> </w:t>
      </w:r>
      <w:r w:rsidR="001B17E6">
        <w:t>202</w:t>
      </w:r>
      <w:r w:rsidR="00C94BA0">
        <w:t>1</w:t>
      </w:r>
      <w:r w:rsidR="001B17E6">
        <w:t>-2</w:t>
      </w:r>
      <w:r w:rsidR="00C94BA0">
        <w:t>2</w:t>
      </w:r>
      <w:bookmarkEnd w:id="8"/>
    </w:p>
    <w:p w14:paraId="464961EF" w14:textId="77777777" w:rsidR="00B43DC3" w:rsidRPr="00A558A4" w:rsidRDefault="00B43DC3" w:rsidP="00B66DE2">
      <w:pPr>
        <w:spacing w:line="240" w:lineRule="auto"/>
        <w:rPr>
          <w:rFonts w:cs="Arial"/>
        </w:rPr>
      </w:pPr>
    </w:p>
    <w:p w14:paraId="083EF95A" w14:textId="77777777" w:rsidR="00797C92" w:rsidRPr="00A558A4" w:rsidRDefault="00797C92" w:rsidP="00B66DE2">
      <w:pPr>
        <w:spacing w:line="240" w:lineRule="auto"/>
        <w:rPr>
          <w:rFonts w:cs="Arial"/>
        </w:rPr>
      </w:pPr>
    </w:p>
    <w:p w14:paraId="72F097E8" w14:textId="77777777" w:rsidR="00434285" w:rsidRPr="00A558A4" w:rsidRDefault="00434285" w:rsidP="00B66DE2">
      <w:pPr>
        <w:spacing w:line="240" w:lineRule="auto"/>
        <w:rPr>
          <w:rFonts w:cs="Arial"/>
        </w:rPr>
      </w:pPr>
    </w:p>
    <w:p w14:paraId="1300918D" w14:textId="77777777" w:rsidR="00434285" w:rsidRPr="00A558A4" w:rsidRDefault="00434285" w:rsidP="00B66DE2">
      <w:pPr>
        <w:spacing w:line="240" w:lineRule="auto"/>
        <w:rPr>
          <w:rFonts w:cs="Arial"/>
        </w:rPr>
      </w:pPr>
    </w:p>
    <w:p w14:paraId="17DC81DA" w14:textId="77777777" w:rsidR="00434285" w:rsidRPr="00A558A4" w:rsidRDefault="00434285" w:rsidP="00B66DE2">
      <w:pPr>
        <w:spacing w:line="240" w:lineRule="auto"/>
        <w:rPr>
          <w:rFonts w:cs="Arial"/>
        </w:rPr>
      </w:pPr>
    </w:p>
    <w:p w14:paraId="016E4172" w14:textId="77777777" w:rsidR="00434285" w:rsidRPr="00A558A4" w:rsidRDefault="00434285" w:rsidP="00B66DE2">
      <w:pPr>
        <w:spacing w:line="240" w:lineRule="auto"/>
        <w:rPr>
          <w:rFonts w:cs="Arial"/>
        </w:rPr>
      </w:pPr>
    </w:p>
    <w:p w14:paraId="7DD15D32" w14:textId="77777777" w:rsidR="00434285" w:rsidRPr="00A558A4" w:rsidRDefault="00434285" w:rsidP="00B66DE2">
      <w:pPr>
        <w:spacing w:line="240" w:lineRule="auto"/>
        <w:rPr>
          <w:rFonts w:cs="Arial"/>
        </w:rPr>
      </w:pPr>
    </w:p>
    <w:p w14:paraId="63F13C80" w14:textId="77777777" w:rsidR="00434285" w:rsidRPr="00A558A4" w:rsidRDefault="00434285" w:rsidP="00B66DE2">
      <w:pPr>
        <w:spacing w:line="240" w:lineRule="auto"/>
        <w:rPr>
          <w:rFonts w:cs="Arial"/>
        </w:rPr>
      </w:pPr>
    </w:p>
    <w:p w14:paraId="38AAF11D" w14:textId="77777777" w:rsidR="00434285" w:rsidRPr="00A558A4" w:rsidRDefault="00434285" w:rsidP="00B66DE2">
      <w:pPr>
        <w:spacing w:line="240" w:lineRule="auto"/>
        <w:rPr>
          <w:rFonts w:cs="Arial"/>
        </w:rPr>
      </w:pPr>
    </w:p>
    <w:p w14:paraId="10F0AD9F" w14:textId="77777777" w:rsidR="00434285" w:rsidRPr="00A558A4" w:rsidRDefault="00434285" w:rsidP="00B66DE2">
      <w:pPr>
        <w:spacing w:line="240" w:lineRule="auto"/>
        <w:rPr>
          <w:rFonts w:cs="Arial"/>
        </w:rPr>
      </w:pPr>
    </w:p>
    <w:p w14:paraId="7C415632" w14:textId="77777777" w:rsidR="00434285" w:rsidRPr="00A558A4" w:rsidRDefault="00434285" w:rsidP="00B66DE2">
      <w:pPr>
        <w:spacing w:line="240" w:lineRule="auto"/>
        <w:rPr>
          <w:rFonts w:cs="Arial"/>
        </w:rPr>
      </w:pPr>
    </w:p>
    <w:p w14:paraId="7194A729" w14:textId="77777777" w:rsidR="00434285" w:rsidRPr="00A558A4" w:rsidRDefault="00434285" w:rsidP="00B66DE2">
      <w:pPr>
        <w:spacing w:line="240" w:lineRule="auto"/>
        <w:rPr>
          <w:rFonts w:cs="Arial"/>
        </w:rPr>
      </w:pPr>
    </w:p>
    <w:p w14:paraId="6EDDB86B" w14:textId="77777777" w:rsidR="00396F95" w:rsidRPr="00A558A4" w:rsidRDefault="00396F95" w:rsidP="00B66DE2">
      <w:pPr>
        <w:spacing w:before="0" w:after="0" w:line="240" w:lineRule="auto"/>
        <w:rPr>
          <w:rFonts w:cs="Arial"/>
        </w:rPr>
      </w:pPr>
    </w:p>
    <w:p w14:paraId="4AF8C9B2" w14:textId="77777777" w:rsidR="007428AE" w:rsidRPr="00A558A4" w:rsidRDefault="007428AE" w:rsidP="00B66DE2">
      <w:pPr>
        <w:spacing w:before="0" w:after="0" w:line="240" w:lineRule="auto"/>
        <w:rPr>
          <w:rFonts w:cs="Arial"/>
        </w:rPr>
      </w:pPr>
    </w:p>
    <w:p w14:paraId="455E9000" w14:textId="77777777" w:rsidR="007428AE" w:rsidRPr="00A558A4" w:rsidRDefault="007428AE" w:rsidP="00B66DE2">
      <w:pPr>
        <w:spacing w:before="0" w:after="0" w:line="240" w:lineRule="auto"/>
        <w:rPr>
          <w:rFonts w:cs="Arial"/>
        </w:rPr>
      </w:pPr>
    </w:p>
    <w:p w14:paraId="57C71DC6" w14:textId="77777777" w:rsidR="007428AE" w:rsidRPr="00A558A4" w:rsidRDefault="007428AE" w:rsidP="00B66DE2">
      <w:pPr>
        <w:spacing w:before="0" w:after="0" w:line="240" w:lineRule="auto"/>
        <w:rPr>
          <w:rFonts w:cs="Arial"/>
        </w:rPr>
      </w:pPr>
    </w:p>
    <w:p w14:paraId="0CCE239A" w14:textId="77777777" w:rsidR="007428AE" w:rsidRPr="00A558A4" w:rsidRDefault="007428AE" w:rsidP="00B66DE2">
      <w:pPr>
        <w:spacing w:before="0" w:after="0" w:line="240" w:lineRule="auto"/>
        <w:rPr>
          <w:rFonts w:cs="Arial"/>
        </w:rPr>
      </w:pPr>
    </w:p>
    <w:p w14:paraId="5B388949" w14:textId="77777777" w:rsidR="007428AE" w:rsidRPr="00A558A4" w:rsidRDefault="007428AE" w:rsidP="00B66DE2">
      <w:pPr>
        <w:spacing w:before="0" w:after="0" w:line="240" w:lineRule="auto"/>
        <w:rPr>
          <w:rFonts w:cs="Arial"/>
        </w:rPr>
      </w:pPr>
    </w:p>
    <w:p w14:paraId="22F79428" w14:textId="77777777" w:rsidR="007428AE" w:rsidRPr="00A558A4" w:rsidRDefault="007428AE" w:rsidP="00B66DE2">
      <w:pPr>
        <w:spacing w:before="0" w:after="0" w:line="240" w:lineRule="auto"/>
        <w:rPr>
          <w:rFonts w:cs="Arial"/>
        </w:rPr>
      </w:pPr>
    </w:p>
    <w:p w14:paraId="0EFB85D2" w14:textId="77777777" w:rsidR="007428AE" w:rsidRPr="00A558A4" w:rsidRDefault="007428AE" w:rsidP="00B66DE2">
      <w:pPr>
        <w:spacing w:before="0" w:after="0" w:line="240" w:lineRule="auto"/>
        <w:rPr>
          <w:rFonts w:cs="Arial"/>
        </w:rPr>
      </w:pPr>
    </w:p>
    <w:p w14:paraId="6249811C" w14:textId="77777777" w:rsidR="007428AE" w:rsidRPr="00A558A4" w:rsidRDefault="007428AE" w:rsidP="00B66DE2">
      <w:pPr>
        <w:spacing w:before="0" w:after="0" w:line="240" w:lineRule="auto"/>
        <w:rPr>
          <w:rFonts w:cs="Arial"/>
        </w:rPr>
      </w:pPr>
    </w:p>
    <w:p w14:paraId="38EAF560" w14:textId="77777777" w:rsidR="007428AE" w:rsidRPr="00A558A4" w:rsidRDefault="007428AE" w:rsidP="00B66DE2">
      <w:pPr>
        <w:spacing w:before="0" w:after="0" w:line="240" w:lineRule="auto"/>
        <w:rPr>
          <w:rFonts w:cs="Arial"/>
        </w:rPr>
      </w:pPr>
    </w:p>
    <w:p w14:paraId="28D4346D" w14:textId="77777777" w:rsidR="007428AE" w:rsidRPr="00A558A4" w:rsidRDefault="007428AE" w:rsidP="00B66DE2">
      <w:pPr>
        <w:spacing w:before="0" w:after="0" w:line="240" w:lineRule="auto"/>
        <w:rPr>
          <w:rFonts w:cs="Arial"/>
        </w:rPr>
      </w:pPr>
    </w:p>
    <w:p w14:paraId="6FEBF730" w14:textId="77777777" w:rsidR="007428AE" w:rsidRPr="00A558A4" w:rsidRDefault="007428AE" w:rsidP="00B66DE2">
      <w:pPr>
        <w:spacing w:before="0" w:after="0" w:line="240" w:lineRule="auto"/>
        <w:rPr>
          <w:rFonts w:cs="Arial"/>
        </w:rPr>
      </w:pPr>
    </w:p>
    <w:p w14:paraId="4A76D21D" w14:textId="77777777" w:rsidR="007428AE" w:rsidRPr="00A558A4" w:rsidRDefault="007428AE" w:rsidP="00B66DE2">
      <w:pPr>
        <w:spacing w:before="0" w:after="0" w:line="240" w:lineRule="auto"/>
        <w:rPr>
          <w:rFonts w:cs="Arial"/>
        </w:rPr>
      </w:pPr>
    </w:p>
    <w:p w14:paraId="4B678F1B" w14:textId="77777777" w:rsidR="007428AE" w:rsidRPr="00A558A4" w:rsidRDefault="007428AE" w:rsidP="00B66DE2">
      <w:pPr>
        <w:spacing w:before="0" w:after="0" w:line="240" w:lineRule="auto"/>
        <w:rPr>
          <w:rFonts w:cs="Arial"/>
        </w:rPr>
      </w:pPr>
    </w:p>
    <w:p w14:paraId="5EE9E037" w14:textId="77777777" w:rsidR="007428AE" w:rsidRPr="00A558A4" w:rsidRDefault="007428AE" w:rsidP="00B66DE2">
      <w:pPr>
        <w:spacing w:before="0" w:after="0" w:line="240" w:lineRule="auto"/>
        <w:rPr>
          <w:rFonts w:cs="Arial"/>
        </w:rPr>
      </w:pPr>
    </w:p>
    <w:p w14:paraId="4D4B7CEA" w14:textId="77777777" w:rsidR="007428AE" w:rsidRPr="00A558A4" w:rsidRDefault="007428AE" w:rsidP="00B66DE2">
      <w:pPr>
        <w:spacing w:before="0" w:after="0" w:line="240" w:lineRule="auto"/>
        <w:rPr>
          <w:rFonts w:cs="Arial"/>
        </w:rPr>
      </w:pPr>
    </w:p>
    <w:p w14:paraId="6403FC2A" w14:textId="77777777" w:rsidR="007428AE" w:rsidRPr="00A558A4" w:rsidRDefault="007428AE" w:rsidP="00B66DE2">
      <w:pPr>
        <w:spacing w:before="0" w:after="0" w:line="240" w:lineRule="auto"/>
        <w:rPr>
          <w:rFonts w:cs="Arial"/>
        </w:rPr>
      </w:pPr>
    </w:p>
    <w:p w14:paraId="07EDCB53" w14:textId="77777777" w:rsidR="00396F95" w:rsidRPr="00A558A4" w:rsidRDefault="00A651F4" w:rsidP="00B66DE2">
      <w:pPr>
        <w:spacing w:before="0" w:after="0" w:line="240" w:lineRule="auto"/>
        <w:rPr>
          <w:rFonts w:cs="Arial"/>
        </w:rPr>
      </w:pPr>
      <w:r w:rsidRPr="00A558A4">
        <w:rPr>
          <w:rFonts w:cs="Arial"/>
        </w:rPr>
        <w:t>Emma Latimer</w:t>
      </w:r>
    </w:p>
    <w:p w14:paraId="489DF07D" w14:textId="77777777" w:rsidR="00396F95" w:rsidRPr="00A558A4" w:rsidRDefault="002863D5" w:rsidP="00B66DE2">
      <w:pPr>
        <w:spacing w:before="0" w:after="0" w:line="240" w:lineRule="auto"/>
        <w:rPr>
          <w:rFonts w:cs="Arial"/>
        </w:rPr>
      </w:pPr>
      <w:r w:rsidRPr="00A558A4">
        <w:rPr>
          <w:rFonts w:cs="Arial"/>
        </w:rPr>
        <w:t xml:space="preserve">Accountable </w:t>
      </w:r>
      <w:r w:rsidR="00396F95" w:rsidRPr="00A558A4">
        <w:rPr>
          <w:rFonts w:cs="Arial"/>
        </w:rPr>
        <w:t xml:space="preserve">Officer </w:t>
      </w:r>
    </w:p>
    <w:p w14:paraId="20D3ADCB" w14:textId="77777777" w:rsidR="00181694" w:rsidRDefault="00181694" w:rsidP="00B66DE2">
      <w:pPr>
        <w:spacing w:before="0" w:after="0" w:line="240" w:lineRule="auto"/>
        <w:rPr>
          <w:rFonts w:cs="Arial"/>
        </w:rPr>
      </w:pPr>
    </w:p>
    <w:p w14:paraId="561DE00E" w14:textId="7D24C14D" w:rsidR="00703EA7" w:rsidRPr="00A558A4" w:rsidRDefault="00181694" w:rsidP="00B66DE2">
      <w:pPr>
        <w:spacing w:before="0" w:after="0" w:line="240" w:lineRule="auto"/>
        <w:rPr>
          <w:rFonts w:eastAsiaTheme="majorEastAsia" w:cs="Arial"/>
          <w:b/>
          <w:bCs/>
        </w:rPr>
      </w:pPr>
      <w:r>
        <w:rPr>
          <w:rFonts w:cs="Arial"/>
        </w:rPr>
        <w:t>27 May 2022</w:t>
      </w:r>
      <w:r w:rsidR="00703EA7" w:rsidRPr="00A558A4">
        <w:rPr>
          <w:rFonts w:cs="Arial"/>
        </w:rPr>
        <w:br w:type="page"/>
      </w:r>
    </w:p>
    <w:p w14:paraId="53296668" w14:textId="191DE65B" w:rsidR="00652EA6" w:rsidRPr="000F573D" w:rsidRDefault="00652EA6" w:rsidP="00B71FAD">
      <w:pPr>
        <w:pStyle w:val="Heading2"/>
        <w:rPr>
          <w:color w:val="auto"/>
        </w:rPr>
      </w:pPr>
      <w:bookmarkStart w:id="9" w:name="_Toc103695014"/>
      <w:bookmarkStart w:id="10" w:name="_Toc481760930"/>
      <w:r w:rsidRPr="00A558A4">
        <w:lastRenderedPageBreak/>
        <w:t xml:space="preserve">We are </w:t>
      </w:r>
      <w:r w:rsidR="00834764">
        <w:t xml:space="preserve">NHS </w:t>
      </w:r>
      <w:r w:rsidRPr="00A558A4">
        <w:t>Hull C</w:t>
      </w:r>
      <w:r w:rsidR="00834764">
        <w:t>linical Commissioning Group (CCG)</w:t>
      </w:r>
      <w:bookmarkEnd w:id="9"/>
      <w:r w:rsidR="006439A6" w:rsidRPr="00A558A4">
        <w:t xml:space="preserve"> </w:t>
      </w:r>
    </w:p>
    <w:p w14:paraId="624D374D" w14:textId="77777777" w:rsidR="0043637C" w:rsidRDefault="0043637C" w:rsidP="0043637C">
      <w:pPr>
        <w:rPr>
          <w:rFonts w:cs="Arial"/>
        </w:rPr>
      </w:pPr>
      <w:r>
        <w:rPr>
          <w:rFonts w:eastAsia="Arial"/>
          <w:spacing w:val="5"/>
        </w:rPr>
        <w:t>NHS Hull CCG is</w:t>
      </w:r>
      <w:r>
        <w:rPr>
          <w:rFonts w:eastAsia="Arial"/>
        </w:rPr>
        <w:t xml:space="preserve"> a</w:t>
      </w:r>
      <w:r>
        <w:rPr>
          <w:rFonts w:eastAsia="Arial"/>
          <w:spacing w:val="-1"/>
        </w:rPr>
        <w:t xml:space="preserve"> </w:t>
      </w:r>
      <w:r>
        <w:rPr>
          <w:rFonts w:eastAsia="Arial"/>
        </w:rPr>
        <w:t>c</w:t>
      </w:r>
      <w:r>
        <w:rPr>
          <w:rFonts w:eastAsia="Arial"/>
          <w:spacing w:val="-1"/>
        </w:rPr>
        <w:t>li</w:t>
      </w:r>
      <w:r>
        <w:rPr>
          <w:rFonts w:eastAsia="Arial"/>
        </w:rPr>
        <w:t>n</w:t>
      </w:r>
      <w:r>
        <w:rPr>
          <w:rFonts w:eastAsia="Arial"/>
          <w:spacing w:val="-1"/>
        </w:rPr>
        <w:t>i</w:t>
      </w:r>
      <w:r>
        <w:rPr>
          <w:rFonts w:eastAsia="Arial"/>
        </w:rPr>
        <w:t>ca</w:t>
      </w:r>
      <w:r>
        <w:rPr>
          <w:rFonts w:eastAsia="Arial"/>
          <w:spacing w:val="-1"/>
        </w:rPr>
        <w:t>l</w:t>
      </w:r>
      <w:r>
        <w:rPr>
          <w:rFonts w:eastAsia="Arial"/>
          <w:spacing w:val="1"/>
        </w:rPr>
        <w:t>l</w:t>
      </w:r>
      <w:r>
        <w:rPr>
          <w:rFonts w:eastAsia="Arial"/>
          <w:spacing w:val="-1"/>
        </w:rPr>
        <w:t>y</w:t>
      </w:r>
      <w:r>
        <w:rPr>
          <w:rFonts w:eastAsia="Arial"/>
          <w:spacing w:val="1"/>
        </w:rPr>
        <w:t>-</w:t>
      </w:r>
      <w:r>
        <w:rPr>
          <w:rFonts w:eastAsia="Arial"/>
          <w:spacing w:val="-1"/>
        </w:rPr>
        <w:t>l</w:t>
      </w:r>
      <w:r>
        <w:rPr>
          <w:rFonts w:eastAsia="Arial"/>
        </w:rPr>
        <w:t>ed or</w:t>
      </w:r>
      <w:r>
        <w:rPr>
          <w:rFonts w:eastAsia="Arial"/>
          <w:spacing w:val="2"/>
        </w:rPr>
        <w:t>g</w:t>
      </w:r>
      <w:r>
        <w:rPr>
          <w:rFonts w:eastAsia="Arial"/>
        </w:rPr>
        <w:t>a</w:t>
      </w:r>
      <w:r>
        <w:rPr>
          <w:rFonts w:eastAsia="Arial"/>
          <w:spacing w:val="-1"/>
        </w:rPr>
        <w:t>ni</w:t>
      </w:r>
      <w:r>
        <w:rPr>
          <w:rFonts w:eastAsia="Arial"/>
        </w:rPr>
        <w:t>sati</w:t>
      </w:r>
      <w:r>
        <w:rPr>
          <w:rFonts w:eastAsia="Arial"/>
          <w:spacing w:val="-1"/>
        </w:rPr>
        <w:t>o</w:t>
      </w:r>
      <w:r>
        <w:rPr>
          <w:rFonts w:eastAsia="Arial"/>
          <w:spacing w:val="-3"/>
        </w:rPr>
        <w:t>n</w:t>
      </w:r>
      <w:r>
        <w:rPr>
          <w:rFonts w:eastAsia="Arial"/>
        </w:rPr>
        <w:t>,</w:t>
      </w:r>
      <w:r>
        <w:rPr>
          <w:rFonts w:eastAsia="Arial"/>
          <w:spacing w:val="2"/>
        </w:rPr>
        <w:t xml:space="preserve"> </w:t>
      </w:r>
      <w:r>
        <w:rPr>
          <w:rFonts w:eastAsia="Arial"/>
          <w:spacing w:val="-3"/>
        </w:rPr>
        <w:t>w</w:t>
      </w:r>
      <w:r>
        <w:rPr>
          <w:rFonts w:eastAsia="Arial"/>
        </w:rPr>
        <w:t>hich</w:t>
      </w:r>
      <w:r>
        <w:rPr>
          <w:rFonts w:eastAsia="Arial"/>
          <w:spacing w:val="1"/>
        </w:rPr>
        <w:t xml:space="preserve"> </w:t>
      </w:r>
      <w:r>
        <w:rPr>
          <w:rFonts w:eastAsia="Arial"/>
        </w:rPr>
        <w:t>bri</w:t>
      </w:r>
      <w:r>
        <w:rPr>
          <w:rFonts w:eastAsia="Arial"/>
          <w:spacing w:val="-1"/>
        </w:rPr>
        <w:t>n</w:t>
      </w:r>
      <w:r>
        <w:rPr>
          <w:rFonts w:eastAsia="Arial"/>
        </w:rPr>
        <w:t>gs</w:t>
      </w:r>
      <w:r>
        <w:rPr>
          <w:rFonts w:eastAsia="Arial"/>
          <w:spacing w:val="-2"/>
        </w:rPr>
        <w:t xml:space="preserve"> </w:t>
      </w:r>
      <w:r>
        <w:rPr>
          <w:rFonts w:eastAsia="Arial"/>
          <w:spacing w:val="1"/>
        </w:rPr>
        <w:t>t</w:t>
      </w:r>
      <w:r>
        <w:rPr>
          <w:rFonts w:eastAsia="Arial"/>
          <w:spacing w:val="-3"/>
        </w:rPr>
        <w:t>o</w:t>
      </w:r>
      <w:r>
        <w:rPr>
          <w:rFonts w:eastAsia="Arial"/>
          <w:spacing w:val="2"/>
        </w:rPr>
        <w:t>g</w:t>
      </w:r>
      <w:r>
        <w:rPr>
          <w:rFonts w:eastAsia="Arial"/>
        </w:rPr>
        <w:t>eth</w:t>
      </w:r>
      <w:r>
        <w:rPr>
          <w:rFonts w:eastAsia="Arial"/>
          <w:spacing w:val="-2"/>
        </w:rPr>
        <w:t>e</w:t>
      </w:r>
      <w:r>
        <w:rPr>
          <w:rFonts w:eastAsia="Arial"/>
        </w:rPr>
        <w:t>r</w:t>
      </w:r>
      <w:r>
        <w:rPr>
          <w:rFonts w:eastAsia="Arial"/>
          <w:spacing w:val="2"/>
        </w:rPr>
        <w:t xml:space="preserve"> 32 </w:t>
      </w:r>
      <w:r>
        <w:rPr>
          <w:rFonts w:eastAsia="Arial"/>
          <w:spacing w:val="-1"/>
        </w:rPr>
        <w:t>l</w:t>
      </w:r>
      <w:r>
        <w:rPr>
          <w:rFonts w:eastAsia="Arial"/>
        </w:rPr>
        <w:t>oc</w:t>
      </w:r>
      <w:r>
        <w:rPr>
          <w:rFonts w:eastAsia="Arial"/>
          <w:spacing w:val="-1"/>
        </w:rPr>
        <w:t>a</w:t>
      </w:r>
      <w:r>
        <w:rPr>
          <w:rFonts w:eastAsia="Arial"/>
        </w:rPr>
        <w:t xml:space="preserve">l </w:t>
      </w:r>
      <w:r>
        <w:rPr>
          <w:rFonts w:eastAsia="Arial"/>
          <w:spacing w:val="1"/>
        </w:rPr>
        <w:t>G</w:t>
      </w:r>
      <w:r>
        <w:rPr>
          <w:rFonts w:eastAsia="Arial"/>
        </w:rPr>
        <w:t>P</w:t>
      </w:r>
      <w:r>
        <w:rPr>
          <w:rFonts w:eastAsia="Arial"/>
          <w:spacing w:val="-2"/>
        </w:rPr>
        <w:t xml:space="preserve"> </w:t>
      </w:r>
      <w:r>
        <w:rPr>
          <w:rFonts w:eastAsia="Arial"/>
          <w:spacing w:val="2"/>
        </w:rPr>
        <w:t>p</w:t>
      </w:r>
      <w:r>
        <w:rPr>
          <w:rFonts w:eastAsia="Arial"/>
          <w:spacing w:val="1"/>
        </w:rPr>
        <w:t>r</w:t>
      </w:r>
      <w:r>
        <w:rPr>
          <w:rFonts w:eastAsia="Arial"/>
          <w:spacing w:val="-3"/>
        </w:rPr>
        <w:t>a</w:t>
      </w:r>
      <w:r>
        <w:rPr>
          <w:rFonts w:eastAsia="Arial"/>
        </w:rPr>
        <w:t>c</w:t>
      </w:r>
      <w:r>
        <w:rPr>
          <w:rFonts w:eastAsia="Arial"/>
          <w:spacing w:val="1"/>
        </w:rPr>
        <w:t>t</w:t>
      </w:r>
      <w:r>
        <w:rPr>
          <w:rFonts w:eastAsia="Arial"/>
          <w:spacing w:val="-1"/>
        </w:rPr>
        <w:t>i</w:t>
      </w:r>
      <w:r>
        <w:rPr>
          <w:rFonts w:eastAsia="Arial"/>
        </w:rPr>
        <w:t>ces and</w:t>
      </w:r>
      <w:r>
        <w:rPr>
          <w:rFonts w:eastAsia="Arial"/>
          <w:spacing w:val="-2"/>
        </w:rPr>
        <w:t xml:space="preserve"> </w:t>
      </w:r>
      <w:r>
        <w:rPr>
          <w:rFonts w:eastAsia="Arial"/>
        </w:rPr>
        <w:t>oth</w:t>
      </w:r>
      <w:r>
        <w:rPr>
          <w:rFonts w:eastAsia="Arial"/>
          <w:spacing w:val="-2"/>
        </w:rPr>
        <w:t>e</w:t>
      </w:r>
      <w:r>
        <w:rPr>
          <w:rFonts w:eastAsia="Arial"/>
        </w:rPr>
        <w:t>r h</w:t>
      </w:r>
      <w:r>
        <w:rPr>
          <w:rFonts w:eastAsia="Arial"/>
          <w:spacing w:val="-1"/>
        </w:rPr>
        <w:t>e</w:t>
      </w:r>
      <w:r>
        <w:rPr>
          <w:rFonts w:eastAsia="Arial"/>
        </w:rPr>
        <w:t>a</w:t>
      </w:r>
      <w:r>
        <w:rPr>
          <w:rFonts w:eastAsia="Arial"/>
          <w:spacing w:val="-1"/>
        </w:rPr>
        <w:t>l</w:t>
      </w:r>
      <w:r>
        <w:rPr>
          <w:rFonts w:eastAsia="Arial"/>
          <w:spacing w:val="1"/>
        </w:rPr>
        <w:t>t</w:t>
      </w:r>
      <w:r>
        <w:rPr>
          <w:rFonts w:eastAsia="Arial"/>
        </w:rPr>
        <w:t>h p</w:t>
      </w:r>
      <w:r>
        <w:rPr>
          <w:rFonts w:eastAsia="Arial"/>
          <w:spacing w:val="1"/>
        </w:rPr>
        <w:t>r</w:t>
      </w:r>
      <w:r>
        <w:rPr>
          <w:rFonts w:eastAsia="Arial"/>
          <w:spacing w:val="-3"/>
        </w:rPr>
        <w:t>o</w:t>
      </w:r>
      <w:r>
        <w:rPr>
          <w:rFonts w:eastAsia="Arial"/>
          <w:spacing w:val="1"/>
        </w:rPr>
        <w:t>f</w:t>
      </w:r>
      <w:r>
        <w:rPr>
          <w:rFonts w:eastAsia="Arial"/>
        </w:rPr>
        <w:t>ess</w:t>
      </w:r>
      <w:r>
        <w:rPr>
          <w:rFonts w:eastAsia="Arial"/>
          <w:spacing w:val="-1"/>
        </w:rPr>
        <w:t>i</w:t>
      </w:r>
      <w:r>
        <w:rPr>
          <w:rFonts w:eastAsia="Arial"/>
        </w:rPr>
        <w:t>o</w:t>
      </w:r>
      <w:r>
        <w:rPr>
          <w:rFonts w:eastAsia="Arial"/>
          <w:spacing w:val="-1"/>
        </w:rPr>
        <w:t>n</w:t>
      </w:r>
      <w:r>
        <w:rPr>
          <w:rFonts w:eastAsia="Arial"/>
        </w:rPr>
        <w:t>a</w:t>
      </w:r>
      <w:r>
        <w:rPr>
          <w:rFonts w:eastAsia="Arial"/>
          <w:spacing w:val="-1"/>
        </w:rPr>
        <w:t>l</w:t>
      </w:r>
      <w:r>
        <w:rPr>
          <w:rFonts w:eastAsia="Arial"/>
        </w:rPr>
        <w:t>s</w:t>
      </w:r>
      <w:r>
        <w:rPr>
          <w:rFonts w:eastAsia="Arial"/>
          <w:spacing w:val="-1"/>
        </w:rPr>
        <w:t xml:space="preserve"> </w:t>
      </w:r>
      <w:r>
        <w:rPr>
          <w:rFonts w:eastAsia="Arial"/>
          <w:spacing w:val="1"/>
        </w:rPr>
        <w:t>t</w:t>
      </w:r>
      <w:r>
        <w:rPr>
          <w:rFonts w:eastAsia="Arial"/>
        </w:rPr>
        <w:t>o p</w:t>
      </w:r>
      <w:r>
        <w:rPr>
          <w:rFonts w:eastAsia="Arial"/>
          <w:spacing w:val="-3"/>
        </w:rPr>
        <w:t>l</w:t>
      </w:r>
      <w:r>
        <w:rPr>
          <w:rFonts w:eastAsia="Arial"/>
        </w:rPr>
        <w:t>an a</w:t>
      </w:r>
      <w:r>
        <w:rPr>
          <w:rFonts w:eastAsia="Arial"/>
          <w:spacing w:val="-1"/>
        </w:rPr>
        <w:t>n</w:t>
      </w:r>
      <w:r>
        <w:rPr>
          <w:rFonts w:eastAsia="Arial"/>
        </w:rPr>
        <w:t>d des</w:t>
      </w:r>
      <w:r>
        <w:rPr>
          <w:rFonts w:eastAsia="Arial"/>
          <w:spacing w:val="-4"/>
        </w:rPr>
        <w:t>i</w:t>
      </w:r>
      <w:r>
        <w:rPr>
          <w:rFonts w:eastAsia="Arial"/>
          <w:spacing w:val="2"/>
        </w:rPr>
        <w:t>g</w:t>
      </w:r>
      <w:r>
        <w:rPr>
          <w:rFonts w:eastAsia="Arial"/>
        </w:rPr>
        <w:t>n</w:t>
      </w:r>
      <w:r>
        <w:rPr>
          <w:rFonts w:eastAsia="Arial"/>
          <w:spacing w:val="-2"/>
        </w:rPr>
        <w:t xml:space="preserve"> </w:t>
      </w:r>
      <w:r>
        <w:rPr>
          <w:rFonts w:eastAsia="Arial"/>
        </w:rPr>
        <w:t>ser</w:t>
      </w:r>
      <w:r>
        <w:rPr>
          <w:rFonts w:eastAsia="Arial"/>
          <w:spacing w:val="-2"/>
        </w:rPr>
        <w:t>v</w:t>
      </w:r>
      <w:r>
        <w:rPr>
          <w:rFonts w:eastAsia="Arial"/>
          <w:spacing w:val="-1"/>
        </w:rPr>
        <w:t>i</w:t>
      </w:r>
      <w:r>
        <w:rPr>
          <w:rFonts w:eastAsia="Arial"/>
        </w:rPr>
        <w:t xml:space="preserve">ces </w:t>
      </w:r>
      <w:r>
        <w:rPr>
          <w:rFonts w:eastAsia="Arial"/>
          <w:spacing w:val="-1"/>
        </w:rPr>
        <w:t>t</w:t>
      </w:r>
      <w:r>
        <w:rPr>
          <w:rFonts w:eastAsia="Arial"/>
        </w:rPr>
        <w:t xml:space="preserve">o </w:t>
      </w:r>
      <w:r>
        <w:rPr>
          <w:rFonts w:eastAsia="Arial"/>
          <w:spacing w:val="1"/>
        </w:rPr>
        <w:t>m</w:t>
      </w:r>
      <w:r>
        <w:rPr>
          <w:rFonts w:eastAsia="Arial"/>
        </w:rPr>
        <w:t>e</w:t>
      </w:r>
      <w:r>
        <w:rPr>
          <w:rFonts w:eastAsia="Arial"/>
          <w:spacing w:val="-3"/>
        </w:rPr>
        <w:t>e</w:t>
      </w:r>
      <w:r>
        <w:rPr>
          <w:rFonts w:eastAsia="Arial"/>
        </w:rPr>
        <w:t>t</w:t>
      </w:r>
      <w:r>
        <w:rPr>
          <w:rFonts w:eastAsia="Arial"/>
          <w:spacing w:val="4"/>
        </w:rPr>
        <w:t xml:space="preserve"> </w:t>
      </w:r>
      <w:r>
        <w:rPr>
          <w:rFonts w:eastAsia="Arial"/>
          <w:spacing w:val="-1"/>
        </w:rPr>
        <w:t>l</w:t>
      </w:r>
      <w:r>
        <w:rPr>
          <w:rFonts w:eastAsia="Arial"/>
        </w:rPr>
        <w:t>oc</w:t>
      </w:r>
      <w:r>
        <w:rPr>
          <w:rFonts w:eastAsia="Arial"/>
          <w:spacing w:val="-1"/>
        </w:rPr>
        <w:t>a</w:t>
      </w:r>
      <w:r>
        <w:rPr>
          <w:rFonts w:eastAsia="Arial"/>
        </w:rPr>
        <w:t>l p</w:t>
      </w:r>
      <w:r>
        <w:rPr>
          <w:rFonts w:eastAsia="Arial"/>
          <w:spacing w:val="-3"/>
        </w:rPr>
        <w:t>a</w:t>
      </w:r>
      <w:r>
        <w:rPr>
          <w:rFonts w:eastAsia="Arial"/>
          <w:spacing w:val="1"/>
        </w:rPr>
        <w:t>t</w:t>
      </w:r>
      <w:r>
        <w:rPr>
          <w:rFonts w:eastAsia="Arial"/>
          <w:spacing w:val="-1"/>
        </w:rPr>
        <w:t>i</w:t>
      </w:r>
      <w:r>
        <w:rPr>
          <w:rFonts w:eastAsia="Arial"/>
        </w:rPr>
        <w:t>e</w:t>
      </w:r>
      <w:r>
        <w:rPr>
          <w:rFonts w:eastAsia="Arial"/>
          <w:spacing w:val="-1"/>
        </w:rPr>
        <w:t>n</w:t>
      </w:r>
      <w:r>
        <w:rPr>
          <w:rFonts w:eastAsia="Arial"/>
          <w:spacing w:val="1"/>
        </w:rPr>
        <w:t>t</w:t>
      </w:r>
      <w:r>
        <w:rPr>
          <w:rFonts w:eastAsia="Arial"/>
          <w:spacing w:val="-2"/>
        </w:rPr>
        <w:t>s</w:t>
      </w:r>
      <w:r>
        <w:rPr>
          <w:rFonts w:eastAsia="Arial"/>
        </w:rPr>
        <w:t>'</w:t>
      </w:r>
      <w:r>
        <w:rPr>
          <w:rFonts w:eastAsia="Arial"/>
          <w:spacing w:val="2"/>
        </w:rPr>
        <w:t xml:space="preserve"> </w:t>
      </w:r>
      <w:r>
        <w:rPr>
          <w:rFonts w:eastAsia="Arial"/>
        </w:rPr>
        <w:t>n</w:t>
      </w:r>
      <w:r>
        <w:rPr>
          <w:rFonts w:eastAsia="Arial"/>
          <w:spacing w:val="-3"/>
        </w:rPr>
        <w:t>e</w:t>
      </w:r>
      <w:r>
        <w:rPr>
          <w:rFonts w:eastAsia="Arial"/>
        </w:rPr>
        <w:t>e</w:t>
      </w:r>
      <w:r>
        <w:rPr>
          <w:rFonts w:eastAsia="Arial"/>
          <w:spacing w:val="-1"/>
        </w:rPr>
        <w:t>d</w:t>
      </w:r>
      <w:r>
        <w:rPr>
          <w:rFonts w:eastAsia="Arial"/>
        </w:rPr>
        <w:t xml:space="preserve">s. </w:t>
      </w:r>
      <w:r>
        <w:rPr>
          <w:rFonts w:eastAsia="Arial"/>
          <w:spacing w:val="1"/>
        </w:rPr>
        <w:t xml:space="preserve"> O</w:t>
      </w:r>
      <w:r>
        <w:rPr>
          <w:rFonts w:eastAsia="Arial"/>
          <w:spacing w:val="-3"/>
        </w:rPr>
        <w:t>u</w:t>
      </w:r>
      <w:r>
        <w:rPr>
          <w:rFonts w:eastAsia="Arial"/>
        </w:rPr>
        <w:t xml:space="preserve">r </w:t>
      </w:r>
      <w:r>
        <w:rPr>
          <w:rFonts w:eastAsia="Arial"/>
          <w:spacing w:val="1"/>
        </w:rPr>
        <w:t>G</w:t>
      </w:r>
      <w:r>
        <w:rPr>
          <w:rFonts w:eastAsia="Arial"/>
        </w:rPr>
        <w:t>P p</w:t>
      </w:r>
      <w:r>
        <w:rPr>
          <w:rFonts w:eastAsia="Arial"/>
          <w:spacing w:val="1"/>
        </w:rPr>
        <w:t>r</w:t>
      </w:r>
      <w:r>
        <w:rPr>
          <w:rFonts w:eastAsia="Arial"/>
        </w:rPr>
        <w:t>actic</w:t>
      </w:r>
      <w:r>
        <w:rPr>
          <w:rFonts w:eastAsia="Arial"/>
          <w:spacing w:val="-1"/>
        </w:rPr>
        <w:t>e</w:t>
      </w:r>
      <w:r>
        <w:rPr>
          <w:rFonts w:eastAsia="Arial"/>
        </w:rPr>
        <w:t>s</w:t>
      </w:r>
      <w:r>
        <w:rPr>
          <w:rFonts w:eastAsia="Arial"/>
          <w:spacing w:val="-1"/>
        </w:rPr>
        <w:t xml:space="preserve"> </w:t>
      </w:r>
      <w:r>
        <w:rPr>
          <w:rFonts w:eastAsia="Arial"/>
        </w:rPr>
        <w:t>ser</w:t>
      </w:r>
      <w:r>
        <w:rPr>
          <w:rFonts w:eastAsia="Arial"/>
          <w:spacing w:val="-2"/>
        </w:rPr>
        <w:t>v</w:t>
      </w:r>
      <w:r>
        <w:rPr>
          <w:rFonts w:eastAsia="Arial"/>
        </w:rPr>
        <w:t>e a</w:t>
      </w:r>
      <w:r>
        <w:rPr>
          <w:rFonts w:eastAsia="Arial"/>
          <w:spacing w:val="-1"/>
        </w:rPr>
        <w:t xml:space="preserve"> </w:t>
      </w:r>
      <w:r>
        <w:rPr>
          <w:rFonts w:eastAsia="Arial"/>
          <w:spacing w:val="1"/>
        </w:rPr>
        <w:t>r</w:t>
      </w:r>
      <w:r>
        <w:rPr>
          <w:rFonts w:eastAsia="Arial"/>
          <w:spacing w:val="-3"/>
        </w:rPr>
        <w:t>e</w:t>
      </w:r>
      <w:r>
        <w:rPr>
          <w:rFonts w:eastAsia="Arial"/>
          <w:spacing w:val="2"/>
        </w:rPr>
        <w:t>g</w:t>
      </w:r>
      <w:r>
        <w:rPr>
          <w:rFonts w:eastAsia="Arial"/>
          <w:spacing w:val="-1"/>
        </w:rPr>
        <w:t>i</w:t>
      </w:r>
      <w:r>
        <w:rPr>
          <w:rFonts w:eastAsia="Arial"/>
        </w:rPr>
        <w:t>s</w:t>
      </w:r>
      <w:r>
        <w:rPr>
          <w:rFonts w:eastAsia="Arial"/>
          <w:spacing w:val="1"/>
        </w:rPr>
        <w:t>t</w:t>
      </w:r>
      <w:r>
        <w:rPr>
          <w:rFonts w:eastAsia="Arial"/>
          <w:spacing w:val="-3"/>
        </w:rPr>
        <w:t>e</w:t>
      </w:r>
      <w:r>
        <w:rPr>
          <w:rFonts w:eastAsia="Arial"/>
          <w:spacing w:val="1"/>
        </w:rPr>
        <w:t>r</w:t>
      </w:r>
      <w:r>
        <w:rPr>
          <w:rFonts w:eastAsia="Arial"/>
        </w:rPr>
        <w:t>ed p</w:t>
      </w:r>
      <w:r>
        <w:rPr>
          <w:rFonts w:eastAsia="Arial"/>
          <w:spacing w:val="-1"/>
        </w:rPr>
        <w:t>o</w:t>
      </w:r>
      <w:r>
        <w:rPr>
          <w:rFonts w:eastAsia="Arial"/>
        </w:rPr>
        <w:t>p</w:t>
      </w:r>
      <w:r>
        <w:rPr>
          <w:rFonts w:eastAsia="Arial"/>
          <w:spacing w:val="-1"/>
        </w:rPr>
        <w:t>ul</w:t>
      </w:r>
      <w:r>
        <w:rPr>
          <w:rFonts w:eastAsia="Arial"/>
        </w:rPr>
        <w:t>ati</w:t>
      </w:r>
      <w:r>
        <w:rPr>
          <w:rFonts w:eastAsia="Arial"/>
          <w:spacing w:val="-1"/>
        </w:rPr>
        <w:t>o</w:t>
      </w:r>
      <w:r>
        <w:rPr>
          <w:rFonts w:eastAsia="Arial"/>
        </w:rPr>
        <w:t xml:space="preserve">n </w:t>
      </w:r>
      <w:r>
        <w:rPr>
          <w:rFonts w:eastAsia="Arial"/>
          <w:spacing w:val="-2"/>
        </w:rPr>
        <w:t>o</w:t>
      </w:r>
      <w:r>
        <w:rPr>
          <w:rFonts w:eastAsia="Arial"/>
        </w:rPr>
        <w:t>f approximately</w:t>
      </w:r>
      <w:r>
        <w:rPr>
          <w:rFonts w:eastAsia="Arial"/>
          <w:spacing w:val="2"/>
        </w:rPr>
        <w:t xml:space="preserve"> 307,000</w:t>
      </w:r>
      <w:r>
        <w:rPr>
          <w:rFonts w:eastAsia="Arial"/>
        </w:rPr>
        <w:t xml:space="preserve"> acro</w:t>
      </w:r>
      <w:r>
        <w:rPr>
          <w:rFonts w:eastAsia="Arial"/>
          <w:spacing w:val="-2"/>
        </w:rPr>
        <w:t>s</w:t>
      </w:r>
      <w:r>
        <w:rPr>
          <w:rFonts w:eastAsia="Arial"/>
        </w:rPr>
        <w:t>s</w:t>
      </w:r>
      <w:r>
        <w:rPr>
          <w:rFonts w:eastAsia="Arial"/>
          <w:spacing w:val="1"/>
        </w:rPr>
        <w:t xml:space="preserve"> </w:t>
      </w:r>
      <w:r>
        <w:rPr>
          <w:rFonts w:eastAsia="Arial"/>
        </w:rPr>
        <w:t>21</w:t>
      </w:r>
      <w:r>
        <w:rPr>
          <w:rFonts w:eastAsia="Arial"/>
          <w:spacing w:val="-2"/>
        </w:rPr>
        <w:t xml:space="preserve"> </w:t>
      </w:r>
      <w:r>
        <w:rPr>
          <w:rFonts w:eastAsia="Arial"/>
          <w:spacing w:val="-3"/>
        </w:rPr>
        <w:t>w</w:t>
      </w:r>
      <w:r>
        <w:rPr>
          <w:rFonts w:eastAsia="Arial"/>
        </w:rPr>
        <w:t>ards.</w:t>
      </w:r>
      <w:r>
        <w:rPr>
          <w:rFonts w:eastAsia="Arial"/>
          <w:spacing w:val="-5"/>
        </w:rPr>
        <w:t xml:space="preserve"> </w:t>
      </w:r>
      <w:r>
        <w:rPr>
          <w:rFonts w:cs="Arial"/>
          <w:spacing w:val="7"/>
        </w:rPr>
        <w:t>W</w:t>
      </w:r>
      <w:r>
        <w:rPr>
          <w:rFonts w:cs="Arial"/>
        </w:rPr>
        <w:t>e</w:t>
      </w:r>
      <w:r>
        <w:rPr>
          <w:rFonts w:cs="Arial"/>
          <w:spacing w:val="-2"/>
        </w:rPr>
        <w:t xml:space="preserve"> </w:t>
      </w:r>
      <w:r>
        <w:rPr>
          <w:rFonts w:cs="Arial"/>
          <w:spacing w:val="-3"/>
        </w:rPr>
        <w:t>h</w:t>
      </w:r>
      <w:r>
        <w:rPr>
          <w:rFonts w:cs="Arial"/>
        </w:rPr>
        <w:t>ad an a</w:t>
      </w:r>
      <w:r>
        <w:rPr>
          <w:rFonts w:cs="Arial"/>
          <w:spacing w:val="-1"/>
        </w:rPr>
        <w:t>ll</w:t>
      </w:r>
      <w:r>
        <w:rPr>
          <w:rFonts w:cs="Arial"/>
        </w:rPr>
        <w:t>oc</w:t>
      </w:r>
      <w:r>
        <w:rPr>
          <w:rFonts w:cs="Arial"/>
          <w:spacing w:val="-1"/>
        </w:rPr>
        <w:t>a</w:t>
      </w:r>
      <w:r>
        <w:rPr>
          <w:rFonts w:cs="Arial"/>
          <w:spacing w:val="1"/>
        </w:rPr>
        <w:t>t</w:t>
      </w:r>
      <w:r>
        <w:rPr>
          <w:rFonts w:cs="Arial"/>
        </w:rPr>
        <w:t>ed b</w:t>
      </w:r>
      <w:r>
        <w:rPr>
          <w:rFonts w:cs="Arial"/>
          <w:spacing w:val="-1"/>
        </w:rPr>
        <w:t>u</w:t>
      </w:r>
      <w:r>
        <w:rPr>
          <w:rFonts w:cs="Arial"/>
        </w:rPr>
        <w:t>d</w:t>
      </w:r>
      <w:r>
        <w:rPr>
          <w:rFonts w:cs="Arial"/>
          <w:spacing w:val="2"/>
        </w:rPr>
        <w:t>g</w:t>
      </w:r>
      <w:r>
        <w:rPr>
          <w:rFonts w:cs="Arial"/>
          <w:spacing w:val="-3"/>
        </w:rPr>
        <w:t>e</w:t>
      </w:r>
      <w:r>
        <w:rPr>
          <w:rFonts w:cs="Arial"/>
        </w:rPr>
        <w:t>t</w:t>
      </w:r>
      <w:r>
        <w:rPr>
          <w:rFonts w:cs="Arial"/>
          <w:spacing w:val="2"/>
        </w:rPr>
        <w:t xml:space="preserve"> </w:t>
      </w:r>
      <w:r>
        <w:rPr>
          <w:rFonts w:cs="Arial"/>
          <w:spacing w:val="-3"/>
        </w:rPr>
        <w:t>o</w:t>
      </w:r>
      <w:r>
        <w:rPr>
          <w:rFonts w:cs="Arial"/>
        </w:rPr>
        <w:t>f</w:t>
      </w:r>
      <w:r>
        <w:rPr>
          <w:rFonts w:cs="Arial"/>
          <w:spacing w:val="2"/>
        </w:rPr>
        <w:t xml:space="preserve"> </w:t>
      </w:r>
      <w:r>
        <w:rPr>
          <w:rFonts w:cs="Arial"/>
        </w:rPr>
        <w:t xml:space="preserve">£713.5 </w:t>
      </w:r>
      <w:r>
        <w:rPr>
          <w:rFonts w:cs="Arial"/>
          <w:spacing w:val="1"/>
        </w:rPr>
        <w:t>m</w:t>
      </w:r>
      <w:r>
        <w:rPr>
          <w:rFonts w:cs="Arial"/>
          <w:spacing w:val="-1"/>
        </w:rPr>
        <w:t>illi</w:t>
      </w:r>
      <w:r>
        <w:rPr>
          <w:rFonts w:cs="Arial"/>
        </w:rPr>
        <w:t>on</w:t>
      </w:r>
      <w:r>
        <w:rPr>
          <w:rFonts w:cs="Arial"/>
          <w:spacing w:val="-2"/>
        </w:rPr>
        <w:t xml:space="preserve"> </w:t>
      </w:r>
      <w:r>
        <w:rPr>
          <w:rFonts w:cs="Arial"/>
          <w:spacing w:val="3"/>
        </w:rPr>
        <w:t>f</w:t>
      </w:r>
      <w:r>
        <w:rPr>
          <w:rFonts w:cs="Arial"/>
          <w:spacing w:val="-3"/>
        </w:rPr>
        <w:t>o</w:t>
      </w:r>
      <w:r>
        <w:rPr>
          <w:rFonts w:cs="Arial"/>
        </w:rPr>
        <w:t>r</w:t>
      </w:r>
      <w:r>
        <w:rPr>
          <w:rFonts w:cs="Arial"/>
          <w:spacing w:val="4"/>
        </w:rPr>
        <w:t xml:space="preserve"> </w:t>
      </w:r>
      <w:r>
        <w:rPr>
          <w:rFonts w:cs="Arial"/>
        </w:rPr>
        <w:t>2021-22. The retained surplus increased by £106k in this financial year to £15.5million</w:t>
      </w:r>
    </w:p>
    <w:p w14:paraId="474F6FD2" w14:textId="77777777" w:rsidR="0043637C" w:rsidRDefault="0043637C" w:rsidP="0043637C">
      <w:pPr>
        <w:rPr>
          <w:rFonts w:eastAsia="Arial" w:cs="Times New Roman"/>
        </w:rPr>
      </w:pPr>
      <w:r>
        <w:rPr>
          <w:rFonts w:eastAsia="Arial"/>
          <w:spacing w:val="5"/>
        </w:rPr>
        <w:t>W</w:t>
      </w:r>
      <w:r>
        <w:rPr>
          <w:rFonts w:eastAsia="Arial"/>
        </w:rPr>
        <w:t>e</w:t>
      </w:r>
      <w:r>
        <w:rPr>
          <w:rFonts w:eastAsia="Arial"/>
          <w:spacing w:val="-4"/>
        </w:rPr>
        <w:t xml:space="preserve"> </w:t>
      </w:r>
      <w:r>
        <w:rPr>
          <w:rFonts w:eastAsia="Arial"/>
        </w:rPr>
        <w:t>c</w:t>
      </w:r>
      <w:r>
        <w:rPr>
          <w:rFonts w:eastAsia="Arial"/>
          <w:spacing w:val="-3"/>
        </w:rPr>
        <w:t>o</w:t>
      </w:r>
      <w:r>
        <w:rPr>
          <w:rFonts w:eastAsia="Arial"/>
          <w:spacing w:val="1"/>
        </w:rPr>
        <w:t>mm</w:t>
      </w:r>
      <w:r>
        <w:rPr>
          <w:rFonts w:eastAsia="Arial"/>
          <w:spacing w:val="-1"/>
        </w:rPr>
        <w:t>i</w:t>
      </w:r>
      <w:r>
        <w:rPr>
          <w:rFonts w:eastAsia="Arial"/>
        </w:rPr>
        <w:t>ss</w:t>
      </w:r>
      <w:r>
        <w:rPr>
          <w:rFonts w:eastAsia="Arial"/>
          <w:spacing w:val="-1"/>
        </w:rPr>
        <w:t>i</w:t>
      </w:r>
      <w:r>
        <w:rPr>
          <w:rFonts w:eastAsia="Arial"/>
        </w:rPr>
        <w:t>on</w:t>
      </w:r>
      <w:r>
        <w:rPr>
          <w:rFonts w:eastAsia="Arial"/>
          <w:spacing w:val="-2"/>
        </w:rPr>
        <w:t xml:space="preserve"> </w:t>
      </w:r>
      <w:r>
        <w:rPr>
          <w:rFonts w:eastAsia="Arial"/>
          <w:spacing w:val="1"/>
        </w:rPr>
        <w:t>(</w:t>
      </w:r>
      <w:r>
        <w:rPr>
          <w:rFonts w:eastAsia="Arial"/>
          <w:spacing w:val="-3"/>
        </w:rPr>
        <w:t>o</w:t>
      </w:r>
      <w:r>
        <w:rPr>
          <w:rFonts w:eastAsia="Arial"/>
        </w:rPr>
        <w:t>r</w:t>
      </w:r>
      <w:r>
        <w:rPr>
          <w:rFonts w:eastAsia="Arial"/>
          <w:spacing w:val="2"/>
        </w:rPr>
        <w:t xml:space="preserve"> </w:t>
      </w:r>
      <w:r>
        <w:rPr>
          <w:rFonts w:eastAsia="Arial"/>
        </w:rPr>
        <w:t>b</w:t>
      </w:r>
      <w:r>
        <w:rPr>
          <w:rFonts w:eastAsia="Arial"/>
          <w:spacing w:val="-1"/>
        </w:rPr>
        <w:t>u</w:t>
      </w:r>
      <w:r>
        <w:rPr>
          <w:rFonts w:eastAsia="Arial"/>
          <w:spacing w:val="-2"/>
        </w:rPr>
        <w:t>y</w:t>
      </w:r>
      <w:r>
        <w:rPr>
          <w:rFonts w:eastAsia="Arial"/>
        </w:rPr>
        <w:t xml:space="preserve">) a </w:t>
      </w:r>
      <w:r>
        <w:rPr>
          <w:rFonts w:eastAsia="Arial"/>
          <w:spacing w:val="1"/>
        </w:rPr>
        <w:t>r</w:t>
      </w:r>
      <w:r>
        <w:rPr>
          <w:rFonts w:eastAsia="Arial"/>
        </w:rPr>
        <w:t>a</w:t>
      </w:r>
      <w:r>
        <w:rPr>
          <w:rFonts w:eastAsia="Arial"/>
          <w:spacing w:val="-3"/>
        </w:rPr>
        <w:t>n</w:t>
      </w:r>
      <w:r>
        <w:rPr>
          <w:rFonts w:eastAsia="Arial"/>
          <w:spacing w:val="2"/>
        </w:rPr>
        <w:t>g</w:t>
      </w:r>
      <w:r>
        <w:rPr>
          <w:rFonts w:eastAsia="Arial"/>
        </w:rPr>
        <w:t>e</w:t>
      </w:r>
      <w:r>
        <w:rPr>
          <w:rFonts w:eastAsia="Arial"/>
          <w:spacing w:val="-2"/>
        </w:rPr>
        <w:t xml:space="preserve"> </w:t>
      </w:r>
      <w:r>
        <w:rPr>
          <w:rFonts w:eastAsia="Arial"/>
          <w:spacing w:val="-3"/>
        </w:rPr>
        <w:t>o</w:t>
      </w:r>
      <w:r>
        <w:rPr>
          <w:rFonts w:eastAsia="Arial"/>
        </w:rPr>
        <w:t>f</w:t>
      </w:r>
      <w:r>
        <w:rPr>
          <w:rFonts w:eastAsia="Arial"/>
          <w:spacing w:val="2"/>
        </w:rPr>
        <w:t xml:space="preserve"> </w:t>
      </w:r>
      <w:r>
        <w:rPr>
          <w:rFonts w:eastAsia="Arial"/>
        </w:rPr>
        <w:t>ser</w:t>
      </w:r>
      <w:r>
        <w:rPr>
          <w:rFonts w:eastAsia="Arial"/>
          <w:spacing w:val="-2"/>
        </w:rPr>
        <w:t>v</w:t>
      </w:r>
      <w:r>
        <w:rPr>
          <w:rFonts w:eastAsia="Arial"/>
          <w:spacing w:val="-1"/>
        </w:rPr>
        <w:t>i</w:t>
      </w:r>
      <w:r>
        <w:rPr>
          <w:rFonts w:eastAsia="Arial"/>
        </w:rPr>
        <w:t>ces</w:t>
      </w:r>
      <w:r>
        <w:rPr>
          <w:rFonts w:eastAsia="Arial"/>
          <w:spacing w:val="-2"/>
        </w:rPr>
        <w:t xml:space="preserve"> </w:t>
      </w:r>
      <w:r>
        <w:rPr>
          <w:rFonts w:eastAsia="Arial"/>
          <w:spacing w:val="1"/>
        </w:rPr>
        <w:t>f</w:t>
      </w:r>
      <w:r>
        <w:rPr>
          <w:rFonts w:eastAsia="Arial"/>
        </w:rPr>
        <w:t>or</w:t>
      </w:r>
      <w:r>
        <w:rPr>
          <w:rFonts w:eastAsia="Arial"/>
          <w:spacing w:val="-1"/>
        </w:rPr>
        <w:t xml:space="preserve"> </w:t>
      </w:r>
      <w:r>
        <w:rPr>
          <w:rFonts w:eastAsia="Arial"/>
          <w:spacing w:val="1"/>
        </w:rPr>
        <w:t>t</w:t>
      </w:r>
      <w:r>
        <w:rPr>
          <w:rFonts w:eastAsia="Arial"/>
          <w:spacing w:val="-3"/>
        </w:rPr>
        <w:t>h</w:t>
      </w:r>
      <w:r>
        <w:rPr>
          <w:rFonts w:eastAsia="Arial"/>
        </w:rPr>
        <w:t>e H</w:t>
      </w:r>
      <w:r>
        <w:rPr>
          <w:rFonts w:eastAsia="Arial"/>
          <w:spacing w:val="-1"/>
        </w:rPr>
        <w:t>ul</w:t>
      </w:r>
      <w:r>
        <w:rPr>
          <w:rFonts w:eastAsia="Arial"/>
        </w:rPr>
        <w:t>l p</w:t>
      </w:r>
      <w:r>
        <w:rPr>
          <w:rFonts w:eastAsia="Arial"/>
          <w:spacing w:val="-1"/>
        </w:rPr>
        <w:t>o</w:t>
      </w:r>
      <w:r>
        <w:rPr>
          <w:rFonts w:eastAsia="Arial"/>
        </w:rPr>
        <w:t>p</w:t>
      </w:r>
      <w:r>
        <w:rPr>
          <w:rFonts w:eastAsia="Arial"/>
          <w:spacing w:val="-1"/>
        </w:rPr>
        <w:t>ul</w:t>
      </w:r>
      <w:r>
        <w:rPr>
          <w:rFonts w:eastAsia="Arial"/>
        </w:rPr>
        <w:t>ati</w:t>
      </w:r>
      <w:r>
        <w:rPr>
          <w:rFonts w:eastAsia="Arial"/>
          <w:spacing w:val="-1"/>
        </w:rPr>
        <w:t>o</w:t>
      </w:r>
      <w:r>
        <w:rPr>
          <w:rFonts w:eastAsia="Arial"/>
        </w:rPr>
        <w:t>n,</w:t>
      </w:r>
      <w:r>
        <w:rPr>
          <w:rFonts w:eastAsia="Arial"/>
          <w:spacing w:val="2"/>
        </w:rPr>
        <w:t xml:space="preserve"> </w:t>
      </w:r>
      <w:r>
        <w:rPr>
          <w:rFonts w:eastAsia="Arial"/>
          <w:spacing w:val="-1"/>
        </w:rPr>
        <w:t>i</w:t>
      </w:r>
      <w:r>
        <w:rPr>
          <w:rFonts w:eastAsia="Arial"/>
        </w:rPr>
        <w:t>nc</w:t>
      </w:r>
      <w:r>
        <w:rPr>
          <w:rFonts w:eastAsia="Arial"/>
          <w:spacing w:val="-1"/>
        </w:rPr>
        <w:t>l</w:t>
      </w:r>
      <w:r>
        <w:rPr>
          <w:rFonts w:eastAsia="Arial"/>
        </w:rPr>
        <w:t>u</w:t>
      </w:r>
      <w:r>
        <w:rPr>
          <w:rFonts w:eastAsia="Arial"/>
          <w:spacing w:val="-1"/>
        </w:rPr>
        <w:t>di</w:t>
      </w:r>
      <w:r>
        <w:rPr>
          <w:rFonts w:eastAsia="Arial"/>
        </w:rPr>
        <w:t>ng u</w:t>
      </w:r>
      <w:r>
        <w:rPr>
          <w:rFonts w:eastAsia="Arial"/>
          <w:spacing w:val="-2"/>
        </w:rPr>
        <w:t>r</w:t>
      </w:r>
      <w:r>
        <w:rPr>
          <w:rFonts w:eastAsia="Arial"/>
          <w:spacing w:val="2"/>
        </w:rPr>
        <w:t>g</w:t>
      </w:r>
      <w:r>
        <w:rPr>
          <w:rFonts w:eastAsia="Arial"/>
        </w:rPr>
        <w:t>e</w:t>
      </w:r>
      <w:r>
        <w:rPr>
          <w:rFonts w:eastAsia="Arial"/>
          <w:spacing w:val="-3"/>
        </w:rPr>
        <w:t>n</w:t>
      </w:r>
      <w:r>
        <w:rPr>
          <w:rFonts w:eastAsia="Arial"/>
        </w:rPr>
        <w:t>t</w:t>
      </w:r>
      <w:r>
        <w:rPr>
          <w:rFonts w:eastAsia="Arial"/>
          <w:spacing w:val="2"/>
        </w:rPr>
        <w:t xml:space="preserve"> </w:t>
      </w:r>
      <w:r>
        <w:rPr>
          <w:rFonts w:eastAsia="Arial"/>
        </w:rPr>
        <w:t>c</w:t>
      </w:r>
      <w:r>
        <w:rPr>
          <w:rFonts w:eastAsia="Arial"/>
          <w:spacing w:val="-3"/>
        </w:rPr>
        <w:t>a</w:t>
      </w:r>
      <w:r>
        <w:rPr>
          <w:rFonts w:eastAsia="Arial"/>
          <w:spacing w:val="1"/>
        </w:rPr>
        <w:t>r</w:t>
      </w:r>
      <w:r>
        <w:rPr>
          <w:rFonts w:eastAsia="Arial"/>
        </w:rPr>
        <w:t xml:space="preserve">e </w:t>
      </w:r>
      <w:r>
        <w:rPr>
          <w:rFonts w:eastAsia="Arial"/>
          <w:spacing w:val="1"/>
        </w:rPr>
        <w:t>(</w:t>
      </w:r>
      <w:r>
        <w:rPr>
          <w:rFonts w:eastAsia="Arial"/>
        </w:rPr>
        <w:t xml:space="preserve">such </w:t>
      </w:r>
      <w:r>
        <w:rPr>
          <w:rFonts w:eastAsia="Arial"/>
          <w:spacing w:val="-3"/>
        </w:rPr>
        <w:t>a</w:t>
      </w:r>
      <w:r>
        <w:rPr>
          <w:rFonts w:eastAsia="Arial"/>
        </w:rPr>
        <w:t>s</w:t>
      </w:r>
      <w:r>
        <w:rPr>
          <w:rFonts w:eastAsia="Arial"/>
          <w:spacing w:val="1"/>
        </w:rPr>
        <w:t xml:space="preserve"> </w:t>
      </w:r>
      <w:r>
        <w:rPr>
          <w:rFonts w:eastAsia="Arial"/>
          <w:spacing w:val="-1"/>
        </w:rPr>
        <w:t>A</w:t>
      </w:r>
      <w:r>
        <w:rPr>
          <w:rFonts w:eastAsia="Arial"/>
        </w:rPr>
        <w:t>&amp;E s</w:t>
      </w:r>
      <w:r>
        <w:rPr>
          <w:rFonts w:eastAsia="Arial"/>
          <w:spacing w:val="-3"/>
        </w:rPr>
        <w:t>e</w:t>
      </w:r>
      <w:r>
        <w:rPr>
          <w:rFonts w:eastAsia="Arial"/>
          <w:spacing w:val="1"/>
        </w:rPr>
        <w:t>r</w:t>
      </w:r>
      <w:r>
        <w:rPr>
          <w:rFonts w:eastAsia="Arial"/>
          <w:spacing w:val="-2"/>
        </w:rPr>
        <w:t>v</w:t>
      </w:r>
      <w:r>
        <w:rPr>
          <w:rFonts w:eastAsia="Arial"/>
          <w:spacing w:val="-1"/>
        </w:rPr>
        <w:t>i</w:t>
      </w:r>
      <w:r>
        <w:rPr>
          <w:rFonts w:eastAsia="Arial"/>
        </w:rPr>
        <w:t xml:space="preserve">ces and </w:t>
      </w:r>
      <w:r>
        <w:rPr>
          <w:rFonts w:eastAsia="Arial"/>
          <w:spacing w:val="1"/>
        </w:rPr>
        <w:t>t</w:t>
      </w:r>
      <w:r>
        <w:rPr>
          <w:rFonts w:eastAsia="Arial"/>
        </w:rPr>
        <w:t>he</w:t>
      </w:r>
      <w:r>
        <w:rPr>
          <w:rFonts w:eastAsia="Arial"/>
          <w:spacing w:val="-2"/>
        </w:rPr>
        <w:t xml:space="preserve"> </w:t>
      </w:r>
      <w:r>
        <w:rPr>
          <w:rFonts w:eastAsia="Arial"/>
          <w:spacing w:val="1"/>
        </w:rPr>
        <w:t>G</w:t>
      </w:r>
      <w:r>
        <w:rPr>
          <w:rFonts w:eastAsia="Arial"/>
        </w:rPr>
        <w:t>P</w:t>
      </w:r>
      <w:r>
        <w:rPr>
          <w:rFonts w:eastAsia="Arial"/>
          <w:spacing w:val="-2"/>
        </w:rPr>
        <w:t xml:space="preserve"> </w:t>
      </w:r>
      <w:r>
        <w:rPr>
          <w:rFonts w:eastAsia="Arial"/>
        </w:rPr>
        <w:t>o</w:t>
      </w:r>
      <w:r>
        <w:rPr>
          <w:rFonts w:eastAsia="Arial"/>
          <w:spacing w:val="-1"/>
        </w:rPr>
        <w:t>u</w:t>
      </w:r>
      <w:r>
        <w:rPr>
          <w:rFonts w:eastAsia="Arial"/>
        </w:rPr>
        <w:t xml:space="preserve">t </w:t>
      </w:r>
      <w:r>
        <w:rPr>
          <w:rFonts w:eastAsia="Arial"/>
          <w:spacing w:val="-3"/>
        </w:rPr>
        <w:t>o</w:t>
      </w:r>
      <w:r>
        <w:rPr>
          <w:rFonts w:eastAsia="Arial"/>
        </w:rPr>
        <w:t>f</w:t>
      </w:r>
      <w:r>
        <w:rPr>
          <w:rFonts w:eastAsia="Arial"/>
          <w:spacing w:val="2"/>
        </w:rPr>
        <w:t xml:space="preserve"> </w:t>
      </w:r>
      <w:r>
        <w:rPr>
          <w:rFonts w:eastAsia="Arial"/>
        </w:rPr>
        <w:t>h</w:t>
      </w:r>
      <w:r>
        <w:rPr>
          <w:rFonts w:eastAsia="Arial"/>
          <w:spacing w:val="-1"/>
        </w:rPr>
        <w:t>o</w:t>
      </w:r>
      <w:r>
        <w:rPr>
          <w:rFonts w:eastAsia="Arial"/>
        </w:rPr>
        <w:t>u</w:t>
      </w:r>
      <w:r>
        <w:rPr>
          <w:rFonts w:eastAsia="Arial"/>
          <w:spacing w:val="-2"/>
        </w:rPr>
        <w:t>r</w:t>
      </w:r>
      <w:r>
        <w:rPr>
          <w:rFonts w:eastAsia="Arial"/>
        </w:rPr>
        <w:t>s</w:t>
      </w:r>
      <w:r>
        <w:rPr>
          <w:rFonts w:eastAsia="Arial"/>
          <w:spacing w:val="1"/>
        </w:rPr>
        <w:t xml:space="preserve"> </w:t>
      </w:r>
      <w:r>
        <w:rPr>
          <w:rFonts w:eastAsia="Arial"/>
          <w:spacing w:val="-2"/>
        </w:rPr>
        <w:t>s</w:t>
      </w:r>
      <w:r>
        <w:rPr>
          <w:rFonts w:eastAsia="Arial"/>
        </w:rPr>
        <w:t>er</w:t>
      </w:r>
      <w:r>
        <w:rPr>
          <w:rFonts w:eastAsia="Arial"/>
          <w:spacing w:val="-2"/>
        </w:rPr>
        <w:t>v</w:t>
      </w:r>
      <w:r>
        <w:rPr>
          <w:rFonts w:eastAsia="Arial"/>
          <w:spacing w:val="-1"/>
        </w:rPr>
        <w:t>i</w:t>
      </w:r>
      <w:r>
        <w:rPr>
          <w:rFonts w:eastAsia="Arial"/>
        </w:rPr>
        <w:t>ce),</w:t>
      </w:r>
      <w:r>
        <w:rPr>
          <w:rFonts w:eastAsia="Arial"/>
          <w:spacing w:val="2"/>
        </w:rPr>
        <w:t xml:space="preserve"> </w:t>
      </w:r>
      <w:r>
        <w:rPr>
          <w:rFonts w:eastAsia="Arial"/>
          <w:spacing w:val="1"/>
        </w:rPr>
        <w:t>r</w:t>
      </w:r>
      <w:r>
        <w:rPr>
          <w:rFonts w:eastAsia="Arial"/>
        </w:rPr>
        <w:t>o</w:t>
      </w:r>
      <w:r>
        <w:rPr>
          <w:rFonts w:eastAsia="Arial"/>
          <w:spacing w:val="-3"/>
        </w:rPr>
        <w:t>u</w:t>
      </w:r>
      <w:r>
        <w:rPr>
          <w:rFonts w:eastAsia="Arial"/>
          <w:spacing w:val="1"/>
        </w:rPr>
        <w:t>t</w:t>
      </w:r>
      <w:r>
        <w:rPr>
          <w:rFonts w:eastAsia="Arial"/>
          <w:spacing w:val="-1"/>
        </w:rPr>
        <w:t>i</w:t>
      </w:r>
      <w:r>
        <w:rPr>
          <w:rFonts w:eastAsia="Arial"/>
        </w:rPr>
        <w:t>ne h</w:t>
      </w:r>
      <w:r>
        <w:rPr>
          <w:rFonts w:eastAsia="Arial"/>
          <w:spacing w:val="-1"/>
        </w:rPr>
        <w:t>o</w:t>
      </w:r>
      <w:r>
        <w:rPr>
          <w:rFonts w:eastAsia="Arial"/>
        </w:rPr>
        <w:t>sp</w:t>
      </w:r>
      <w:r>
        <w:rPr>
          <w:rFonts w:eastAsia="Arial"/>
          <w:spacing w:val="-4"/>
        </w:rPr>
        <w:t>i</w:t>
      </w:r>
      <w:r>
        <w:rPr>
          <w:rFonts w:eastAsia="Arial"/>
          <w:spacing w:val="1"/>
        </w:rPr>
        <w:t>t</w:t>
      </w:r>
      <w:r>
        <w:rPr>
          <w:rFonts w:eastAsia="Arial"/>
        </w:rPr>
        <w:t xml:space="preserve">al </w:t>
      </w:r>
      <w:r>
        <w:rPr>
          <w:rFonts w:eastAsia="Arial"/>
          <w:spacing w:val="-1"/>
        </w:rPr>
        <w:t>t</w:t>
      </w:r>
      <w:r>
        <w:rPr>
          <w:rFonts w:eastAsia="Arial"/>
          <w:spacing w:val="1"/>
        </w:rPr>
        <w:t>r</w:t>
      </w:r>
      <w:r>
        <w:rPr>
          <w:rFonts w:eastAsia="Arial"/>
        </w:rPr>
        <w:t>e</w:t>
      </w:r>
      <w:r>
        <w:rPr>
          <w:rFonts w:eastAsia="Arial"/>
          <w:spacing w:val="-1"/>
        </w:rPr>
        <w:t>at</w:t>
      </w:r>
      <w:r>
        <w:rPr>
          <w:rFonts w:eastAsia="Arial"/>
          <w:spacing w:val="1"/>
        </w:rPr>
        <w:t>m</w:t>
      </w:r>
      <w:r>
        <w:rPr>
          <w:rFonts w:eastAsia="Arial"/>
        </w:rPr>
        <w:t>e</w:t>
      </w:r>
      <w:r>
        <w:rPr>
          <w:rFonts w:eastAsia="Arial"/>
          <w:spacing w:val="-1"/>
        </w:rPr>
        <w:t>nt</w:t>
      </w:r>
      <w:r>
        <w:rPr>
          <w:rFonts w:eastAsia="Arial"/>
        </w:rPr>
        <w:t xml:space="preserve">, </w:t>
      </w:r>
      <w:r>
        <w:rPr>
          <w:rFonts w:eastAsia="Arial"/>
          <w:spacing w:val="1"/>
        </w:rPr>
        <w:t>m</w:t>
      </w:r>
      <w:r>
        <w:rPr>
          <w:rFonts w:eastAsia="Arial"/>
        </w:rPr>
        <w:t>e</w:t>
      </w:r>
      <w:r>
        <w:rPr>
          <w:rFonts w:eastAsia="Arial"/>
          <w:spacing w:val="-1"/>
        </w:rPr>
        <w:t>n</w:t>
      </w:r>
      <w:r>
        <w:rPr>
          <w:rFonts w:eastAsia="Arial"/>
          <w:spacing w:val="1"/>
        </w:rPr>
        <w:t>t</w:t>
      </w:r>
      <w:r>
        <w:rPr>
          <w:rFonts w:eastAsia="Arial"/>
        </w:rPr>
        <w:t>al h</w:t>
      </w:r>
      <w:r>
        <w:rPr>
          <w:rFonts w:eastAsia="Arial"/>
          <w:spacing w:val="-1"/>
        </w:rPr>
        <w:t>e</w:t>
      </w:r>
      <w:r>
        <w:rPr>
          <w:rFonts w:eastAsia="Arial"/>
        </w:rPr>
        <w:t>a</w:t>
      </w:r>
      <w:r>
        <w:rPr>
          <w:rFonts w:eastAsia="Arial"/>
          <w:spacing w:val="-1"/>
        </w:rPr>
        <w:t>l</w:t>
      </w:r>
      <w:r>
        <w:rPr>
          <w:rFonts w:eastAsia="Arial"/>
          <w:spacing w:val="1"/>
        </w:rPr>
        <w:t>t</w:t>
      </w:r>
      <w:r>
        <w:rPr>
          <w:rFonts w:eastAsia="Arial"/>
        </w:rPr>
        <w:t>h and l</w:t>
      </w:r>
      <w:r>
        <w:rPr>
          <w:rFonts w:eastAsia="Arial"/>
          <w:spacing w:val="-1"/>
        </w:rPr>
        <w:t>e</w:t>
      </w:r>
      <w:r>
        <w:rPr>
          <w:rFonts w:eastAsia="Arial"/>
        </w:rPr>
        <w:t>arn</w:t>
      </w:r>
      <w:r>
        <w:rPr>
          <w:rFonts w:eastAsia="Arial"/>
          <w:spacing w:val="-1"/>
        </w:rPr>
        <w:t>i</w:t>
      </w:r>
      <w:r>
        <w:rPr>
          <w:rFonts w:eastAsia="Arial"/>
          <w:spacing w:val="-3"/>
        </w:rPr>
        <w:t>n</w:t>
      </w:r>
      <w:r>
        <w:rPr>
          <w:rFonts w:eastAsia="Arial"/>
        </w:rPr>
        <w:t>g d</w:t>
      </w:r>
      <w:r>
        <w:rPr>
          <w:rFonts w:eastAsia="Arial"/>
          <w:spacing w:val="-1"/>
        </w:rPr>
        <w:t>i</w:t>
      </w:r>
      <w:r>
        <w:rPr>
          <w:rFonts w:eastAsia="Arial"/>
        </w:rPr>
        <w:t>s</w:t>
      </w:r>
      <w:r>
        <w:rPr>
          <w:rFonts w:eastAsia="Arial"/>
          <w:spacing w:val="-3"/>
        </w:rPr>
        <w:t>a</w:t>
      </w:r>
      <w:r>
        <w:rPr>
          <w:rFonts w:eastAsia="Arial"/>
        </w:rPr>
        <w:t>b</w:t>
      </w:r>
      <w:r>
        <w:rPr>
          <w:rFonts w:eastAsia="Arial"/>
          <w:spacing w:val="-1"/>
        </w:rPr>
        <w:t>ili</w:t>
      </w:r>
      <w:r>
        <w:rPr>
          <w:rFonts w:eastAsia="Arial"/>
          <w:spacing w:val="1"/>
        </w:rPr>
        <w:t>t</w:t>
      </w:r>
      <w:r>
        <w:rPr>
          <w:rFonts w:eastAsia="Arial"/>
        </w:rPr>
        <w:t>y</w:t>
      </w:r>
      <w:r>
        <w:rPr>
          <w:rFonts w:eastAsia="Arial"/>
          <w:spacing w:val="-1"/>
        </w:rPr>
        <w:t xml:space="preserve"> </w:t>
      </w:r>
      <w:r>
        <w:rPr>
          <w:rFonts w:eastAsia="Arial"/>
        </w:rPr>
        <w:t>ser</w:t>
      </w:r>
      <w:r>
        <w:rPr>
          <w:rFonts w:eastAsia="Arial"/>
          <w:spacing w:val="-2"/>
        </w:rPr>
        <w:t>v</w:t>
      </w:r>
      <w:r>
        <w:rPr>
          <w:rFonts w:eastAsia="Arial"/>
          <w:spacing w:val="-1"/>
        </w:rPr>
        <w:t>i</w:t>
      </w:r>
      <w:r>
        <w:rPr>
          <w:rFonts w:eastAsia="Arial"/>
        </w:rPr>
        <w:t>ces,</w:t>
      </w:r>
      <w:r>
        <w:rPr>
          <w:rFonts w:eastAsia="Arial"/>
          <w:spacing w:val="2"/>
        </w:rPr>
        <w:t xml:space="preserve"> </w:t>
      </w:r>
      <w:r>
        <w:rPr>
          <w:rFonts w:eastAsia="Arial"/>
        </w:rPr>
        <w:t>com</w:t>
      </w:r>
      <w:r>
        <w:rPr>
          <w:rFonts w:eastAsia="Arial"/>
          <w:spacing w:val="1"/>
        </w:rPr>
        <w:t>m</w:t>
      </w:r>
      <w:r>
        <w:rPr>
          <w:rFonts w:eastAsia="Arial"/>
        </w:rPr>
        <w:t>u</w:t>
      </w:r>
      <w:r>
        <w:rPr>
          <w:rFonts w:eastAsia="Arial"/>
          <w:spacing w:val="-1"/>
        </w:rPr>
        <w:t>n</w:t>
      </w:r>
      <w:r>
        <w:rPr>
          <w:rFonts w:eastAsia="Arial"/>
          <w:spacing w:val="-3"/>
        </w:rPr>
        <w:t>i</w:t>
      </w:r>
      <w:r>
        <w:rPr>
          <w:rFonts w:eastAsia="Arial"/>
          <w:spacing w:val="-1"/>
        </w:rPr>
        <w:t>t</w:t>
      </w:r>
      <w:r>
        <w:rPr>
          <w:rFonts w:eastAsia="Arial"/>
        </w:rPr>
        <w:t>y</w:t>
      </w:r>
      <w:r>
        <w:rPr>
          <w:rFonts w:eastAsia="Arial"/>
          <w:spacing w:val="-1"/>
        </w:rPr>
        <w:t xml:space="preserve"> </w:t>
      </w:r>
      <w:r>
        <w:rPr>
          <w:rFonts w:eastAsia="Arial"/>
        </w:rPr>
        <w:t>care</w:t>
      </w:r>
      <w:r>
        <w:rPr>
          <w:rFonts w:eastAsia="Arial"/>
          <w:spacing w:val="1"/>
        </w:rPr>
        <w:t xml:space="preserve"> </w:t>
      </w:r>
      <w:r>
        <w:rPr>
          <w:rFonts w:eastAsia="Arial"/>
          <w:spacing w:val="-1"/>
        </w:rPr>
        <w:t>i</w:t>
      </w:r>
      <w:r>
        <w:rPr>
          <w:rFonts w:eastAsia="Arial"/>
        </w:rPr>
        <w:t>nc</w:t>
      </w:r>
      <w:r>
        <w:rPr>
          <w:rFonts w:eastAsia="Arial"/>
          <w:spacing w:val="-1"/>
        </w:rPr>
        <w:t>l</w:t>
      </w:r>
      <w:r>
        <w:rPr>
          <w:rFonts w:eastAsia="Arial"/>
        </w:rPr>
        <w:t>u</w:t>
      </w:r>
      <w:r>
        <w:rPr>
          <w:rFonts w:eastAsia="Arial"/>
          <w:spacing w:val="-1"/>
        </w:rPr>
        <w:t>di</w:t>
      </w:r>
      <w:r>
        <w:rPr>
          <w:rFonts w:eastAsia="Arial"/>
        </w:rPr>
        <w:t>ng d</w:t>
      </w:r>
      <w:r>
        <w:rPr>
          <w:rFonts w:eastAsia="Arial"/>
          <w:spacing w:val="-1"/>
        </w:rPr>
        <w:t>i</w:t>
      </w:r>
      <w:r>
        <w:rPr>
          <w:rFonts w:eastAsia="Arial"/>
        </w:rPr>
        <w:t>s</w:t>
      </w:r>
      <w:r>
        <w:rPr>
          <w:rFonts w:eastAsia="Arial"/>
          <w:spacing w:val="1"/>
        </w:rPr>
        <w:t>tr</w:t>
      </w:r>
      <w:r>
        <w:rPr>
          <w:rFonts w:eastAsia="Arial"/>
          <w:spacing w:val="-1"/>
        </w:rPr>
        <w:t>i</w:t>
      </w:r>
      <w:r>
        <w:rPr>
          <w:rFonts w:eastAsia="Arial"/>
          <w:spacing w:val="-2"/>
        </w:rPr>
        <w:t>c</w:t>
      </w:r>
      <w:r>
        <w:rPr>
          <w:rFonts w:eastAsia="Arial"/>
        </w:rPr>
        <w:t>t</w:t>
      </w:r>
      <w:r>
        <w:rPr>
          <w:rFonts w:eastAsia="Arial"/>
          <w:spacing w:val="2"/>
        </w:rPr>
        <w:t xml:space="preserve"> </w:t>
      </w:r>
      <w:r>
        <w:rPr>
          <w:rFonts w:eastAsia="Arial"/>
          <w:spacing w:val="-3"/>
        </w:rPr>
        <w:t>n</w:t>
      </w:r>
      <w:r>
        <w:rPr>
          <w:rFonts w:eastAsia="Arial"/>
        </w:rPr>
        <w:t>ursi</w:t>
      </w:r>
      <w:r>
        <w:rPr>
          <w:rFonts w:eastAsia="Arial"/>
          <w:spacing w:val="-1"/>
        </w:rPr>
        <w:t>n</w:t>
      </w:r>
      <w:r>
        <w:rPr>
          <w:rFonts w:eastAsia="Arial"/>
        </w:rPr>
        <w:t>g and co</w:t>
      </w:r>
      <w:r>
        <w:rPr>
          <w:rFonts w:eastAsia="Arial"/>
          <w:spacing w:val="-1"/>
        </w:rPr>
        <w:t>n</w:t>
      </w:r>
      <w:r>
        <w:rPr>
          <w:rFonts w:eastAsia="Arial"/>
          <w:spacing w:val="1"/>
        </w:rPr>
        <w:t>t</w:t>
      </w:r>
      <w:r>
        <w:rPr>
          <w:rFonts w:eastAsia="Arial"/>
          <w:spacing w:val="-1"/>
        </w:rPr>
        <w:t>i</w:t>
      </w:r>
      <w:r>
        <w:rPr>
          <w:rFonts w:eastAsia="Arial"/>
        </w:rPr>
        <w:t>n</w:t>
      </w:r>
      <w:r>
        <w:rPr>
          <w:rFonts w:eastAsia="Arial"/>
          <w:spacing w:val="-1"/>
        </w:rPr>
        <w:t>ui</w:t>
      </w:r>
      <w:r>
        <w:rPr>
          <w:rFonts w:eastAsia="Arial"/>
        </w:rPr>
        <w:t>ng h</w:t>
      </w:r>
      <w:r>
        <w:rPr>
          <w:rFonts w:eastAsia="Arial"/>
          <w:spacing w:val="-1"/>
        </w:rPr>
        <w:t>e</w:t>
      </w:r>
      <w:r>
        <w:rPr>
          <w:rFonts w:eastAsia="Arial"/>
        </w:rPr>
        <w:t>a</w:t>
      </w:r>
      <w:r>
        <w:rPr>
          <w:rFonts w:eastAsia="Arial"/>
          <w:spacing w:val="-1"/>
        </w:rPr>
        <w:t>l</w:t>
      </w:r>
      <w:r>
        <w:rPr>
          <w:rFonts w:eastAsia="Arial"/>
          <w:spacing w:val="1"/>
        </w:rPr>
        <w:t>t</w:t>
      </w:r>
      <w:r>
        <w:rPr>
          <w:rFonts w:eastAsia="Arial"/>
        </w:rPr>
        <w:t xml:space="preserve">h </w:t>
      </w:r>
      <w:r>
        <w:rPr>
          <w:rFonts w:eastAsia="Arial"/>
          <w:spacing w:val="-2"/>
        </w:rPr>
        <w:t>c</w:t>
      </w:r>
      <w:r>
        <w:rPr>
          <w:rFonts w:eastAsia="Arial"/>
        </w:rPr>
        <w:t>ar</w:t>
      </w:r>
      <w:r>
        <w:rPr>
          <w:rFonts w:eastAsia="Arial"/>
          <w:spacing w:val="-2"/>
        </w:rPr>
        <w:t>e</w:t>
      </w:r>
      <w:r>
        <w:rPr>
          <w:rFonts w:eastAsia="Arial"/>
        </w:rPr>
        <w:t xml:space="preserve">. </w:t>
      </w:r>
      <w:r>
        <w:rPr>
          <w:rFonts w:eastAsia="Arial"/>
          <w:spacing w:val="5"/>
        </w:rPr>
        <w:t>W</w:t>
      </w:r>
      <w:r>
        <w:rPr>
          <w:rFonts w:eastAsia="Arial"/>
        </w:rPr>
        <w:t>e</w:t>
      </w:r>
      <w:r>
        <w:rPr>
          <w:rFonts w:eastAsia="Arial"/>
          <w:spacing w:val="-4"/>
        </w:rPr>
        <w:t xml:space="preserve"> </w:t>
      </w:r>
      <w:r>
        <w:rPr>
          <w:rFonts w:eastAsia="Arial"/>
        </w:rPr>
        <w:t>sh</w:t>
      </w:r>
      <w:r>
        <w:rPr>
          <w:rFonts w:eastAsia="Arial"/>
          <w:spacing w:val="-3"/>
        </w:rPr>
        <w:t>a</w:t>
      </w:r>
      <w:r>
        <w:rPr>
          <w:rFonts w:eastAsia="Arial"/>
          <w:spacing w:val="1"/>
        </w:rPr>
        <w:t>r</w:t>
      </w:r>
      <w:r>
        <w:rPr>
          <w:rFonts w:eastAsia="Arial"/>
        </w:rPr>
        <w:t>e</w:t>
      </w:r>
      <w:r>
        <w:rPr>
          <w:rFonts w:eastAsia="Arial"/>
          <w:spacing w:val="-2"/>
        </w:rPr>
        <w:t xml:space="preserve"> </w:t>
      </w:r>
      <w:r>
        <w:rPr>
          <w:rFonts w:eastAsia="Arial"/>
          <w:spacing w:val="1"/>
        </w:rPr>
        <w:t>t</w:t>
      </w:r>
      <w:r>
        <w:rPr>
          <w:rFonts w:eastAsia="Arial"/>
        </w:rPr>
        <w:t>he s</w:t>
      </w:r>
      <w:r>
        <w:rPr>
          <w:rFonts w:eastAsia="Arial"/>
          <w:spacing w:val="-3"/>
        </w:rPr>
        <w:t>a</w:t>
      </w:r>
      <w:r>
        <w:rPr>
          <w:rFonts w:eastAsia="Arial"/>
          <w:spacing w:val="1"/>
        </w:rPr>
        <w:t>m</w:t>
      </w:r>
      <w:r>
        <w:rPr>
          <w:rFonts w:eastAsia="Arial"/>
        </w:rPr>
        <w:t>e</w:t>
      </w:r>
      <w:r>
        <w:rPr>
          <w:rFonts w:eastAsia="Arial"/>
          <w:spacing w:val="-2"/>
        </w:rPr>
        <w:t xml:space="preserve"> </w:t>
      </w:r>
      <w:r>
        <w:rPr>
          <w:rFonts w:eastAsia="Arial"/>
        </w:rPr>
        <w:t>b</w:t>
      </w:r>
      <w:r>
        <w:rPr>
          <w:rFonts w:eastAsia="Arial"/>
          <w:spacing w:val="-1"/>
        </w:rPr>
        <w:t>o</w:t>
      </w:r>
      <w:r>
        <w:rPr>
          <w:rFonts w:eastAsia="Arial"/>
          <w:spacing w:val="-3"/>
        </w:rPr>
        <w:t>u</w:t>
      </w:r>
      <w:r>
        <w:rPr>
          <w:rFonts w:eastAsia="Arial"/>
        </w:rPr>
        <w:t>n</w:t>
      </w:r>
      <w:r>
        <w:rPr>
          <w:rFonts w:eastAsia="Arial"/>
          <w:spacing w:val="-1"/>
        </w:rPr>
        <w:t>d</w:t>
      </w:r>
      <w:r>
        <w:rPr>
          <w:rFonts w:eastAsia="Arial"/>
        </w:rPr>
        <w:t>ary</w:t>
      </w:r>
      <w:r>
        <w:rPr>
          <w:rFonts w:eastAsia="Arial"/>
          <w:spacing w:val="-1"/>
        </w:rPr>
        <w:t xml:space="preserve"> </w:t>
      </w:r>
      <w:r>
        <w:rPr>
          <w:rFonts w:eastAsia="Arial"/>
        </w:rPr>
        <w:t>as H</w:t>
      </w:r>
      <w:r>
        <w:rPr>
          <w:rFonts w:eastAsia="Arial"/>
          <w:spacing w:val="-1"/>
        </w:rPr>
        <w:t>ul</w:t>
      </w:r>
      <w:r>
        <w:rPr>
          <w:rFonts w:eastAsia="Arial"/>
        </w:rPr>
        <w:t xml:space="preserve">l </w:t>
      </w:r>
      <w:r>
        <w:rPr>
          <w:rFonts w:eastAsia="Arial"/>
          <w:spacing w:val="-1"/>
        </w:rPr>
        <w:t>Ci</w:t>
      </w:r>
      <w:r>
        <w:rPr>
          <w:rFonts w:eastAsia="Arial"/>
          <w:spacing w:val="1"/>
        </w:rPr>
        <w:t>t</w:t>
      </w:r>
      <w:r>
        <w:rPr>
          <w:rFonts w:eastAsia="Arial"/>
        </w:rPr>
        <w:t>y</w:t>
      </w:r>
      <w:r>
        <w:rPr>
          <w:rFonts w:eastAsia="Arial"/>
          <w:spacing w:val="-1"/>
        </w:rPr>
        <w:t xml:space="preserve"> C</w:t>
      </w:r>
      <w:r>
        <w:rPr>
          <w:rFonts w:eastAsia="Arial"/>
        </w:rPr>
        <w:t>o</w:t>
      </w:r>
      <w:r>
        <w:rPr>
          <w:rFonts w:eastAsia="Arial"/>
          <w:spacing w:val="-1"/>
        </w:rPr>
        <w:t>u</w:t>
      </w:r>
      <w:r>
        <w:rPr>
          <w:rFonts w:eastAsia="Arial"/>
        </w:rPr>
        <w:t>nc</w:t>
      </w:r>
      <w:r>
        <w:rPr>
          <w:rFonts w:eastAsia="Arial"/>
          <w:spacing w:val="-1"/>
        </w:rPr>
        <w:t>il</w:t>
      </w:r>
      <w:r>
        <w:rPr>
          <w:rFonts w:eastAsia="Arial"/>
        </w:rPr>
        <w:t xml:space="preserve">. </w:t>
      </w:r>
      <w:r>
        <w:rPr>
          <w:rFonts w:eastAsia="Arial"/>
          <w:spacing w:val="2"/>
        </w:rPr>
        <w:t xml:space="preserve"> </w:t>
      </w:r>
      <w:r>
        <w:rPr>
          <w:rFonts w:eastAsia="Arial"/>
        </w:rPr>
        <w:t>Wh</w:t>
      </w:r>
      <w:r>
        <w:rPr>
          <w:rFonts w:eastAsia="Arial"/>
          <w:spacing w:val="-1"/>
        </w:rPr>
        <w:t>e</w:t>
      </w:r>
      <w:r>
        <w:rPr>
          <w:rFonts w:eastAsia="Arial"/>
          <w:spacing w:val="1"/>
        </w:rPr>
        <w:t>r</w:t>
      </w:r>
      <w:r>
        <w:rPr>
          <w:rFonts w:eastAsia="Arial"/>
        </w:rPr>
        <w:t>e ap</w:t>
      </w:r>
      <w:r>
        <w:rPr>
          <w:rFonts w:eastAsia="Arial"/>
          <w:spacing w:val="-3"/>
        </w:rPr>
        <w:t>p</w:t>
      </w:r>
      <w:r>
        <w:rPr>
          <w:rFonts w:eastAsia="Arial"/>
          <w:spacing w:val="1"/>
        </w:rPr>
        <w:t>r</w:t>
      </w:r>
      <w:r>
        <w:rPr>
          <w:rFonts w:eastAsia="Arial"/>
        </w:rPr>
        <w:t>o</w:t>
      </w:r>
      <w:r>
        <w:rPr>
          <w:rFonts w:eastAsia="Arial"/>
          <w:spacing w:val="-1"/>
        </w:rPr>
        <w:t>p</w:t>
      </w:r>
      <w:r>
        <w:rPr>
          <w:rFonts w:eastAsia="Arial"/>
          <w:spacing w:val="1"/>
        </w:rPr>
        <w:t>r</w:t>
      </w:r>
      <w:r>
        <w:rPr>
          <w:rFonts w:eastAsia="Arial"/>
          <w:spacing w:val="-1"/>
        </w:rPr>
        <w:t>i</w:t>
      </w:r>
      <w:r>
        <w:rPr>
          <w:rFonts w:eastAsia="Arial"/>
        </w:rPr>
        <w:t>a</w:t>
      </w:r>
      <w:r>
        <w:rPr>
          <w:rFonts w:eastAsia="Arial"/>
          <w:spacing w:val="-2"/>
        </w:rPr>
        <w:t>t</w:t>
      </w:r>
      <w:r>
        <w:rPr>
          <w:rFonts w:eastAsia="Arial"/>
        </w:rPr>
        <w:t>e,</w:t>
      </w:r>
      <w:r>
        <w:rPr>
          <w:rFonts w:eastAsia="Arial"/>
          <w:spacing w:val="2"/>
        </w:rPr>
        <w:t xml:space="preserve"> </w:t>
      </w:r>
      <w:r>
        <w:rPr>
          <w:rFonts w:eastAsia="Arial"/>
          <w:spacing w:val="-3"/>
        </w:rPr>
        <w:t>w</w:t>
      </w:r>
      <w:r>
        <w:rPr>
          <w:rFonts w:eastAsia="Arial"/>
        </w:rPr>
        <w:t xml:space="preserve">e </w:t>
      </w:r>
      <w:r>
        <w:rPr>
          <w:rFonts w:eastAsia="Arial"/>
          <w:spacing w:val="1"/>
        </w:rPr>
        <w:t>j</w:t>
      </w:r>
      <w:r>
        <w:rPr>
          <w:rFonts w:eastAsia="Arial"/>
        </w:rPr>
        <w:t>o</w:t>
      </w:r>
      <w:r>
        <w:rPr>
          <w:rFonts w:eastAsia="Arial"/>
          <w:spacing w:val="-1"/>
        </w:rPr>
        <w:t>i</w:t>
      </w:r>
      <w:r>
        <w:rPr>
          <w:rFonts w:eastAsia="Arial"/>
        </w:rPr>
        <w:t>ntly com</w:t>
      </w:r>
      <w:r>
        <w:rPr>
          <w:rFonts w:eastAsia="Arial"/>
          <w:spacing w:val="1"/>
        </w:rPr>
        <w:t>m</w:t>
      </w:r>
      <w:r>
        <w:rPr>
          <w:rFonts w:eastAsia="Arial"/>
          <w:spacing w:val="-1"/>
        </w:rPr>
        <w:t>i</w:t>
      </w:r>
      <w:r>
        <w:rPr>
          <w:rFonts w:eastAsia="Arial"/>
        </w:rPr>
        <w:t>ss</w:t>
      </w:r>
      <w:r>
        <w:rPr>
          <w:rFonts w:eastAsia="Arial"/>
          <w:spacing w:val="-1"/>
        </w:rPr>
        <w:t>i</w:t>
      </w:r>
      <w:r>
        <w:rPr>
          <w:rFonts w:eastAsia="Arial"/>
        </w:rPr>
        <w:t>on</w:t>
      </w:r>
      <w:r>
        <w:rPr>
          <w:rFonts w:eastAsia="Arial"/>
          <w:spacing w:val="-2"/>
        </w:rPr>
        <w:t xml:space="preserve"> </w:t>
      </w:r>
      <w:r>
        <w:rPr>
          <w:rFonts w:eastAsia="Arial"/>
        </w:rPr>
        <w:t>ser</w:t>
      </w:r>
      <w:r>
        <w:rPr>
          <w:rFonts w:eastAsia="Arial"/>
          <w:spacing w:val="-2"/>
        </w:rPr>
        <w:t>v</w:t>
      </w:r>
      <w:r>
        <w:rPr>
          <w:rFonts w:eastAsia="Arial"/>
          <w:spacing w:val="-1"/>
        </w:rPr>
        <w:t>i</w:t>
      </w:r>
      <w:r>
        <w:rPr>
          <w:rFonts w:eastAsia="Arial"/>
        </w:rPr>
        <w:t xml:space="preserve">ces </w:t>
      </w:r>
      <w:r>
        <w:rPr>
          <w:rFonts w:eastAsia="Arial"/>
          <w:spacing w:val="-3"/>
        </w:rPr>
        <w:t>w</w:t>
      </w:r>
      <w:r>
        <w:rPr>
          <w:rFonts w:eastAsia="Arial"/>
          <w:spacing w:val="-1"/>
        </w:rPr>
        <w:t>i</w:t>
      </w:r>
      <w:r>
        <w:rPr>
          <w:rFonts w:eastAsia="Arial"/>
          <w:spacing w:val="1"/>
        </w:rPr>
        <w:t>t</w:t>
      </w:r>
      <w:r>
        <w:rPr>
          <w:rFonts w:eastAsia="Arial"/>
        </w:rPr>
        <w:t>h pa</w:t>
      </w:r>
      <w:r>
        <w:rPr>
          <w:rFonts w:eastAsia="Arial"/>
          <w:spacing w:val="-2"/>
        </w:rPr>
        <w:t>r</w:t>
      </w:r>
      <w:r>
        <w:rPr>
          <w:rFonts w:eastAsia="Arial"/>
          <w:spacing w:val="1"/>
        </w:rPr>
        <w:t>t</w:t>
      </w:r>
      <w:r>
        <w:rPr>
          <w:rFonts w:eastAsia="Arial"/>
        </w:rPr>
        <w:t>n</w:t>
      </w:r>
      <w:r>
        <w:rPr>
          <w:rFonts w:eastAsia="Arial"/>
          <w:spacing w:val="-1"/>
        </w:rPr>
        <w:t>e</w:t>
      </w:r>
      <w:r>
        <w:rPr>
          <w:rFonts w:eastAsia="Arial"/>
          <w:spacing w:val="1"/>
        </w:rPr>
        <w:t>r</w:t>
      </w:r>
      <w:r>
        <w:rPr>
          <w:rFonts w:eastAsia="Arial"/>
        </w:rPr>
        <w:t>s</w:t>
      </w:r>
      <w:r>
        <w:rPr>
          <w:rFonts w:eastAsia="Arial"/>
          <w:spacing w:val="-1"/>
        </w:rPr>
        <w:t xml:space="preserve"> </w:t>
      </w:r>
      <w:r>
        <w:rPr>
          <w:rFonts w:eastAsia="Arial"/>
        </w:rPr>
        <w:t>such</w:t>
      </w:r>
      <w:r>
        <w:rPr>
          <w:rFonts w:eastAsia="Arial"/>
          <w:spacing w:val="-2"/>
        </w:rPr>
        <w:t xml:space="preserve"> </w:t>
      </w:r>
      <w:r>
        <w:rPr>
          <w:rFonts w:eastAsia="Arial"/>
        </w:rPr>
        <w:t>as East</w:t>
      </w:r>
      <w:r>
        <w:rPr>
          <w:rFonts w:eastAsia="Arial"/>
          <w:spacing w:val="-1"/>
        </w:rPr>
        <w:t xml:space="preserve"> Ri</w:t>
      </w:r>
      <w:r>
        <w:rPr>
          <w:rFonts w:eastAsia="Arial"/>
        </w:rPr>
        <w:t>d</w:t>
      </w:r>
      <w:r>
        <w:rPr>
          <w:rFonts w:eastAsia="Arial"/>
          <w:spacing w:val="-1"/>
        </w:rPr>
        <w:t>i</w:t>
      </w:r>
      <w:r>
        <w:rPr>
          <w:rFonts w:eastAsia="Arial"/>
        </w:rPr>
        <w:t>ng</w:t>
      </w:r>
      <w:r>
        <w:rPr>
          <w:rFonts w:eastAsia="Arial"/>
          <w:spacing w:val="3"/>
        </w:rPr>
        <w:t xml:space="preserve"> </w:t>
      </w:r>
      <w:r>
        <w:rPr>
          <w:rFonts w:eastAsia="Arial"/>
          <w:spacing w:val="-3"/>
        </w:rPr>
        <w:t>o</w:t>
      </w:r>
      <w:r>
        <w:rPr>
          <w:rFonts w:eastAsia="Arial"/>
        </w:rPr>
        <w:t>f</w:t>
      </w:r>
      <w:r>
        <w:rPr>
          <w:rFonts w:eastAsia="Arial"/>
          <w:spacing w:val="2"/>
        </w:rPr>
        <w:t xml:space="preserve"> </w:t>
      </w:r>
      <w:r>
        <w:rPr>
          <w:rFonts w:eastAsia="Arial"/>
          <w:spacing w:val="-3"/>
        </w:rPr>
        <w:t>Y</w:t>
      </w:r>
      <w:r>
        <w:rPr>
          <w:rFonts w:eastAsia="Arial"/>
        </w:rPr>
        <w:t>o</w:t>
      </w:r>
      <w:r>
        <w:rPr>
          <w:rFonts w:eastAsia="Arial"/>
          <w:spacing w:val="-2"/>
        </w:rPr>
        <w:t>r</w:t>
      </w:r>
      <w:r>
        <w:rPr>
          <w:rFonts w:eastAsia="Arial"/>
          <w:spacing w:val="2"/>
        </w:rPr>
        <w:t>k</w:t>
      </w:r>
      <w:r>
        <w:rPr>
          <w:rFonts w:eastAsia="Arial"/>
        </w:rPr>
        <w:t>sh</w:t>
      </w:r>
      <w:r>
        <w:rPr>
          <w:rFonts w:eastAsia="Arial"/>
          <w:spacing w:val="-1"/>
        </w:rPr>
        <w:t>i</w:t>
      </w:r>
      <w:r>
        <w:rPr>
          <w:rFonts w:eastAsia="Arial"/>
          <w:spacing w:val="1"/>
        </w:rPr>
        <w:t>r</w:t>
      </w:r>
      <w:r>
        <w:rPr>
          <w:rFonts w:eastAsia="Arial"/>
        </w:rPr>
        <w:t>e C</w:t>
      </w:r>
      <w:r>
        <w:rPr>
          <w:rFonts w:eastAsia="Arial"/>
          <w:spacing w:val="-4"/>
        </w:rPr>
        <w:t>C</w:t>
      </w:r>
      <w:r>
        <w:rPr>
          <w:rFonts w:eastAsia="Arial"/>
        </w:rPr>
        <w:t>G</w:t>
      </w:r>
      <w:r>
        <w:rPr>
          <w:rFonts w:eastAsia="Arial"/>
          <w:spacing w:val="2"/>
        </w:rPr>
        <w:t xml:space="preserve"> </w:t>
      </w:r>
      <w:r>
        <w:rPr>
          <w:rFonts w:eastAsia="Arial"/>
          <w:spacing w:val="-3"/>
        </w:rPr>
        <w:t>o</w:t>
      </w:r>
      <w:r>
        <w:rPr>
          <w:rFonts w:eastAsia="Arial"/>
        </w:rPr>
        <w:t xml:space="preserve">r </w:t>
      </w:r>
      <w:r>
        <w:rPr>
          <w:rFonts w:eastAsia="Arial"/>
          <w:spacing w:val="-1"/>
        </w:rPr>
        <w:t>H</w:t>
      </w:r>
      <w:r>
        <w:rPr>
          <w:rFonts w:eastAsia="Arial"/>
        </w:rPr>
        <w:t>u</w:t>
      </w:r>
      <w:r>
        <w:rPr>
          <w:rFonts w:eastAsia="Arial"/>
          <w:spacing w:val="-1"/>
        </w:rPr>
        <w:t>l</w:t>
      </w:r>
      <w:r>
        <w:rPr>
          <w:rFonts w:eastAsia="Arial"/>
        </w:rPr>
        <w:t xml:space="preserve">l </w:t>
      </w:r>
      <w:r>
        <w:rPr>
          <w:rFonts w:eastAsia="Arial"/>
          <w:spacing w:val="-1"/>
        </w:rPr>
        <w:t>Ci</w:t>
      </w:r>
      <w:r>
        <w:rPr>
          <w:rFonts w:eastAsia="Arial"/>
          <w:spacing w:val="1"/>
        </w:rPr>
        <w:t>t</w:t>
      </w:r>
      <w:r>
        <w:rPr>
          <w:rFonts w:eastAsia="Arial"/>
        </w:rPr>
        <w:t>y</w:t>
      </w:r>
      <w:r>
        <w:rPr>
          <w:rFonts w:eastAsia="Arial"/>
          <w:spacing w:val="-1"/>
        </w:rPr>
        <w:t xml:space="preserve"> C</w:t>
      </w:r>
      <w:r>
        <w:rPr>
          <w:rFonts w:eastAsia="Arial"/>
        </w:rPr>
        <w:t>o</w:t>
      </w:r>
      <w:r>
        <w:rPr>
          <w:rFonts w:eastAsia="Arial"/>
          <w:spacing w:val="-1"/>
        </w:rPr>
        <w:t>u</w:t>
      </w:r>
      <w:r>
        <w:rPr>
          <w:rFonts w:eastAsia="Arial"/>
        </w:rPr>
        <w:t>nc</w:t>
      </w:r>
      <w:r>
        <w:rPr>
          <w:rFonts w:eastAsia="Arial"/>
          <w:spacing w:val="-1"/>
        </w:rPr>
        <w:t>il</w:t>
      </w:r>
      <w:r>
        <w:rPr>
          <w:rFonts w:eastAsia="Arial"/>
        </w:rPr>
        <w:t xml:space="preserve">. </w:t>
      </w:r>
      <w:r>
        <w:rPr>
          <w:rFonts w:eastAsia="Arial"/>
          <w:spacing w:val="5"/>
        </w:rPr>
        <w:t xml:space="preserve">The main health </w:t>
      </w:r>
      <w:r>
        <w:rPr>
          <w:rFonts w:eastAsia="Arial"/>
        </w:rPr>
        <w:t>pro</w:t>
      </w:r>
      <w:r>
        <w:rPr>
          <w:rFonts w:eastAsia="Arial"/>
          <w:spacing w:val="-2"/>
        </w:rPr>
        <w:t>v</w:t>
      </w:r>
      <w:r>
        <w:rPr>
          <w:rFonts w:eastAsia="Arial"/>
          <w:spacing w:val="-1"/>
        </w:rPr>
        <w:t>i</w:t>
      </w:r>
      <w:r>
        <w:rPr>
          <w:rFonts w:eastAsia="Arial"/>
        </w:rPr>
        <w:t>d</w:t>
      </w:r>
      <w:r>
        <w:rPr>
          <w:rFonts w:eastAsia="Arial"/>
          <w:spacing w:val="-1"/>
        </w:rPr>
        <w:t>e</w:t>
      </w:r>
      <w:r>
        <w:rPr>
          <w:rFonts w:eastAsia="Arial"/>
          <w:spacing w:val="1"/>
        </w:rPr>
        <w:t xml:space="preserve">r </w:t>
      </w:r>
      <w:r>
        <w:rPr>
          <w:rFonts w:eastAsia="Arial"/>
        </w:rPr>
        <w:t xml:space="preserve">organisations </w:t>
      </w:r>
      <w:r>
        <w:rPr>
          <w:rFonts w:eastAsia="Arial"/>
          <w:spacing w:val="-3"/>
        </w:rPr>
        <w:t>that we</w:t>
      </w:r>
      <w:r>
        <w:rPr>
          <w:rFonts w:eastAsia="Arial"/>
          <w:spacing w:val="3"/>
        </w:rPr>
        <w:t xml:space="preserve"> </w:t>
      </w:r>
      <w:r>
        <w:rPr>
          <w:rFonts w:eastAsia="Arial"/>
        </w:rPr>
        <w:t>h</w:t>
      </w:r>
      <w:r>
        <w:rPr>
          <w:rFonts w:eastAsia="Arial"/>
          <w:spacing w:val="-1"/>
        </w:rPr>
        <w:t>a</w:t>
      </w:r>
      <w:r>
        <w:rPr>
          <w:rFonts w:eastAsia="Arial"/>
          <w:spacing w:val="-2"/>
        </w:rPr>
        <w:t>v</w:t>
      </w:r>
      <w:r>
        <w:rPr>
          <w:rFonts w:eastAsia="Arial"/>
        </w:rPr>
        <w:t>e con</w:t>
      </w:r>
      <w:r>
        <w:rPr>
          <w:rFonts w:eastAsia="Arial"/>
          <w:spacing w:val="1"/>
        </w:rPr>
        <w:t>tr</w:t>
      </w:r>
      <w:r>
        <w:rPr>
          <w:rFonts w:eastAsia="Arial"/>
        </w:rPr>
        <w:t>a</w:t>
      </w:r>
      <w:r>
        <w:rPr>
          <w:rFonts w:eastAsia="Arial"/>
          <w:spacing w:val="-3"/>
        </w:rPr>
        <w:t>c</w:t>
      </w:r>
      <w:r>
        <w:rPr>
          <w:rFonts w:eastAsia="Arial"/>
          <w:spacing w:val="1"/>
        </w:rPr>
        <w:t>t</w:t>
      </w:r>
      <w:r>
        <w:rPr>
          <w:rFonts w:eastAsia="Arial"/>
        </w:rPr>
        <w:t>u</w:t>
      </w:r>
      <w:r>
        <w:rPr>
          <w:rFonts w:eastAsia="Arial"/>
          <w:spacing w:val="-1"/>
        </w:rPr>
        <w:t>a</w:t>
      </w:r>
      <w:r>
        <w:rPr>
          <w:rFonts w:eastAsia="Arial"/>
        </w:rPr>
        <w:t>l a</w:t>
      </w:r>
      <w:r>
        <w:rPr>
          <w:rFonts w:eastAsia="Arial"/>
          <w:spacing w:val="-2"/>
        </w:rPr>
        <w:t>r</w:t>
      </w:r>
      <w:r>
        <w:rPr>
          <w:rFonts w:eastAsia="Arial"/>
          <w:spacing w:val="1"/>
        </w:rPr>
        <w:t>r</w:t>
      </w:r>
      <w:r>
        <w:rPr>
          <w:rFonts w:eastAsia="Arial"/>
        </w:rPr>
        <w:t>a</w:t>
      </w:r>
      <w:r>
        <w:rPr>
          <w:rFonts w:eastAsia="Arial"/>
          <w:spacing w:val="-3"/>
        </w:rPr>
        <w:t>n</w:t>
      </w:r>
      <w:r>
        <w:rPr>
          <w:rFonts w:eastAsia="Arial"/>
          <w:spacing w:val="2"/>
        </w:rPr>
        <w:t>g</w:t>
      </w:r>
      <w:r>
        <w:rPr>
          <w:rFonts w:eastAsia="Arial"/>
          <w:spacing w:val="-3"/>
        </w:rPr>
        <w:t>e</w:t>
      </w:r>
      <w:r>
        <w:rPr>
          <w:rFonts w:eastAsia="Arial"/>
          <w:spacing w:val="1"/>
        </w:rPr>
        <w:t>m</w:t>
      </w:r>
      <w:r>
        <w:rPr>
          <w:rFonts w:eastAsia="Arial"/>
        </w:rPr>
        <w:t>e</w:t>
      </w:r>
      <w:r>
        <w:rPr>
          <w:rFonts w:eastAsia="Arial"/>
          <w:spacing w:val="-1"/>
        </w:rPr>
        <w:t>n</w:t>
      </w:r>
      <w:r>
        <w:rPr>
          <w:rFonts w:eastAsia="Arial"/>
          <w:spacing w:val="1"/>
        </w:rPr>
        <w:t>t</w:t>
      </w:r>
      <w:r>
        <w:rPr>
          <w:rFonts w:eastAsia="Arial"/>
        </w:rPr>
        <w:t>s</w:t>
      </w:r>
      <w:r>
        <w:rPr>
          <w:rFonts w:eastAsia="Arial"/>
          <w:spacing w:val="-4"/>
        </w:rPr>
        <w:t xml:space="preserve"> </w:t>
      </w:r>
      <w:r>
        <w:rPr>
          <w:rFonts w:eastAsia="Arial"/>
          <w:spacing w:val="3"/>
        </w:rPr>
        <w:t>f</w:t>
      </w:r>
      <w:r>
        <w:rPr>
          <w:rFonts w:eastAsia="Arial"/>
          <w:spacing w:val="-3"/>
        </w:rPr>
        <w:t>o</w:t>
      </w:r>
      <w:r>
        <w:rPr>
          <w:rFonts w:eastAsia="Arial"/>
        </w:rPr>
        <w:t>r ser</w:t>
      </w:r>
      <w:r>
        <w:rPr>
          <w:rFonts w:eastAsia="Arial"/>
          <w:spacing w:val="-2"/>
        </w:rPr>
        <w:t>v</w:t>
      </w:r>
      <w:r>
        <w:rPr>
          <w:rFonts w:eastAsia="Arial"/>
          <w:spacing w:val="-1"/>
        </w:rPr>
        <w:t>i</w:t>
      </w:r>
      <w:r>
        <w:rPr>
          <w:rFonts w:eastAsia="Arial"/>
        </w:rPr>
        <w:t>ces with</w:t>
      </w:r>
      <w:r>
        <w:rPr>
          <w:rFonts w:eastAsia="Arial"/>
          <w:spacing w:val="2"/>
        </w:rPr>
        <w:t xml:space="preserve"> </w:t>
      </w:r>
      <w:r>
        <w:rPr>
          <w:rFonts w:eastAsia="Arial"/>
          <w:spacing w:val="-1"/>
        </w:rPr>
        <w:t>are</w:t>
      </w:r>
      <w:r>
        <w:rPr>
          <w:rFonts w:eastAsia="Arial"/>
        </w:rPr>
        <w:t>:</w:t>
      </w:r>
    </w:p>
    <w:p w14:paraId="4D81A5E0" w14:textId="77777777" w:rsidR="0043637C" w:rsidRDefault="0043637C" w:rsidP="0062761B">
      <w:pPr>
        <w:numPr>
          <w:ilvl w:val="0"/>
          <w:numId w:val="40"/>
        </w:numPr>
        <w:spacing w:before="0" w:after="0"/>
        <w:contextualSpacing/>
        <w:rPr>
          <w:rFonts w:eastAsia="Arial"/>
        </w:rPr>
      </w:pPr>
      <w:r>
        <w:rPr>
          <w:rFonts w:eastAsia="Arial"/>
          <w:spacing w:val="-1"/>
        </w:rPr>
        <w:t>H</w:t>
      </w:r>
      <w:r>
        <w:rPr>
          <w:rFonts w:eastAsia="Arial"/>
        </w:rPr>
        <w:t>u</w:t>
      </w:r>
      <w:r>
        <w:rPr>
          <w:rFonts w:eastAsia="Arial"/>
          <w:spacing w:val="-1"/>
        </w:rPr>
        <w:t>l</w:t>
      </w:r>
      <w:r>
        <w:rPr>
          <w:rFonts w:eastAsia="Arial"/>
        </w:rPr>
        <w:t>l a</w:t>
      </w:r>
      <w:r>
        <w:rPr>
          <w:rFonts w:eastAsia="Arial"/>
          <w:spacing w:val="-1"/>
        </w:rPr>
        <w:t>n</w:t>
      </w:r>
      <w:r>
        <w:rPr>
          <w:rFonts w:eastAsia="Arial"/>
        </w:rPr>
        <w:t>d East</w:t>
      </w:r>
      <w:r>
        <w:rPr>
          <w:rFonts w:eastAsia="Arial"/>
          <w:spacing w:val="2"/>
        </w:rPr>
        <w:t xml:space="preserve"> </w:t>
      </w:r>
      <w:r>
        <w:rPr>
          <w:rFonts w:eastAsia="Arial"/>
          <w:spacing w:val="-1"/>
        </w:rPr>
        <w:t>Y</w:t>
      </w:r>
      <w:r>
        <w:rPr>
          <w:rFonts w:eastAsia="Arial"/>
          <w:spacing w:val="-3"/>
        </w:rPr>
        <w:t>o</w:t>
      </w:r>
      <w:r>
        <w:rPr>
          <w:rFonts w:eastAsia="Arial"/>
          <w:spacing w:val="-2"/>
        </w:rPr>
        <w:t>r</w:t>
      </w:r>
      <w:r>
        <w:rPr>
          <w:rFonts w:eastAsia="Arial"/>
          <w:spacing w:val="2"/>
        </w:rPr>
        <w:t>k</w:t>
      </w:r>
      <w:r>
        <w:rPr>
          <w:rFonts w:eastAsia="Arial"/>
        </w:rPr>
        <w:t>sh</w:t>
      </w:r>
      <w:r>
        <w:rPr>
          <w:rFonts w:eastAsia="Arial"/>
          <w:spacing w:val="-1"/>
        </w:rPr>
        <w:t>i</w:t>
      </w:r>
      <w:r>
        <w:rPr>
          <w:rFonts w:eastAsia="Arial"/>
          <w:spacing w:val="1"/>
        </w:rPr>
        <w:t>r</w:t>
      </w:r>
      <w:r>
        <w:rPr>
          <w:rFonts w:eastAsia="Arial"/>
        </w:rPr>
        <w:t>e</w:t>
      </w:r>
      <w:r>
        <w:rPr>
          <w:rFonts w:eastAsia="Arial"/>
          <w:spacing w:val="-3"/>
        </w:rPr>
        <w:t xml:space="preserve"> </w:t>
      </w:r>
      <w:r>
        <w:rPr>
          <w:rFonts w:eastAsia="Arial"/>
          <w:spacing w:val="-1"/>
        </w:rPr>
        <w:t>H</w:t>
      </w:r>
      <w:r>
        <w:rPr>
          <w:rFonts w:eastAsia="Arial"/>
        </w:rPr>
        <w:t>os</w:t>
      </w:r>
      <w:r>
        <w:rPr>
          <w:rFonts w:eastAsia="Arial"/>
          <w:spacing w:val="-1"/>
        </w:rPr>
        <w:t>pi</w:t>
      </w:r>
      <w:r>
        <w:rPr>
          <w:rFonts w:eastAsia="Arial"/>
          <w:spacing w:val="1"/>
        </w:rPr>
        <w:t>t</w:t>
      </w:r>
      <w:r>
        <w:rPr>
          <w:rFonts w:eastAsia="Arial"/>
        </w:rPr>
        <w:t>a</w:t>
      </w:r>
      <w:r>
        <w:rPr>
          <w:rFonts w:eastAsia="Arial"/>
          <w:spacing w:val="-1"/>
        </w:rPr>
        <w:t>l</w:t>
      </w:r>
      <w:r>
        <w:rPr>
          <w:rFonts w:eastAsia="Arial"/>
        </w:rPr>
        <w:t>s</w:t>
      </w:r>
      <w:r>
        <w:rPr>
          <w:rFonts w:eastAsia="Arial"/>
          <w:spacing w:val="1"/>
        </w:rPr>
        <w:t xml:space="preserve"> </w:t>
      </w:r>
      <w:r>
        <w:rPr>
          <w:rFonts w:eastAsia="Arial"/>
          <w:spacing w:val="-1"/>
        </w:rPr>
        <w:t>NH</w:t>
      </w:r>
      <w:r>
        <w:rPr>
          <w:rFonts w:eastAsia="Arial"/>
        </w:rPr>
        <w:t>S Tru</w:t>
      </w:r>
      <w:r>
        <w:rPr>
          <w:rFonts w:eastAsia="Arial"/>
          <w:spacing w:val="-2"/>
        </w:rPr>
        <w:t>s</w:t>
      </w:r>
      <w:r>
        <w:rPr>
          <w:rFonts w:eastAsia="Arial"/>
          <w:spacing w:val="2"/>
        </w:rPr>
        <w:t>t</w:t>
      </w:r>
      <w:r>
        <w:rPr>
          <w:rFonts w:eastAsia="Arial"/>
        </w:rPr>
        <w:t xml:space="preserve"> </w:t>
      </w:r>
    </w:p>
    <w:p w14:paraId="01C5735F" w14:textId="77777777" w:rsidR="0043637C" w:rsidRDefault="0043637C" w:rsidP="0062761B">
      <w:pPr>
        <w:numPr>
          <w:ilvl w:val="0"/>
          <w:numId w:val="40"/>
        </w:numPr>
        <w:spacing w:before="0" w:after="0"/>
        <w:contextualSpacing/>
        <w:rPr>
          <w:rFonts w:eastAsia="Arial"/>
        </w:rPr>
      </w:pPr>
      <w:r>
        <w:rPr>
          <w:rFonts w:eastAsia="Arial"/>
          <w:spacing w:val="-1"/>
        </w:rPr>
        <w:t>Ci</w:t>
      </w:r>
      <w:r>
        <w:rPr>
          <w:rFonts w:eastAsia="Arial"/>
          <w:spacing w:val="1"/>
        </w:rPr>
        <w:t>t</w:t>
      </w:r>
      <w:r>
        <w:rPr>
          <w:rFonts w:eastAsia="Arial"/>
        </w:rPr>
        <w:t>y</w:t>
      </w:r>
      <w:r>
        <w:rPr>
          <w:rFonts w:eastAsia="Arial"/>
          <w:spacing w:val="-1"/>
        </w:rPr>
        <w:t xml:space="preserve"> H</w:t>
      </w:r>
      <w:r>
        <w:rPr>
          <w:rFonts w:eastAsia="Arial"/>
        </w:rPr>
        <w:t>e</w:t>
      </w:r>
      <w:r>
        <w:rPr>
          <w:rFonts w:eastAsia="Arial"/>
          <w:spacing w:val="-1"/>
        </w:rPr>
        <w:t>al</w:t>
      </w:r>
      <w:r>
        <w:rPr>
          <w:rFonts w:eastAsia="Arial"/>
          <w:spacing w:val="1"/>
        </w:rPr>
        <w:t>t</w:t>
      </w:r>
      <w:r>
        <w:rPr>
          <w:rFonts w:eastAsia="Arial"/>
        </w:rPr>
        <w:t>h</w:t>
      </w:r>
      <w:r>
        <w:rPr>
          <w:rFonts w:eastAsia="Arial"/>
          <w:spacing w:val="2"/>
        </w:rPr>
        <w:t xml:space="preserve"> </w:t>
      </w:r>
      <w:r>
        <w:rPr>
          <w:rFonts w:eastAsia="Arial"/>
          <w:spacing w:val="-1"/>
        </w:rPr>
        <w:t>C</w:t>
      </w:r>
      <w:r>
        <w:rPr>
          <w:rFonts w:eastAsia="Arial"/>
        </w:rPr>
        <w:t>are</w:t>
      </w:r>
      <w:r>
        <w:rPr>
          <w:rFonts w:eastAsia="Arial"/>
          <w:spacing w:val="1"/>
        </w:rPr>
        <w:t xml:space="preserve"> </w:t>
      </w:r>
      <w:r>
        <w:rPr>
          <w:rFonts w:eastAsia="Arial"/>
          <w:spacing w:val="-1"/>
        </w:rPr>
        <w:t>P</w:t>
      </w:r>
      <w:r>
        <w:rPr>
          <w:rFonts w:eastAsia="Arial"/>
        </w:rPr>
        <w:t>a</w:t>
      </w:r>
      <w:r>
        <w:rPr>
          <w:rFonts w:eastAsia="Arial"/>
          <w:spacing w:val="-2"/>
        </w:rPr>
        <w:t>r</w:t>
      </w:r>
      <w:r>
        <w:rPr>
          <w:rFonts w:eastAsia="Arial"/>
          <w:spacing w:val="1"/>
        </w:rPr>
        <w:t>t</w:t>
      </w:r>
      <w:r>
        <w:rPr>
          <w:rFonts w:eastAsia="Arial"/>
        </w:rPr>
        <w:t>n</w:t>
      </w:r>
      <w:r>
        <w:rPr>
          <w:rFonts w:eastAsia="Arial"/>
          <w:spacing w:val="-1"/>
        </w:rPr>
        <w:t>e</w:t>
      </w:r>
      <w:r>
        <w:rPr>
          <w:rFonts w:eastAsia="Arial"/>
          <w:spacing w:val="-2"/>
        </w:rPr>
        <w:t>r</w:t>
      </w:r>
      <w:r>
        <w:rPr>
          <w:rFonts w:eastAsia="Arial"/>
        </w:rPr>
        <w:t>sh</w:t>
      </w:r>
      <w:r>
        <w:rPr>
          <w:rFonts w:eastAsia="Arial"/>
          <w:spacing w:val="-1"/>
        </w:rPr>
        <w:t>i</w:t>
      </w:r>
      <w:r>
        <w:rPr>
          <w:rFonts w:eastAsia="Arial"/>
        </w:rPr>
        <w:t>p C</w:t>
      </w:r>
      <w:r>
        <w:rPr>
          <w:rFonts w:eastAsia="Arial"/>
          <w:spacing w:val="-1"/>
        </w:rPr>
        <w:t>o</w:t>
      </w:r>
      <w:r>
        <w:rPr>
          <w:rFonts w:eastAsia="Arial"/>
          <w:spacing w:val="1"/>
        </w:rPr>
        <w:t>mm</w:t>
      </w:r>
      <w:r>
        <w:rPr>
          <w:rFonts w:eastAsia="Arial"/>
        </w:rPr>
        <w:t>u</w:t>
      </w:r>
      <w:r>
        <w:rPr>
          <w:rFonts w:eastAsia="Arial"/>
          <w:spacing w:val="-1"/>
        </w:rPr>
        <w:t>n</w:t>
      </w:r>
      <w:r>
        <w:rPr>
          <w:rFonts w:eastAsia="Arial"/>
          <w:spacing w:val="-3"/>
        </w:rPr>
        <w:t>i</w:t>
      </w:r>
      <w:r>
        <w:rPr>
          <w:rFonts w:eastAsia="Arial"/>
          <w:spacing w:val="1"/>
        </w:rPr>
        <w:t>t</w:t>
      </w:r>
      <w:r>
        <w:rPr>
          <w:rFonts w:eastAsia="Arial"/>
        </w:rPr>
        <w:t>y</w:t>
      </w:r>
      <w:r>
        <w:rPr>
          <w:rFonts w:eastAsia="Arial"/>
          <w:spacing w:val="-1"/>
        </w:rPr>
        <w:t xml:space="preserve"> </w:t>
      </w:r>
      <w:r>
        <w:rPr>
          <w:rFonts w:eastAsia="Arial"/>
          <w:spacing w:val="1"/>
        </w:rPr>
        <w:t>I</w:t>
      </w:r>
      <w:r>
        <w:rPr>
          <w:rFonts w:eastAsia="Arial"/>
        </w:rPr>
        <w:t>nt</w:t>
      </w:r>
      <w:r>
        <w:rPr>
          <w:rFonts w:eastAsia="Arial"/>
          <w:spacing w:val="-2"/>
        </w:rPr>
        <w:t>e</w:t>
      </w:r>
      <w:r>
        <w:rPr>
          <w:rFonts w:eastAsia="Arial"/>
          <w:spacing w:val="1"/>
        </w:rPr>
        <w:t>r</w:t>
      </w:r>
      <w:r>
        <w:rPr>
          <w:rFonts w:eastAsia="Arial"/>
        </w:rPr>
        <w:t>e</w:t>
      </w:r>
      <w:r>
        <w:rPr>
          <w:rFonts w:eastAsia="Arial"/>
          <w:spacing w:val="-3"/>
        </w:rPr>
        <w:t>s</w:t>
      </w:r>
      <w:r>
        <w:rPr>
          <w:rFonts w:eastAsia="Arial"/>
        </w:rPr>
        <w:t xml:space="preserve">t </w:t>
      </w:r>
      <w:r>
        <w:rPr>
          <w:rFonts w:eastAsia="Arial"/>
          <w:spacing w:val="-1"/>
        </w:rPr>
        <w:t>C</w:t>
      </w:r>
      <w:r>
        <w:rPr>
          <w:rFonts w:eastAsia="Arial"/>
        </w:rPr>
        <w:t>ompany</w:t>
      </w:r>
    </w:p>
    <w:p w14:paraId="0EE7B3B2" w14:textId="77777777" w:rsidR="0043637C" w:rsidRDefault="0043637C" w:rsidP="0062761B">
      <w:pPr>
        <w:numPr>
          <w:ilvl w:val="0"/>
          <w:numId w:val="40"/>
        </w:numPr>
        <w:spacing w:before="0" w:after="0"/>
        <w:contextualSpacing/>
        <w:rPr>
          <w:rFonts w:eastAsia="Arial"/>
        </w:rPr>
      </w:pPr>
      <w:r>
        <w:rPr>
          <w:rFonts w:eastAsia="Arial"/>
          <w:spacing w:val="-1"/>
        </w:rPr>
        <w:t>Y</w:t>
      </w:r>
      <w:r>
        <w:rPr>
          <w:rFonts w:eastAsia="Arial"/>
        </w:rPr>
        <w:t>o</w:t>
      </w:r>
      <w:r>
        <w:rPr>
          <w:rFonts w:eastAsia="Arial"/>
          <w:spacing w:val="-2"/>
        </w:rPr>
        <w:t>r</w:t>
      </w:r>
      <w:r>
        <w:rPr>
          <w:rFonts w:eastAsia="Arial"/>
          <w:spacing w:val="2"/>
        </w:rPr>
        <w:t>k</w:t>
      </w:r>
      <w:r>
        <w:rPr>
          <w:rFonts w:eastAsia="Arial"/>
        </w:rPr>
        <w:t>sh</w:t>
      </w:r>
      <w:r>
        <w:rPr>
          <w:rFonts w:eastAsia="Arial"/>
          <w:spacing w:val="-1"/>
        </w:rPr>
        <w:t>i</w:t>
      </w:r>
      <w:r>
        <w:rPr>
          <w:rFonts w:eastAsia="Arial"/>
          <w:spacing w:val="1"/>
        </w:rPr>
        <w:t>r</w:t>
      </w:r>
      <w:r>
        <w:rPr>
          <w:rFonts w:eastAsia="Arial"/>
        </w:rPr>
        <w:t xml:space="preserve">e </w:t>
      </w:r>
      <w:r>
        <w:rPr>
          <w:rFonts w:eastAsia="Arial"/>
          <w:spacing w:val="-3"/>
        </w:rPr>
        <w:t>A</w:t>
      </w:r>
      <w:r>
        <w:rPr>
          <w:rFonts w:eastAsia="Arial"/>
          <w:spacing w:val="1"/>
        </w:rPr>
        <w:t>m</w:t>
      </w:r>
      <w:r>
        <w:rPr>
          <w:rFonts w:eastAsia="Arial"/>
        </w:rPr>
        <w:t>b</w:t>
      </w:r>
      <w:r>
        <w:rPr>
          <w:rFonts w:eastAsia="Arial"/>
          <w:spacing w:val="-1"/>
        </w:rPr>
        <w:t>ul</w:t>
      </w:r>
      <w:r>
        <w:rPr>
          <w:rFonts w:eastAsia="Arial"/>
        </w:rPr>
        <w:t>a</w:t>
      </w:r>
      <w:r>
        <w:rPr>
          <w:rFonts w:eastAsia="Arial"/>
          <w:spacing w:val="-1"/>
        </w:rPr>
        <w:t>n</w:t>
      </w:r>
      <w:r>
        <w:rPr>
          <w:rFonts w:eastAsia="Arial"/>
        </w:rPr>
        <w:t>ce S</w:t>
      </w:r>
      <w:r>
        <w:rPr>
          <w:rFonts w:eastAsia="Arial"/>
          <w:spacing w:val="-3"/>
        </w:rPr>
        <w:t>e</w:t>
      </w:r>
      <w:r>
        <w:rPr>
          <w:rFonts w:eastAsia="Arial"/>
          <w:spacing w:val="1"/>
        </w:rPr>
        <w:t>r</w:t>
      </w:r>
      <w:r>
        <w:rPr>
          <w:rFonts w:eastAsia="Arial"/>
          <w:spacing w:val="-2"/>
        </w:rPr>
        <w:t>v</w:t>
      </w:r>
      <w:r>
        <w:rPr>
          <w:rFonts w:eastAsia="Arial"/>
          <w:spacing w:val="-1"/>
        </w:rPr>
        <w:t>i</w:t>
      </w:r>
      <w:r>
        <w:rPr>
          <w:rFonts w:eastAsia="Arial"/>
        </w:rPr>
        <w:t>ce N</w:t>
      </w:r>
      <w:r>
        <w:rPr>
          <w:rFonts w:eastAsia="Arial"/>
          <w:spacing w:val="-1"/>
        </w:rPr>
        <w:t>H</w:t>
      </w:r>
      <w:r>
        <w:rPr>
          <w:rFonts w:eastAsia="Arial"/>
        </w:rPr>
        <w:t xml:space="preserve">S </w:t>
      </w:r>
      <w:r>
        <w:rPr>
          <w:rFonts w:eastAsia="Arial"/>
          <w:spacing w:val="2"/>
        </w:rPr>
        <w:t>T</w:t>
      </w:r>
      <w:r>
        <w:rPr>
          <w:rFonts w:eastAsia="Arial"/>
          <w:spacing w:val="1"/>
        </w:rPr>
        <w:t>r</w:t>
      </w:r>
      <w:r>
        <w:rPr>
          <w:rFonts w:eastAsia="Arial"/>
          <w:spacing w:val="-3"/>
        </w:rPr>
        <w:t>u</w:t>
      </w:r>
      <w:r>
        <w:rPr>
          <w:rFonts w:eastAsia="Arial"/>
        </w:rPr>
        <w:t>s</w:t>
      </w:r>
      <w:r>
        <w:rPr>
          <w:rFonts w:eastAsia="Arial"/>
          <w:spacing w:val="1"/>
        </w:rPr>
        <w:t>t</w:t>
      </w:r>
      <w:r>
        <w:rPr>
          <w:rFonts w:eastAsia="Arial"/>
        </w:rPr>
        <w:t>;</w:t>
      </w:r>
    </w:p>
    <w:p w14:paraId="1F84E656" w14:textId="06596F69" w:rsidR="0043637C" w:rsidRDefault="0043637C" w:rsidP="0062761B">
      <w:pPr>
        <w:numPr>
          <w:ilvl w:val="0"/>
          <w:numId w:val="40"/>
        </w:numPr>
        <w:spacing w:before="0" w:after="0"/>
        <w:contextualSpacing/>
        <w:rPr>
          <w:rFonts w:eastAsia="Arial"/>
        </w:rPr>
      </w:pPr>
      <w:r>
        <w:rPr>
          <w:rFonts w:eastAsia="Arial"/>
          <w:spacing w:val="-1"/>
        </w:rPr>
        <w:t>H</w:t>
      </w:r>
      <w:r>
        <w:rPr>
          <w:rFonts w:eastAsia="Arial"/>
        </w:rPr>
        <w:t>umber</w:t>
      </w:r>
      <w:r>
        <w:rPr>
          <w:rFonts w:eastAsia="Arial"/>
          <w:spacing w:val="2"/>
        </w:rPr>
        <w:t xml:space="preserve"> Teaching </w:t>
      </w:r>
      <w:r>
        <w:rPr>
          <w:rFonts w:eastAsia="Arial"/>
          <w:spacing w:val="-1"/>
        </w:rPr>
        <w:t>NH</w:t>
      </w:r>
      <w:r>
        <w:rPr>
          <w:rFonts w:eastAsia="Arial"/>
        </w:rPr>
        <w:t>S F</w:t>
      </w:r>
      <w:r>
        <w:rPr>
          <w:rFonts w:eastAsia="Arial"/>
          <w:spacing w:val="-1"/>
        </w:rPr>
        <w:t>o</w:t>
      </w:r>
      <w:r>
        <w:rPr>
          <w:rFonts w:eastAsia="Arial"/>
          <w:spacing w:val="-3"/>
        </w:rPr>
        <w:t>u</w:t>
      </w:r>
      <w:r>
        <w:rPr>
          <w:rFonts w:eastAsia="Arial"/>
        </w:rPr>
        <w:t>n</w:t>
      </w:r>
      <w:r>
        <w:rPr>
          <w:rFonts w:eastAsia="Arial"/>
          <w:spacing w:val="-1"/>
        </w:rPr>
        <w:t>d</w:t>
      </w:r>
      <w:r>
        <w:rPr>
          <w:rFonts w:eastAsia="Arial"/>
        </w:rPr>
        <w:t>ati</w:t>
      </w:r>
      <w:r>
        <w:rPr>
          <w:rFonts w:eastAsia="Arial"/>
          <w:spacing w:val="-3"/>
        </w:rPr>
        <w:t>o</w:t>
      </w:r>
      <w:r>
        <w:rPr>
          <w:rFonts w:eastAsia="Arial"/>
        </w:rPr>
        <w:t>n</w:t>
      </w:r>
      <w:r>
        <w:rPr>
          <w:rFonts w:eastAsia="Arial"/>
          <w:spacing w:val="-2"/>
        </w:rPr>
        <w:t xml:space="preserve"> </w:t>
      </w:r>
      <w:r>
        <w:rPr>
          <w:rFonts w:eastAsia="Arial"/>
          <w:spacing w:val="2"/>
        </w:rPr>
        <w:t>T</w:t>
      </w:r>
      <w:r>
        <w:rPr>
          <w:rFonts w:eastAsia="Arial"/>
          <w:spacing w:val="1"/>
        </w:rPr>
        <w:t>r</w:t>
      </w:r>
      <w:r>
        <w:rPr>
          <w:rFonts w:eastAsia="Arial"/>
        </w:rPr>
        <w:t>u</w:t>
      </w:r>
      <w:r>
        <w:rPr>
          <w:rFonts w:eastAsia="Arial"/>
          <w:spacing w:val="-3"/>
        </w:rPr>
        <w:t>s</w:t>
      </w:r>
      <w:r>
        <w:rPr>
          <w:rFonts w:eastAsia="Arial"/>
          <w:spacing w:val="3"/>
        </w:rPr>
        <w:t>t</w:t>
      </w:r>
    </w:p>
    <w:p w14:paraId="488525EB" w14:textId="77777777" w:rsidR="0043637C" w:rsidRPr="0043637C" w:rsidRDefault="0043637C" w:rsidP="0043637C">
      <w:pPr>
        <w:rPr>
          <w:rFonts w:eastAsia="Arial"/>
          <w:spacing w:val="3"/>
        </w:rPr>
      </w:pPr>
      <w:r>
        <w:rPr>
          <w:rFonts w:eastAsia="Arial"/>
          <w:spacing w:val="5"/>
        </w:rPr>
        <w:t>W</w:t>
      </w:r>
      <w:r>
        <w:rPr>
          <w:rFonts w:eastAsia="Arial"/>
        </w:rPr>
        <w:t>e</w:t>
      </w:r>
      <w:r>
        <w:rPr>
          <w:rFonts w:eastAsia="Arial"/>
          <w:spacing w:val="-4"/>
        </w:rPr>
        <w:t xml:space="preserve"> </w:t>
      </w:r>
      <w:r>
        <w:rPr>
          <w:rFonts w:eastAsia="Arial"/>
        </w:rPr>
        <w:t>a</w:t>
      </w:r>
      <w:r>
        <w:rPr>
          <w:rFonts w:eastAsia="Arial"/>
          <w:spacing w:val="-1"/>
        </w:rPr>
        <w:t>l</w:t>
      </w:r>
      <w:r>
        <w:rPr>
          <w:rFonts w:eastAsia="Arial"/>
        </w:rPr>
        <w:t>so</w:t>
      </w:r>
      <w:r>
        <w:rPr>
          <w:rFonts w:eastAsia="Arial"/>
          <w:spacing w:val="1"/>
        </w:rPr>
        <w:t xml:space="preserve"> </w:t>
      </w:r>
      <w:r>
        <w:rPr>
          <w:rFonts w:eastAsia="Arial"/>
          <w:spacing w:val="-3"/>
        </w:rPr>
        <w:t>w</w:t>
      </w:r>
      <w:r>
        <w:rPr>
          <w:rFonts w:eastAsia="Arial"/>
        </w:rPr>
        <w:t>o</w:t>
      </w:r>
      <w:r>
        <w:rPr>
          <w:rFonts w:eastAsia="Arial"/>
          <w:spacing w:val="-2"/>
        </w:rPr>
        <w:t>r</w:t>
      </w:r>
      <w:r>
        <w:rPr>
          <w:rFonts w:eastAsia="Arial"/>
        </w:rPr>
        <w:t>k</w:t>
      </w:r>
      <w:r>
        <w:rPr>
          <w:rFonts w:eastAsia="Arial"/>
          <w:spacing w:val="3"/>
        </w:rPr>
        <w:t xml:space="preserve"> </w:t>
      </w:r>
      <w:r>
        <w:rPr>
          <w:rFonts w:eastAsia="Arial"/>
          <w:spacing w:val="-3"/>
        </w:rPr>
        <w:t>w</w:t>
      </w:r>
      <w:r>
        <w:rPr>
          <w:rFonts w:eastAsia="Arial"/>
          <w:spacing w:val="-1"/>
        </w:rPr>
        <w:t>i</w:t>
      </w:r>
      <w:r>
        <w:rPr>
          <w:rFonts w:eastAsia="Arial"/>
          <w:spacing w:val="1"/>
        </w:rPr>
        <w:t>t</w:t>
      </w:r>
      <w:r>
        <w:rPr>
          <w:rFonts w:eastAsia="Arial"/>
        </w:rPr>
        <w:t>h H</w:t>
      </w:r>
      <w:r>
        <w:rPr>
          <w:rFonts w:eastAsia="Arial"/>
          <w:spacing w:val="-1"/>
        </w:rPr>
        <w:t>e</w:t>
      </w:r>
      <w:r>
        <w:rPr>
          <w:rFonts w:eastAsia="Arial"/>
        </w:rPr>
        <w:t>a</w:t>
      </w:r>
      <w:r>
        <w:rPr>
          <w:rFonts w:eastAsia="Arial"/>
          <w:spacing w:val="-1"/>
        </w:rPr>
        <w:t>lt</w:t>
      </w:r>
      <w:r>
        <w:rPr>
          <w:rFonts w:eastAsia="Arial"/>
        </w:rPr>
        <w:t>h</w:t>
      </w:r>
      <w:r>
        <w:rPr>
          <w:rFonts w:eastAsia="Arial"/>
          <w:spacing w:val="-4"/>
        </w:rPr>
        <w:t>w</w:t>
      </w:r>
      <w:r>
        <w:rPr>
          <w:rFonts w:eastAsia="Arial"/>
        </w:rPr>
        <w:t>atch</w:t>
      </w:r>
      <w:r>
        <w:rPr>
          <w:rFonts w:eastAsia="Arial"/>
          <w:spacing w:val="1"/>
        </w:rPr>
        <w:t xml:space="preserve"> </w:t>
      </w:r>
      <w:r>
        <w:rPr>
          <w:rFonts w:eastAsia="Arial"/>
          <w:spacing w:val="-1"/>
        </w:rPr>
        <w:t>H</w:t>
      </w:r>
      <w:r>
        <w:rPr>
          <w:rFonts w:eastAsia="Arial"/>
        </w:rPr>
        <w:t>u</w:t>
      </w:r>
      <w:r>
        <w:rPr>
          <w:rFonts w:eastAsia="Arial"/>
          <w:spacing w:val="-1"/>
        </w:rPr>
        <w:t>ll</w:t>
      </w:r>
      <w:r>
        <w:rPr>
          <w:rFonts w:eastAsia="Arial"/>
        </w:rPr>
        <w:t>,</w:t>
      </w:r>
      <w:r>
        <w:rPr>
          <w:rFonts w:eastAsia="Arial"/>
          <w:spacing w:val="2"/>
        </w:rPr>
        <w:t xml:space="preserve"> </w:t>
      </w:r>
      <w:r>
        <w:rPr>
          <w:rFonts w:eastAsia="Arial"/>
          <w:spacing w:val="1"/>
        </w:rPr>
        <w:t>t</w:t>
      </w:r>
      <w:r>
        <w:rPr>
          <w:rFonts w:eastAsia="Arial"/>
        </w:rPr>
        <w:t xml:space="preserve">he </w:t>
      </w:r>
      <w:r>
        <w:rPr>
          <w:rFonts w:eastAsia="Arial"/>
          <w:spacing w:val="-1"/>
        </w:rPr>
        <w:t>i</w:t>
      </w:r>
      <w:r>
        <w:rPr>
          <w:rFonts w:eastAsia="Arial"/>
        </w:rPr>
        <w:t>n</w:t>
      </w:r>
      <w:r>
        <w:rPr>
          <w:rFonts w:eastAsia="Arial"/>
          <w:spacing w:val="-1"/>
        </w:rPr>
        <w:t>d</w:t>
      </w:r>
      <w:r>
        <w:rPr>
          <w:rFonts w:eastAsia="Arial"/>
        </w:rPr>
        <w:t>e</w:t>
      </w:r>
      <w:r>
        <w:rPr>
          <w:rFonts w:eastAsia="Arial"/>
          <w:spacing w:val="-1"/>
        </w:rPr>
        <w:t>p</w:t>
      </w:r>
      <w:r>
        <w:rPr>
          <w:rFonts w:eastAsia="Arial"/>
        </w:rPr>
        <w:t>e</w:t>
      </w:r>
      <w:r>
        <w:rPr>
          <w:rFonts w:eastAsia="Arial"/>
          <w:spacing w:val="-3"/>
        </w:rPr>
        <w:t>n</w:t>
      </w:r>
      <w:r>
        <w:rPr>
          <w:rFonts w:eastAsia="Arial"/>
        </w:rPr>
        <w:t>d</w:t>
      </w:r>
      <w:r>
        <w:rPr>
          <w:rFonts w:eastAsia="Arial"/>
          <w:spacing w:val="-1"/>
        </w:rPr>
        <w:t>e</w:t>
      </w:r>
      <w:r>
        <w:rPr>
          <w:rFonts w:eastAsia="Arial"/>
        </w:rPr>
        <w:t>nt</w:t>
      </w:r>
      <w:r>
        <w:rPr>
          <w:rFonts w:eastAsia="Arial"/>
          <w:spacing w:val="2"/>
        </w:rPr>
        <w:t xml:space="preserve"> </w:t>
      </w:r>
      <w:r>
        <w:rPr>
          <w:rFonts w:eastAsia="Arial"/>
        </w:rPr>
        <w:t>ch</w:t>
      </w:r>
      <w:r>
        <w:rPr>
          <w:rFonts w:eastAsia="Arial"/>
          <w:spacing w:val="-3"/>
        </w:rPr>
        <w:t>a</w:t>
      </w:r>
      <w:r>
        <w:rPr>
          <w:rFonts w:eastAsia="Arial"/>
          <w:spacing w:val="1"/>
        </w:rPr>
        <w:t>m</w:t>
      </w:r>
      <w:r>
        <w:rPr>
          <w:rFonts w:eastAsia="Arial"/>
        </w:rPr>
        <w:t>p</w:t>
      </w:r>
      <w:r>
        <w:rPr>
          <w:rFonts w:eastAsia="Arial"/>
          <w:spacing w:val="-1"/>
        </w:rPr>
        <w:t>i</w:t>
      </w:r>
      <w:r>
        <w:rPr>
          <w:rFonts w:eastAsia="Arial"/>
        </w:rPr>
        <w:t>on</w:t>
      </w:r>
      <w:r>
        <w:rPr>
          <w:rFonts w:eastAsia="Arial"/>
          <w:spacing w:val="-2"/>
        </w:rPr>
        <w:t xml:space="preserve"> </w:t>
      </w:r>
      <w:r>
        <w:rPr>
          <w:rFonts w:eastAsia="Arial"/>
          <w:spacing w:val="1"/>
        </w:rPr>
        <w:t>f</w:t>
      </w:r>
      <w:r>
        <w:rPr>
          <w:rFonts w:eastAsia="Arial"/>
        </w:rPr>
        <w:t>or</w:t>
      </w:r>
      <w:r>
        <w:rPr>
          <w:rFonts w:eastAsia="Arial"/>
          <w:spacing w:val="-1"/>
        </w:rPr>
        <w:t xml:space="preserve"> l</w:t>
      </w:r>
      <w:r>
        <w:rPr>
          <w:rFonts w:eastAsia="Arial"/>
        </w:rPr>
        <w:t>oc</w:t>
      </w:r>
      <w:r>
        <w:rPr>
          <w:rFonts w:eastAsia="Arial"/>
          <w:spacing w:val="-1"/>
        </w:rPr>
        <w:t>a</w:t>
      </w:r>
      <w:r>
        <w:rPr>
          <w:rFonts w:eastAsia="Arial"/>
        </w:rPr>
        <w:t>l</w:t>
      </w:r>
      <w:r>
        <w:rPr>
          <w:rFonts w:eastAsia="Arial"/>
          <w:spacing w:val="-2"/>
        </w:rPr>
        <w:t xml:space="preserve"> </w:t>
      </w:r>
      <w:r>
        <w:rPr>
          <w:rFonts w:eastAsia="Arial"/>
        </w:rPr>
        <w:t>p</w:t>
      </w:r>
      <w:r>
        <w:rPr>
          <w:rFonts w:eastAsia="Arial"/>
          <w:spacing w:val="-1"/>
        </w:rPr>
        <w:t>e</w:t>
      </w:r>
      <w:r>
        <w:rPr>
          <w:rFonts w:eastAsia="Arial"/>
        </w:rPr>
        <w:t>o</w:t>
      </w:r>
      <w:r>
        <w:rPr>
          <w:rFonts w:eastAsia="Arial"/>
          <w:spacing w:val="-1"/>
        </w:rPr>
        <w:t>pl</w:t>
      </w:r>
      <w:r>
        <w:rPr>
          <w:rFonts w:eastAsia="Arial"/>
        </w:rPr>
        <w:t xml:space="preserve">e </w:t>
      </w:r>
      <w:r>
        <w:rPr>
          <w:rFonts w:eastAsia="Arial"/>
          <w:spacing w:val="-3"/>
        </w:rPr>
        <w:t>w</w:t>
      </w:r>
      <w:r>
        <w:rPr>
          <w:rFonts w:eastAsia="Arial"/>
        </w:rPr>
        <w:t>ho use h</w:t>
      </w:r>
      <w:r>
        <w:rPr>
          <w:rFonts w:eastAsia="Arial"/>
          <w:spacing w:val="-1"/>
        </w:rPr>
        <w:t>e</w:t>
      </w:r>
      <w:r>
        <w:rPr>
          <w:rFonts w:eastAsia="Arial"/>
        </w:rPr>
        <w:t>a</w:t>
      </w:r>
      <w:r>
        <w:rPr>
          <w:rFonts w:eastAsia="Arial"/>
          <w:spacing w:val="-1"/>
        </w:rPr>
        <w:t>l</w:t>
      </w:r>
      <w:r>
        <w:rPr>
          <w:rFonts w:eastAsia="Arial"/>
          <w:spacing w:val="1"/>
        </w:rPr>
        <w:t>t</w:t>
      </w:r>
      <w:r>
        <w:rPr>
          <w:rFonts w:eastAsia="Arial"/>
        </w:rPr>
        <w:t xml:space="preserve">h and </w:t>
      </w:r>
      <w:r>
        <w:rPr>
          <w:rFonts w:eastAsia="Arial"/>
          <w:spacing w:val="-2"/>
        </w:rPr>
        <w:t>s</w:t>
      </w:r>
      <w:r>
        <w:rPr>
          <w:rFonts w:eastAsia="Arial"/>
        </w:rPr>
        <w:t>oc</w:t>
      </w:r>
      <w:r>
        <w:rPr>
          <w:rFonts w:eastAsia="Arial"/>
          <w:spacing w:val="-1"/>
        </w:rPr>
        <w:t>i</w:t>
      </w:r>
      <w:r>
        <w:rPr>
          <w:rFonts w:eastAsia="Arial"/>
        </w:rPr>
        <w:t>al care</w:t>
      </w:r>
      <w:r>
        <w:rPr>
          <w:rFonts w:eastAsia="Arial"/>
          <w:spacing w:val="-1"/>
        </w:rPr>
        <w:t xml:space="preserve"> </w:t>
      </w:r>
      <w:r w:rsidRPr="0043637C">
        <w:rPr>
          <w:rFonts w:eastAsia="Arial"/>
        </w:rPr>
        <w:t>s</w:t>
      </w:r>
      <w:r w:rsidRPr="0043637C">
        <w:rPr>
          <w:rFonts w:eastAsia="Arial"/>
          <w:spacing w:val="-3"/>
        </w:rPr>
        <w:t>e</w:t>
      </w:r>
      <w:r w:rsidRPr="0043637C">
        <w:rPr>
          <w:rFonts w:eastAsia="Arial"/>
          <w:spacing w:val="1"/>
        </w:rPr>
        <w:t>r</w:t>
      </w:r>
      <w:r w:rsidRPr="0043637C">
        <w:rPr>
          <w:rFonts w:eastAsia="Arial"/>
          <w:spacing w:val="-2"/>
        </w:rPr>
        <w:t>v</w:t>
      </w:r>
      <w:r w:rsidRPr="0043637C">
        <w:rPr>
          <w:rFonts w:eastAsia="Arial"/>
          <w:spacing w:val="-1"/>
        </w:rPr>
        <w:t>i</w:t>
      </w:r>
      <w:r w:rsidRPr="0043637C">
        <w:rPr>
          <w:rFonts w:eastAsia="Arial"/>
        </w:rPr>
        <w:t>ces.</w:t>
      </w:r>
      <w:r w:rsidRPr="0043637C">
        <w:rPr>
          <w:rFonts w:eastAsia="Arial"/>
          <w:spacing w:val="3"/>
        </w:rPr>
        <w:t xml:space="preserve"> </w:t>
      </w:r>
    </w:p>
    <w:p w14:paraId="370C7672" w14:textId="4056545D" w:rsidR="0043637C" w:rsidRDefault="0043637C" w:rsidP="0043637C">
      <w:pPr>
        <w:rPr>
          <w:rFonts w:eastAsia="Arial"/>
          <w:spacing w:val="5"/>
        </w:rPr>
      </w:pPr>
      <w:r>
        <w:rPr>
          <w:rFonts w:eastAsia="Arial"/>
          <w:spacing w:val="5"/>
        </w:rPr>
        <w:t>In 2021-22 NHS Hull CCG hosted several national allocations on behalf of Humber Coast and Vale Integrated Care System (HVC). These included COVID funding, top-up funding for provider organisations and other System Development Funds (SDF). The contract with Spire Hull and East Riding Hospital was reinstated for 2021-22 after being commissioned by NHS England and Improvement during the previous year. Payments to NHS organisation outside of HCV continued to be suspended. Because of these changes there are some quite significant differences between the 2020-21 and the 2021-22 accounts.</w:t>
      </w:r>
    </w:p>
    <w:p w14:paraId="7428D797" w14:textId="55FAFF38" w:rsidR="0043637C" w:rsidRDefault="0043637C" w:rsidP="0043637C">
      <w:pPr>
        <w:rPr>
          <w:rFonts w:eastAsia="Arial" w:cs="Arial"/>
          <w:color w:val="0000FF"/>
          <w:u w:val="single"/>
        </w:rPr>
      </w:pPr>
      <w:r>
        <w:rPr>
          <w:rFonts w:eastAsia="Arial"/>
          <w:spacing w:val="5"/>
        </w:rPr>
        <w:t>The CCG</w:t>
      </w:r>
      <w:r>
        <w:rPr>
          <w:rFonts w:eastAsia="Arial"/>
          <w:spacing w:val="-4"/>
        </w:rPr>
        <w:t xml:space="preserve"> </w:t>
      </w:r>
      <w:r>
        <w:rPr>
          <w:rFonts w:eastAsia="Arial"/>
        </w:rPr>
        <w:t>h</w:t>
      </w:r>
      <w:r>
        <w:rPr>
          <w:rFonts w:eastAsia="Arial"/>
          <w:spacing w:val="-1"/>
        </w:rPr>
        <w:t>ol</w:t>
      </w:r>
      <w:r>
        <w:rPr>
          <w:rFonts w:eastAsia="Arial"/>
        </w:rPr>
        <w:t>ds five</w:t>
      </w:r>
      <w:r>
        <w:rPr>
          <w:rFonts w:eastAsia="Arial"/>
          <w:spacing w:val="-2"/>
        </w:rPr>
        <w:t xml:space="preserve"> </w:t>
      </w:r>
      <w:r>
        <w:rPr>
          <w:rFonts w:eastAsia="Arial"/>
          <w:spacing w:val="-1"/>
        </w:rPr>
        <w:t>B</w:t>
      </w:r>
      <w:r>
        <w:rPr>
          <w:rFonts w:eastAsia="Arial"/>
        </w:rPr>
        <w:t>o</w:t>
      </w:r>
      <w:r>
        <w:rPr>
          <w:rFonts w:eastAsia="Arial"/>
          <w:spacing w:val="-1"/>
        </w:rPr>
        <w:t>a</w:t>
      </w:r>
      <w:r>
        <w:rPr>
          <w:rFonts w:eastAsia="Arial"/>
          <w:spacing w:val="1"/>
        </w:rPr>
        <w:t>r</w:t>
      </w:r>
      <w:r>
        <w:rPr>
          <w:rFonts w:eastAsia="Arial"/>
        </w:rPr>
        <w:t>d</w:t>
      </w:r>
      <w:r>
        <w:rPr>
          <w:rFonts w:eastAsia="Arial"/>
          <w:spacing w:val="-2"/>
        </w:rPr>
        <w:t xml:space="preserve"> </w:t>
      </w:r>
      <w:r>
        <w:rPr>
          <w:rFonts w:eastAsia="Arial"/>
          <w:spacing w:val="1"/>
        </w:rPr>
        <w:t>m</w:t>
      </w:r>
      <w:r>
        <w:rPr>
          <w:rFonts w:eastAsia="Arial"/>
        </w:rPr>
        <w:t>e</w:t>
      </w:r>
      <w:r>
        <w:rPr>
          <w:rFonts w:eastAsia="Arial"/>
          <w:spacing w:val="-3"/>
        </w:rPr>
        <w:t>e</w:t>
      </w:r>
      <w:r>
        <w:rPr>
          <w:rFonts w:eastAsia="Arial"/>
          <w:spacing w:val="1"/>
        </w:rPr>
        <w:t>t</w:t>
      </w:r>
      <w:r>
        <w:rPr>
          <w:rFonts w:eastAsia="Arial"/>
          <w:spacing w:val="-1"/>
        </w:rPr>
        <w:t>i</w:t>
      </w:r>
      <w:r>
        <w:rPr>
          <w:rFonts w:eastAsia="Arial"/>
        </w:rPr>
        <w:t>n</w:t>
      </w:r>
      <w:r>
        <w:rPr>
          <w:rFonts w:eastAsia="Arial"/>
          <w:spacing w:val="2"/>
        </w:rPr>
        <w:t>g</w:t>
      </w:r>
      <w:r>
        <w:rPr>
          <w:rFonts w:eastAsia="Arial"/>
        </w:rPr>
        <w:t>s</w:t>
      </w:r>
      <w:r>
        <w:rPr>
          <w:rFonts w:eastAsia="Arial"/>
          <w:spacing w:val="-1"/>
        </w:rPr>
        <w:t xml:space="preserve"> </w:t>
      </w:r>
      <w:r>
        <w:rPr>
          <w:rFonts w:eastAsia="Arial"/>
        </w:rPr>
        <w:t>a</w:t>
      </w:r>
      <w:r>
        <w:rPr>
          <w:rFonts w:eastAsia="Arial"/>
          <w:spacing w:val="-1"/>
        </w:rPr>
        <w:t>n</w:t>
      </w:r>
      <w:r>
        <w:rPr>
          <w:rFonts w:eastAsia="Arial"/>
        </w:rPr>
        <w:t>d an</w:t>
      </w:r>
      <w:r>
        <w:rPr>
          <w:rFonts w:eastAsia="Arial"/>
          <w:spacing w:val="2"/>
        </w:rPr>
        <w:t xml:space="preserve"> </w:t>
      </w:r>
      <w:r>
        <w:rPr>
          <w:rFonts w:eastAsia="Arial"/>
          <w:spacing w:val="-1"/>
        </w:rPr>
        <w:t>A</w:t>
      </w:r>
      <w:r>
        <w:rPr>
          <w:rFonts w:eastAsia="Arial"/>
        </w:rPr>
        <w:t>n</w:t>
      </w:r>
      <w:r>
        <w:rPr>
          <w:rFonts w:eastAsia="Arial"/>
          <w:spacing w:val="-1"/>
        </w:rPr>
        <w:t>n</w:t>
      </w:r>
      <w:r>
        <w:rPr>
          <w:rFonts w:eastAsia="Arial"/>
        </w:rPr>
        <w:t>u</w:t>
      </w:r>
      <w:r>
        <w:rPr>
          <w:rFonts w:eastAsia="Arial"/>
          <w:spacing w:val="-1"/>
        </w:rPr>
        <w:t>a</w:t>
      </w:r>
      <w:r>
        <w:rPr>
          <w:rFonts w:eastAsia="Arial"/>
        </w:rPr>
        <w:t>l</w:t>
      </w:r>
      <w:r>
        <w:rPr>
          <w:rFonts w:eastAsia="Arial"/>
          <w:spacing w:val="-2"/>
        </w:rPr>
        <w:t xml:space="preserve"> </w:t>
      </w:r>
      <w:r>
        <w:rPr>
          <w:rFonts w:eastAsia="Arial"/>
          <w:spacing w:val="1"/>
        </w:rPr>
        <w:t>G</w:t>
      </w:r>
      <w:r>
        <w:rPr>
          <w:rFonts w:eastAsia="Arial"/>
        </w:rPr>
        <w:t>e</w:t>
      </w:r>
      <w:r>
        <w:rPr>
          <w:rFonts w:eastAsia="Arial"/>
          <w:spacing w:val="-1"/>
        </w:rPr>
        <w:t>n</w:t>
      </w:r>
      <w:r>
        <w:rPr>
          <w:rFonts w:eastAsia="Arial"/>
          <w:spacing w:val="-3"/>
        </w:rPr>
        <w:t>e</w:t>
      </w:r>
      <w:r>
        <w:rPr>
          <w:rFonts w:eastAsia="Arial"/>
          <w:spacing w:val="1"/>
        </w:rPr>
        <w:t>r</w:t>
      </w:r>
      <w:r>
        <w:rPr>
          <w:rFonts w:eastAsia="Arial"/>
        </w:rPr>
        <w:t xml:space="preserve">al </w:t>
      </w:r>
      <w:r>
        <w:rPr>
          <w:rFonts w:eastAsia="Arial"/>
          <w:spacing w:val="-4"/>
        </w:rPr>
        <w:t>M</w:t>
      </w:r>
      <w:r>
        <w:rPr>
          <w:rFonts w:eastAsia="Arial"/>
        </w:rPr>
        <w:t>e</w:t>
      </w:r>
      <w:r>
        <w:rPr>
          <w:rFonts w:eastAsia="Arial"/>
          <w:spacing w:val="-1"/>
        </w:rPr>
        <w:t>e</w:t>
      </w:r>
      <w:r>
        <w:rPr>
          <w:rFonts w:eastAsia="Arial"/>
          <w:spacing w:val="1"/>
        </w:rPr>
        <w:t>t</w:t>
      </w:r>
      <w:r>
        <w:rPr>
          <w:rFonts w:eastAsia="Arial"/>
          <w:spacing w:val="-1"/>
        </w:rPr>
        <w:t>i</w:t>
      </w:r>
      <w:r>
        <w:rPr>
          <w:rFonts w:eastAsia="Arial"/>
        </w:rPr>
        <w:t>ng</w:t>
      </w:r>
      <w:r>
        <w:rPr>
          <w:rFonts w:eastAsia="Arial"/>
          <w:spacing w:val="3"/>
        </w:rPr>
        <w:t xml:space="preserve"> </w:t>
      </w:r>
      <w:r>
        <w:rPr>
          <w:rFonts w:eastAsia="Arial"/>
        </w:rPr>
        <w:t>e</w:t>
      </w:r>
      <w:r>
        <w:rPr>
          <w:rFonts w:eastAsia="Arial"/>
          <w:spacing w:val="-1"/>
        </w:rPr>
        <w:t>a</w:t>
      </w:r>
      <w:r>
        <w:rPr>
          <w:rFonts w:eastAsia="Arial"/>
        </w:rPr>
        <w:t xml:space="preserve">ch </w:t>
      </w:r>
      <w:r>
        <w:rPr>
          <w:rFonts w:eastAsia="Arial"/>
          <w:spacing w:val="-2"/>
        </w:rPr>
        <w:t>y</w:t>
      </w:r>
      <w:r>
        <w:rPr>
          <w:rFonts w:eastAsia="Arial"/>
        </w:rPr>
        <w:t>e</w:t>
      </w:r>
      <w:r>
        <w:rPr>
          <w:rFonts w:eastAsia="Arial"/>
          <w:spacing w:val="-1"/>
        </w:rPr>
        <w:t>a</w:t>
      </w:r>
      <w:r>
        <w:rPr>
          <w:rFonts w:eastAsia="Arial"/>
          <w:spacing w:val="1"/>
        </w:rPr>
        <w:t>r</w:t>
      </w:r>
      <w:r>
        <w:rPr>
          <w:rFonts w:eastAsia="Arial"/>
        </w:rPr>
        <w:t>,</w:t>
      </w:r>
      <w:r>
        <w:rPr>
          <w:rFonts w:eastAsia="Arial"/>
          <w:spacing w:val="2"/>
        </w:rPr>
        <w:t xml:space="preserve"> </w:t>
      </w:r>
      <w:r>
        <w:rPr>
          <w:rFonts w:eastAsia="Arial"/>
        </w:rPr>
        <w:t>a</w:t>
      </w:r>
      <w:r>
        <w:rPr>
          <w:rFonts w:eastAsia="Arial"/>
          <w:spacing w:val="-1"/>
        </w:rPr>
        <w:t>l</w:t>
      </w:r>
      <w:r>
        <w:rPr>
          <w:rFonts w:eastAsia="Arial"/>
        </w:rPr>
        <w:t xml:space="preserve">l </w:t>
      </w:r>
      <w:r>
        <w:rPr>
          <w:rFonts w:eastAsia="Arial"/>
          <w:spacing w:val="-3"/>
        </w:rPr>
        <w:t>o</w:t>
      </w:r>
      <w:r>
        <w:rPr>
          <w:rFonts w:eastAsia="Arial"/>
        </w:rPr>
        <w:t>f</w:t>
      </w:r>
      <w:r>
        <w:rPr>
          <w:rFonts w:eastAsia="Arial"/>
          <w:spacing w:val="2"/>
        </w:rPr>
        <w:t xml:space="preserve"> </w:t>
      </w:r>
      <w:r>
        <w:rPr>
          <w:rFonts w:eastAsia="Arial"/>
          <w:spacing w:val="-3"/>
        </w:rPr>
        <w:t>w</w:t>
      </w:r>
      <w:r>
        <w:rPr>
          <w:rFonts w:eastAsia="Arial"/>
        </w:rPr>
        <w:t>h</w:t>
      </w:r>
      <w:r>
        <w:rPr>
          <w:rFonts w:eastAsia="Arial"/>
          <w:spacing w:val="-1"/>
        </w:rPr>
        <w:t>i</w:t>
      </w:r>
      <w:r>
        <w:rPr>
          <w:rFonts w:eastAsia="Arial"/>
        </w:rPr>
        <w:t>ch a</w:t>
      </w:r>
      <w:r>
        <w:rPr>
          <w:rFonts w:eastAsia="Arial"/>
          <w:spacing w:val="1"/>
        </w:rPr>
        <w:t>r</w:t>
      </w:r>
      <w:r>
        <w:rPr>
          <w:rFonts w:eastAsia="Arial"/>
        </w:rPr>
        <w:t>e op</w:t>
      </w:r>
      <w:r>
        <w:rPr>
          <w:rFonts w:eastAsia="Arial"/>
          <w:spacing w:val="-3"/>
        </w:rPr>
        <w:t>e</w:t>
      </w:r>
      <w:r>
        <w:rPr>
          <w:rFonts w:eastAsia="Arial"/>
        </w:rPr>
        <w:t xml:space="preserve">n </w:t>
      </w:r>
      <w:r>
        <w:rPr>
          <w:rFonts w:eastAsia="Arial"/>
          <w:spacing w:val="2"/>
        </w:rPr>
        <w:t>t</w:t>
      </w:r>
      <w:r>
        <w:rPr>
          <w:rFonts w:eastAsia="Arial"/>
        </w:rPr>
        <w:t>o</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rPr>
        <w:t>p</w:t>
      </w:r>
      <w:r>
        <w:rPr>
          <w:rFonts w:eastAsia="Arial"/>
          <w:spacing w:val="-1"/>
        </w:rPr>
        <w:t>u</w:t>
      </w:r>
      <w:r>
        <w:rPr>
          <w:rFonts w:eastAsia="Arial"/>
        </w:rPr>
        <w:t>b</w:t>
      </w:r>
      <w:r>
        <w:rPr>
          <w:rFonts w:eastAsia="Arial"/>
          <w:spacing w:val="-1"/>
        </w:rPr>
        <w:t>li</w:t>
      </w:r>
      <w:r>
        <w:rPr>
          <w:rFonts w:eastAsia="Arial"/>
        </w:rPr>
        <w:t>c.</w:t>
      </w:r>
      <w:r>
        <w:rPr>
          <w:rFonts w:eastAsia="Arial"/>
          <w:spacing w:val="2"/>
        </w:rPr>
        <w:t xml:space="preserve"> </w:t>
      </w:r>
      <w:r>
        <w:rPr>
          <w:rFonts w:eastAsia="Arial"/>
        </w:rPr>
        <w:t>F</w:t>
      </w:r>
      <w:r>
        <w:rPr>
          <w:rFonts w:eastAsia="Arial"/>
          <w:spacing w:val="-3"/>
        </w:rPr>
        <w:t>o</w:t>
      </w:r>
      <w:r>
        <w:rPr>
          <w:rFonts w:eastAsia="Arial"/>
        </w:rPr>
        <w:t>r</w:t>
      </w:r>
      <w:r>
        <w:rPr>
          <w:rFonts w:eastAsia="Arial"/>
          <w:spacing w:val="2"/>
        </w:rPr>
        <w:t xml:space="preserve"> </w:t>
      </w:r>
      <w:r>
        <w:rPr>
          <w:rFonts w:eastAsia="Arial"/>
        </w:rPr>
        <w:t>d</w:t>
      </w:r>
      <w:r>
        <w:rPr>
          <w:rFonts w:eastAsia="Arial"/>
          <w:spacing w:val="-3"/>
        </w:rPr>
        <w:t>a</w:t>
      </w:r>
      <w:r>
        <w:rPr>
          <w:rFonts w:eastAsia="Arial"/>
          <w:spacing w:val="1"/>
        </w:rPr>
        <w:t>t</w:t>
      </w:r>
      <w:r>
        <w:rPr>
          <w:rFonts w:eastAsia="Arial"/>
        </w:rPr>
        <w:t>e</w:t>
      </w:r>
      <w:r>
        <w:rPr>
          <w:rFonts w:eastAsia="Arial"/>
          <w:spacing w:val="-3"/>
        </w:rPr>
        <w:t>s</w:t>
      </w:r>
      <w:r>
        <w:rPr>
          <w:rFonts w:eastAsia="Arial"/>
        </w:rPr>
        <w:t xml:space="preserve">, </w:t>
      </w:r>
      <w:r>
        <w:rPr>
          <w:rFonts w:eastAsia="Arial"/>
          <w:spacing w:val="1"/>
        </w:rPr>
        <w:t>t</w:t>
      </w:r>
      <w:r>
        <w:rPr>
          <w:rFonts w:eastAsia="Arial"/>
          <w:spacing w:val="-1"/>
        </w:rPr>
        <w:t>i</w:t>
      </w:r>
      <w:r>
        <w:rPr>
          <w:rFonts w:eastAsia="Arial"/>
          <w:spacing w:val="1"/>
        </w:rPr>
        <w:t>m</w:t>
      </w:r>
      <w:r>
        <w:rPr>
          <w:rFonts w:eastAsia="Arial"/>
        </w:rPr>
        <w:t>es</w:t>
      </w:r>
      <w:r>
        <w:rPr>
          <w:rFonts w:eastAsia="Arial"/>
          <w:spacing w:val="-2"/>
        </w:rPr>
        <w:t xml:space="preserve"> </w:t>
      </w:r>
      <w:r>
        <w:rPr>
          <w:rFonts w:eastAsia="Arial"/>
        </w:rPr>
        <w:t>a</w:t>
      </w:r>
      <w:r>
        <w:rPr>
          <w:rFonts w:eastAsia="Arial"/>
          <w:spacing w:val="-1"/>
        </w:rPr>
        <w:t>n</w:t>
      </w:r>
      <w:r>
        <w:rPr>
          <w:rFonts w:eastAsia="Arial"/>
        </w:rPr>
        <w:t xml:space="preserve">d </w:t>
      </w:r>
      <w:r>
        <w:rPr>
          <w:rFonts w:eastAsia="Arial"/>
          <w:spacing w:val="-2"/>
        </w:rPr>
        <w:t>v</w:t>
      </w:r>
      <w:r>
        <w:rPr>
          <w:rFonts w:eastAsia="Arial"/>
        </w:rPr>
        <w:t>e</w:t>
      </w:r>
      <w:r>
        <w:rPr>
          <w:rFonts w:eastAsia="Arial"/>
          <w:spacing w:val="-1"/>
        </w:rPr>
        <w:t>n</w:t>
      </w:r>
      <w:r>
        <w:rPr>
          <w:rFonts w:eastAsia="Arial"/>
        </w:rPr>
        <w:t>u</w:t>
      </w:r>
      <w:r>
        <w:rPr>
          <w:rFonts w:eastAsia="Arial"/>
          <w:spacing w:val="-1"/>
        </w:rPr>
        <w:t>e</w:t>
      </w:r>
      <w:r>
        <w:rPr>
          <w:rFonts w:eastAsia="Arial"/>
        </w:rPr>
        <w:t>s, p</w:t>
      </w:r>
      <w:r>
        <w:rPr>
          <w:rFonts w:eastAsia="Arial"/>
          <w:spacing w:val="-1"/>
        </w:rPr>
        <w:t>l</w:t>
      </w:r>
      <w:r>
        <w:rPr>
          <w:rFonts w:eastAsia="Arial"/>
        </w:rPr>
        <w:t>e</w:t>
      </w:r>
      <w:r>
        <w:rPr>
          <w:rFonts w:eastAsia="Arial"/>
          <w:spacing w:val="-1"/>
        </w:rPr>
        <w:t>a</w:t>
      </w:r>
      <w:r>
        <w:rPr>
          <w:rFonts w:eastAsia="Arial"/>
        </w:rPr>
        <w:t>se con</w:t>
      </w:r>
      <w:r>
        <w:rPr>
          <w:rFonts w:eastAsia="Arial"/>
          <w:spacing w:val="1"/>
        </w:rPr>
        <w:t>t</w:t>
      </w:r>
      <w:r>
        <w:rPr>
          <w:rFonts w:eastAsia="Arial"/>
          <w:spacing w:val="-3"/>
        </w:rPr>
        <w:t>a</w:t>
      </w:r>
      <w:r>
        <w:rPr>
          <w:rFonts w:eastAsia="Arial"/>
        </w:rPr>
        <w:t xml:space="preserve">ct us </w:t>
      </w:r>
      <w:r>
        <w:rPr>
          <w:rFonts w:eastAsia="Arial"/>
          <w:spacing w:val="-2"/>
        </w:rPr>
        <w:t>v</w:t>
      </w:r>
      <w:r>
        <w:rPr>
          <w:rFonts w:eastAsia="Arial"/>
          <w:spacing w:val="-1"/>
        </w:rPr>
        <w:t>i</w:t>
      </w:r>
      <w:r>
        <w:rPr>
          <w:rFonts w:eastAsia="Arial"/>
        </w:rPr>
        <w:t xml:space="preserve">a </w:t>
      </w:r>
      <w:r>
        <w:rPr>
          <w:rFonts w:eastAsia="Arial"/>
          <w:spacing w:val="1"/>
        </w:rPr>
        <w:t>t</w:t>
      </w:r>
      <w:r>
        <w:rPr>
          <w:rFonts w:eastAsia="Arial"/>
        </w:rPr>
        <w:t>he d</w:t>
      </w:r>
      <w:r>
        <w:rPr>
          <w:rFonts w:eastAsia="Arial"/>
          <w:spacing w:val="-3"/>
        </w:rPr>
        <w:t>e</w:t>
      </w:r>
      <w:r>
        <w:rPr>
          <w:rFonts w:eastAsia="Arial"/>
          <w:spacing w:val="1"/>
        </w:rPr>
        <w:t>t</w:t>
      </w:r>
      <w:r>
        <w:rPr>
          <w:rFonts w:eastAsia="Arial"/>
        </w:rPr>
        <w:t>a</w:t>
      </w:r>
      <w:r>
        <w:rPr>
          <w:rFonts w:eastAsia="Arial"/>
          <w:spacing w:val="-1"/>
        </w:rPr>
        <w:t>il</w:t>
      </w:r>
      <w:r>
        <w:rPr>
          <w:rFonts w:eastAsia="Arial"/>
        </w:rPr>
        <w:t>s</w:t>
      </w:r>
      <w:r>
        <w:rPr>
          <w:rFonts w:eastAsia="Arial"/>
          <w:spacing w:val="1"/>
        </w:rPr>
        <w:t xml:space="preserve"> </w:t>
      </w:r>
      <w:r>
        <w:rPr>
          <w:rFonts w:eastAsia="Arial"/>
        </w:rPr>
        <w:t>b</w:t>
      </w:r>
      <w:r>
        <w:rPr>
          <w:rFonts w:eastAsia="Arial"/>
          <w:spacing w:val="-1"/>
        </w:rPr>
        <w:t>el</w:t>
      </w:r>
      <w:r>
        <w:rPr>
          <w:rFonts w:eastAsia="Arial"/>
        </w:rPr>
        <w:t>ow</w:t>
      </w:r>
      <w:r>
        <w:rPr>
          <w:rFonts w:eastAsia="Arial"/>
          <w:spacing w:val="-3"/>
        </w:rPr>
        <w:t xml:space="preserve"> </w:t>
      </w:r>
      <w:r>
        <w:rPr>
          <w:rFonts w:eastAsia="Arial"/>
        </w:rPr>
        <w:t>or</w:t>
      </w:r>
      <w:r>
        <w:rPr>
          <w:rFonts w:eastAsia="Arial"/>
          <w:spacing w:val="2"/>
        </w:rPr>
        <w:t xml:space="preserve"> </w:t>
      </w:r>
      <w:r>
        <w:rPr>
          <w:rFonts w:eastAsia="Arial"/>
          <w:spacing w:val="-2"/>
        </w:rPr>
        <w:t>v</w:t>
      </w:r>
      <w:r>
        <w:rPr>
          <w:rFonts w:eastAsia="Arial"/>
          <w:spacing w:val="-1"/>
        </w:rPr>
        <w:t>i</w:t>
      </w:r>
      <w:r>
        <w:rPr>
          <w:rFonts w:eastAsia="Arial"/>
        </w:rPr>
        <w:t>s</w:t>
      </w:r>
      <w:r>
        <w:rPr>
          <w:rFonts w:eastAsia="Arial"/>
          <w:spacing w:val="-1"/>
        </w:rPr>
        <w:t>i</w:t>
      </w:r>
      <w:r>
        <w:rPr>
          <w:rFonts w:eastAsia="Arial"/>
        </w:rPr>
        <w:t>t</w:t>
      </w:r>
      <w:r>
        <w:rPr>
          <w:rFonts w:eastAsia="Arial"/>
          <w:spacing w:val="2"/>
        </w:rPr>
        <w:t xml:space="preserve"> </w:t>
      </w:r>
      <w:r>
        <w:rPr>
          <w:rFonts w:eastAsia="Arial"/>
        </w:rPr>
        <w:t>o</w:t>
      </w:r>
      <w:r>
        <w:rPr>
          <w:rFonts w:eastAsia="Arial"/>
          <w:spacing w:val="-1"/>
        </w:rPr>
        <w:t>u</w:t>
      </w:r>
      <w:r>
        <w:rPr>
          <w:rFonts w:eastAsia="Arial"/>
        </w:rPr>
        <w:t>r</w:t>
      </w:r>
      <w:r>
        <w:rPr>
          <w:rFonts w:eastAsia="Arial"/>
          <w:spacing w:val="2"/>
        </w:rPr>
        <w:t xml:space="preserve"> </w:t>
      </w:r>
      <w:r>
        <w:rPr>
          <w:rFonts w:eastAsia="Arial"/>
          <w:spacing w:val="-3"/>
        </w:rPr>
        <w:t>w</w:t>
      </w:r>
      <w:r>
        <w:rPr>
          <w:rFonts w:eastAsia="Arial"/>
        </w:rPr>
        <w:t>e</w:t>
      </w:r>
      <w:r>
        <w:rPr>
          <w:rFonts w:eastAsia="Arial"/>
          <w:spacing w:val="-1"/>
        </w:rPr>
        <w:t>b</w:t>
      </w:r>
      <w:r>
        <w:rPr>
          <w:rFonts w:eastAsia="Arial"/>
        </w:rPr>
        <w:t>s</w:t>
      </w:r>
      <w:r>
        <w:rPr>
          <w:rFonts w:eastAsia="Arial"/>
          <w:spacing w:val="-1"/>
        </w:rPr>
        <w:t>i</w:t>
      </w:r>
      <w:r>
        <w:rPr>
          <w:rFonts w:eastAsia="Arial"/>
          <w:spacing w:val="1"/>
        </w:rPr>
        <w:t>t</w:t>
      </w:r>
      <w:r>
        <w:rPr>
          <w:rFonts w:eastAsia="Arial"/>
        </w:rPr>
        <w:t xml:space="preserve">e: </w:t>
      </w:r>
      <w:r>
        <w:rPr>
          <w:rFonts w:eastAsia="Arial"/>
          <w:color w:val="0000FF"/>
          <w:spacing w:val="-57"/>
        </w:rPr>
        <w:t xml:space="preserve"> </w:t>
      </w:r>
      <w:hyperlink r:id="rId17" w:history="1">
        <w:r>
          <w:rPr>
            <w:rStyle w:val="Hyperlink"/>
            <w:rFonts w:eastAsia="Arial" w:cs="Arial"/>
            <w:color w:val="0000FF"/>
            <w:spacing w:val="-3"/>
          </w:rPr>
          <w:t>w</w:t>
        </w:r>
        <w:r>
          <w:rPr>
            <w:rStyle w:val="Hyperlink"/>
            <w:rFonts w:eastAsia="Arial" w:cs="Arial"/>
            <w:color w:val="0000FF"/>
            <w:spacing w:val="-1"/>
          </w:rPr>
          <w:t>w</w:t>
        </w:r>
        <w:r>
          <w:rPr>
            <w:rStyle w:val="Hyperlink"/>
            <w:rFonts w:eastAsia="Arial" w:cs="Arial"/>
            <w:color w:val="0000FF"/>
            <w:spacing w:val="-3"/>
          </w:rPr>
          <w:t>w</w:t>
        </w:r>
        <w:r>
          <w:rPr>
            <w:rStyle w:val="Hyperlink"/>
            <w:rFonts w:eastAsia="Arial" w:cs="Arial"/>
            <w:color w:val="0000FF"/>
            <w:spacing w:val="1"/>
          </w:rPr>
          <w:t>.</w:t>
        </w:r>
        <w:r>
          <w:rPr>
            <w:rStyle w:val="Hyperlink"/>
            <w:rFonts w:eastAsia="Arial" w:cs="Arial"/>
            <w:color w:val="0000FF"/>
          </w:rPr>
          <w:t>h</w:t>
        </w:r>
        <w:r>
          <w:rPr>
            <w:rStyle w:val="Hyperlink"/>
            <w:rFonts w:eastAsia="Arial" w:cs="Arial"/>
            <w:color w:val="0000FF"/>
            <w:spacing w:val="-1"/>
          </w:rPr>
          <w:t>u</w:t>
        </w:r>
        <w:r>
          <w:rPr>
            <w:rStyle w:val="Hyperlink"/>
            <w:rFonts w:eastAsia="Arial" w:cs="Arial"/>
            <w:color w:val="0000FF"/>
            <w:spacing w:val="1"/>
          </w:rPr>
          <w:t>l</w:t>
        </w:r>
        <w:r>
          <w:rPr>
            <w:rStyle w:val="Hyperlink"/>
            <w:rFonts w:eastAsia="Arial" w:cs="Arial"/>
            <w:color w:val="0000FF"/>
            <w:spacing w:val="-1"/>
          </w:rPr>
          <w:t>l</w:t>
        </w:r>
        <w:r>
          <w:rPr>
            <w:rStyle w:val="Hyperlink"/>
            <w:rFonts w:eastAsia="Arial" w:cs="Arial"/>
            <w:color w:val="0000FF"/>
          </w:rPr>
          <w:t>ccg.nhs</w:t>
        </w:r>
        <w:r>
          <w:rPr>
            <w:rStyle w:val="Hyperlink"/>
            <w:rFonts w:eastAsia="Arial" w:cs="Arial"/>
            <w:color w:val="0000FF"/>
            <w:spacing w:val="1"/>
          </w:rPr>
          <w:t>.</w:t>
        </w:r>
        <w:r>
          <w:rPr>
            <w:rStyle w:val="Hyperlink"/>
            <w:rFonts w:eastAsia="Arial" w:cs="Arial"/>
            <w:color w:val="0000FF"/>
            <w:spacing w:val="-3"/>
          </w:rPr>
          <w:t>u</w:t>
        </w:r>
        <w:r>
          <w:rPr>
            <w:rStyle w:val="Hyperlink"/>
            <w:rFonts w:eastAsia="Arial" w:cs="Arial"/>
            <w:color w:val="0000FF"/>
          </w:rPr>
          <w:t>k</w:t>
        </w:r>
      </w:hyperlink>
      <w:r>
        <w:rPr>
          <w:rFonts w:eastAsia="Arial"/>
        </w:rPr>
        <w:t xml:space="preserve"> </w:t>
      </w:r>
      <w:r>
        <w:rPr>
          <w:rFonts w:eastAsia="Arial"/>
          <w:spacing w:val="-1"/>
        </w:rPr>
        <w:t xml:space="preserve">You can contact us at </w:t>
      </w:r>
      <w:r>
        <w:rPr>
          <w:rFonts w:eastAsia="Arial"/>
          <w:b/>
          <w:bCs/>
          <w:spacing w:val="-1"/>
        </w:rPr>
        <w:t>NH</w:t>
      </w:r>
      <w:r>
        <w:rPr>
          <w:rFonts w:eastAsia="Arial"/>
          <w:b/>
          <w:bCs/>
        </w:rPr>
        <w:t xml:space="preserve">S </w:t>
      </w:r>
      <w:r>
        <w:rPr>
          <w:rFonts w:eastAsia="Arial"/>
          <w:b/>
          <w:bCs/>
          <w:spacing w:val="-1"/>
        </w:rPr>
        <w:t>H</w:t>
      </w:r>
      <w:r>
        <w:rPr>
          <w:rFonts w:eastAsia="Arial"/>
          <w:b/>
          <w:bCs/>
        </w:rPr>
        <w:t>ull</w:t>
      </w:r>
      <w:r>
        <w:rPr>
          <w:rFonts w:eastAsia="Arial"/>
          <w:b/>
          <w:bCs/>
          <w:spacing w:val="2"/>
        </w:rPr>
        <w:t xml:space="preserve"> </w:t>
      </w:r>
      <w:r>
        <w:rPr>
          <w:rFonts w:eastAsia="Arial"/>
          <w:b/>
          <w:bCs/>
          <w:spacing w:val="-3"/>
        </w:rPr>
        <w:t>C</w:t>
      </w:r>
      <w:r>
        <w:rPr>
          <w:rFonts w:eastAsia="Arial"/>
          <w:b/>
          <w:bCs/>
          <w:spacing w:val="1"/>
        </w:rPr>
        <w:t>li</w:t>
      </w:r>
      <w:r>
        <w:rPr>
          <w:rFonts w:eastAsia="Arial"/>
          <w:b/>
          <w:bCs/>
          <w:spacing w:val="-3"/>
        </w:rPr>
        <w:t>n</w:t>
      </w:r>
      <w:r>
        <w:rPr>
          <w:rFonts w:eastAsia="Arial"/>
          <w:b/>
          <w:bCs/>
          <w:spacing w:val="1"/>
        </w:rPr>
        <w:t>i</w:t>
      </w:r>
      <w:r>
        <w:rPr>
          <w:rFonts w:eastAsia="Arial"/>
          <w:b/>
          <w:bCs/>
        </w:rPr>
        <w:t>c</w:t>
      </w:r>
      <w:r>
        <w:rPr>
          <w:rFonts w:eastAsia="Arial"/>
          <w:b/>
          <w:bCs/>
          <w:spacing w:val="-1"/>
        </w:rPr>
        <w:t>a</w:t>
      </w:r>
      <w:r>
        <w:rPr>
          <w:rFonts w:eastAsia="Arial"/>
          <w:b/>
          <w:bCs/>
        </w:rPr>
        <w:t xml:space="preserve">l </w:t>
      </w:r>
      <w:r>
        <w:rPr>
          <w:rFonts w:eastAsia="Arial"/>
          <w:b/>
          <w:bCs/>
          <w:spacing w:val="-1"/>
        </w:rPr>
        <w:t>C</w:t>
      </w:r>
      <w:r>
        <w:rPr>
          <w:rFonts w:eastAsia="Arial"/>
          <w:b/>
          <w:bCs/>
        </w:rPr>
        <w:t>o</w:t>
      </w:r>
      <w:r>
        <w:rPr>
          <w:rFonts w:eastAsia="Arial"/>
          <w:b/>
          <w:bCs/>
          <w:spacing w:val="-2"/>
        </w:rPr>
        <w:t>m</w:t>
      </w:r>
      <w:r>
        <w:rPr>
          <w:rFonts w:eastAsia="Arial"/>
          <w:b/>
          <w:bCs/>
        </w:rPr>
        <w:t>m</w:t>
      </w:r>
      <w:r>
        <w:rPr>
          <w:rFonts w:eastAsia="Arial"/>
          <w:b/>
          <w:bCs/>
          <w:spacing w:val="1"/>
        </w:rPr>
        <w:t>i</w:t>
      </w:r>
      <w:r>
        <w:rPr>
          <w:rFonts w:eastAsia="Arial"/>
          <w:b/>
          <w:bCs/>
        </w:rPr>
        <w:t>s</w:t>
      </w:r>
      <w:r>
        <w:rPr>
          <w:rFonts w:eastAsia="Arial"/>
          <w:b/>
          <w:bCs/>
          <w:spacing w:val="-3"/>
        </w:rPr>
        <w:t>s</w:t>
      </w:r>
      <w:r>
        <w:rPr>
          <w:rFonts w:eastAsia="Arial"/>
          <w:b/>
          <w:bCs/>
          <w:spacing w:val="1"/>
        </w:rPr>
        <w:t>i</w:t>
      </w:r>
      <w:r>
        <w:rPr>
          <w:rFonts w:eastAsia="Arial"/>
          <w:b/>
          <w:bCs/>
        </w:rPr>
        <w:t>o</w:t>
      </w:r>
      <w:r>
        <w:rPr>
          <w:rFonts w:eastAsia="Arial"/>
          <w:b/>
          <w:bCs/>
          <w:spacing w:val="-1"/>
        </w:rPr>
        <w:t>n</w:t>
      </w:r>
      <w:r>
        <w:rPr>
          <w:rFonts w:eastAsia="Arial"/>
          <w:b/>
          <w:bCs/>
          <w:spacing w:val="1"/>
        </w:rPr>
        <w:t>i</w:t>
      </w:r>
      <w:r>
        <w:rPr>
          <w:rFonts w:eastAsia="Arial"/>
          <w:b/>
          <w:bCs/>
        </w:rPr>
        <w:t>ng</w:t>
      </w:r>
      <w:r>
        <w:rPr>
          <w:rFonts w:eastAsia="Arial"/>
          <w:b/>
          <w:bCs/>
          <w:spacing w:val="-2"/>
        </w:rPr>
        <w:t xml:space="preserve"> </w:t>
      </w:r>
      <w:r>
        <w:rPr>
          <w:rFonts w:eastAsia="Arial"/>
          <w:b/>
          <w:bCs/>
          <w:spacing w:val="-1"/>
        </w:rPr>
        <w:t>G</w:t>
      </w:r>
      <w:r>
        <w:rPr>
          <w:rFonts w:eastAsia="Arial"/>
          <w:b/>
          <w:bCs/>
        </w:rPr>
        <w:t>roup</w:t>
      </w:r>
      <w:r>
        <w:rPr>
          <w:rFonts w:eastAsia="Arial"/>
        </w:rPr>
        <w:t>, 2</w:t>
      </w:r>
      <w:r>
        <w:rPr>
          <w:rFonts w:eastAsia="Arial"/>
          <w:spacing w:val="-1"/>
        </w:rPr>
        <w:t>n</w:t>
      </w:r>
      <w:r>
        <w:rPr>
          <w:rFonts w:eastAsia="Arial"/>
        </w:rPr>
        <w:t>d F</w:t>
      </w:r>
      <w:r>
        <w:rPr>
          <w:rFonts w:eastAsia="Arial"/>
          <w:spacing w:val="-1"/>
        </w:rPr>
        <w:t>l</w:t>
      </w:r>
      <w:r>
        <w:rPr>
          <w:rFonts w:eastAsia="Arial"/>
        </w:rPr>
        <w:t>o</w:t>
      </w:r>
      <w:r>
        <w:rPr>
          <w:rFonts w:eastAsia="Arial"/>
          <w:spacing w:val="-1"/>
        </w:rPr>
        <w:t>o</w:t>
      </w:r>
      <w:r>
        <w:rPr>
          <w:rFonts w:eastAsia="Arial"/>
        </w:rPr>
        <w:t xml:space="preserve">r, </w:t>
      </w:r>
      <w:r>
        <w:rPr>
          <w:rFonts w:eastAsia="Arial"/>
          <w:spacing w:val="5"/>
        </w:rPr>
        <w:t>W</w:t>
      </w:r>
      <w:r>
        <w:rPr>
          <w:rFonts w:eastAsia="Arial"/>
          <w:spacing w:val="-3"/>
        </w:rPr>
        <w:t>i</w:t>
      </w:r>
      <w:r>
        <w:rPr>
          <w:rFonts w:eastAsia="Arial"/>
          <w:spacing w:val="-1"/>
        </w:rPr>
        <w:t>l</w:t>
      </w:r>
      <w:r>
        <w:rPr>
          <w:rFonts w:eastAsia="Arial"/>
        </w:rPr>
        <w:t>b</w:t>
      </w:r>
      <w:r>
        <w:rPr>
          <w:rFonts w:eastAsia="Arial"/>
          <w:spacing w:val="-1"/>
        </w:rPr>
        <w:t>e</w:t>
      </w:r>
      <w:r>
        <w:rPr>
          <w:rFonts w:eastAsia="Arial"/>
          <w:spacing w:val="-2"/>
        </w:rPr>
        <w:t>r</w:t>
      </w:r>
      <w:r>
        <w:rPr>
          <w:rFonts w:eastAsia="Arial"/>
          <w:spacing w:val="1"/>
        </w:rPr>
        <w:t>f</w:t>
      </w:r>
      <w:r>
        <w:rPr>
          <w:rFonts w:eastAsia="Arial"/>
        </w:rPr>
        <w:t>orce</w:t>
      </w:r>
      <w:r>
        <w:rPr>
          <w:rFonts w:eastAsia="Arial"/>
          <w:spacing w:val="-1"/>
        </w:rPr>
        <w:t xml:space="preserve"> C</w:t>
      </w:r>
      <w:r>
        <w:rPr>
          <w:rFonts w:eastAsia="Arial"/>
        </w:rPr>
        <w:t>o</w:t>
      </w:r>
      <w:r>
        <w:rPr>
          <w:rFonts w:eastAsia="Arial"/>
          <w:spacing w:val="-1"/>
        </w:rPr>
        <w:t>u</w:t>
      </w:r>
      <w:r>
        <w:rPr>
          <w:rFonts w:eastAsia="Arial"/>
          <w:spacing w:val="-2"/>
        </w:rPr>
        <w:t>r</w:t>
      </w:r>
      <w:r>
        <w:rPr>
          <w:rFonts w:eastAsia="Arial"/>
        </w:rPr>
        <w:t xml:space="preserve">t, </w:t>
      </w:r>
      <w:r>
        <w:rPr>
          <w:rFonts w:eastAsia="Arial"/>
          <w:spacing w:val="-1"/>
        </w:rPr>
        <w:t>Al</w:t>
      </w:r>
      <w:r>
        <w:rPr>
          <w:rFonts w:eastAsia="Arial"/>
          <w:spacing w:val="3"/>
        </w:rPr>
        <w:t>f</w:t>
      </w:r>
      <w:r>
        <w:rPr>
          <w:rFonts w:eastAsia="Arial"/>
          <w:spacing w:val="-2"/>
        </w:rPr>
        <w:t>r</w:t>
      </w:r>
      <w:r>
        <w:rPr>
          <w:rFonts w:eastAsia="Arial"/>
        </w:rPr>
        <w:t>ed</w:t>
      </w:r>
      <w:r>
        <w:rPr>
          <w:rFonts w:eastAsia="Arial"/>
          <w:spacing w:val="-2"/>
        </w:rPr>
        <w:t xml:space="preserve"> </w:t>
      </w:r>
      <w:r>
        <w:rPr>
          <w:rFonts w:eastAsia="Arial"/>
          <w:spacing w:val="1"/>
        </w:rPr>
        <w:t>G</w:t>
      </w:r>
      <w:r>
        <w:rPr>
          <w:rFonts w:eastAsia="Arial"/>
        </w:rPr>
        <w:t>e</w:t>
      </w:r>
      <w:r>
        <w:rPr>
          <w:rFonts w:eastAsia="Arial"/>
          <w:spacing w:val="-1"/>
        </w:rPr>
        <w:t>l</w:t>
      </w:r>
      <w:r>
        <w:rPr>
          <w:rFonts w:eastAsia="Arial"/>
        </w:rPr>
        <w:t>d</w:t>
      </w:r>
      <w:r>
        <w:rPr>
          <w:rFonts w:eastAsia="Arial"/>
          <w:spacing w:val="-1"/>
        </w:rPr>
        <w:t>e</w:t>
      </w:r>
      <w:r>
        <w:rPr>
          <w:rFonts w:eastAsia="Arial"/>
        </w:rPr>
        <w:t>r</w:t>
      </w:r>
      <w:r>
        <w:rPr>
          <w:rFonts w:eastAsia="Arial"/>
          <w:spacing w:val="2"/>
        </w:rPr>
        <w:t xml:space="preserve"> </w:t>
      </w:r>
      <w:r>
        <w:rPr>
          <w:rFonts w:eastAsia="Arial"/>
          <w:spacing w:val="-3"/>
        </w:rPr>
        <w:t>S</w:t>
      </w:r>
      <w:r>
        <w:rPr>
          <w:rFonts w:eastAsia="Arial"/>
          <w:spacing w:val="1"/>
        </w:rPr>
        <w:t>tr</w:t>
      </w:r>
      <w:r>
        <w:rPr>
          <w:rFonts w:eastAsia="Arial"/>
        </w:rPr>
        <w:t>e</w:t>
      </w:r>
      <w:r>
        <w:rPr>
          <w:rFonts w:eastAsia="Arial"/>
          <w:spacing w:val="-3"/>
        </w:rPr>
        <w:t>e</w:t>
      </w:r>
      <w:r>
        <w:rPr>
          <w:rFonts w:eastAsia="Arial"/>
        </w:rPr>
        <w:t xml:space="preserve">t, </w:t>
      </w:r>
      <w:r>
        <w:rPr>
          <w:rFonts w:eastAsia="Arial"/>
          <w:spacing w:val="-1"/>
        </w:rPr>
        <w:t>H</w:t>
      </w:r>
      <w:r>
        <w:rPr>
          <w:rFonts w:eastAsia="Arial"/>
        </w:rPr>
        <w:t>u</w:t>
      </w:r>
      <w:r>
        <w:rPr>
          <w:rFonts w:eastAsia="Arial"/>
          <w:spacing w:val="-1"/>
        </w:rPr>
        <w:t>l</w:t>
      </w:r>
      <w:r>
        <w:rPr>
          <w:rFonts w:eastAsia="Arial"/>
        </w:rPr>
        <w:t xml:space="preserve">l </w:t>
      </w:r>
      <w:r>
        <w:rPr>
          <w:rFonts w:eastAsia="Arial"/>
          <w:spacing w:val="-1"/>
        </w:rPr>
        <w:t>HU</w:t>
      </w:r>
      <w:r>
        <w:rPr>
          <w:rFonts w:eastAsia="Arial"/>
        </w:rPr>
        <w:t>1 1</w:t>
      </w:r>
      <w:r>
        <w:rPr>
          <w:rFonts w:eastAsia="Arial"/>
          <w:spacing w:val="-1"/>
        </w:rPr>
        <w:t>U</w:t>
      </w:r>
      <w:r>
        <w:rPr>
          <w:rFonts w:eastAsia="Arial"/>
        </w:rPr>
        <w:t xml:space="preserve">Y </w:t>
      </w:r>
      <w:r>
        <w:rPr>
          <w:rFonts w:eastAsia="Arial"/>
          <w:spacing w:val="2"/>
        </w:rPr>
        <w:t>T</w:t>
      </w:r>
      <w:r>
        <w:rPr>
          <w:rFonts w:eastAsia="Arial"/>
        </w:rPr>
        <w:t>el:</w:t>
      </w:r>
      <w:r>
        <w:rPr>
          <w:rFonts w:eastAsia="Arial"/>
          <w:spacing w:val="-2"/>
        </w:rPr>
        <w:t xml:space="preserve"> </w:t>
      </w:r>
      <w:r>
        <w:rPr>
          <w:rFonts w:eastAsia="Arial"/>
          <w:spacing w:val="1"/>
        </w:rPr>
        <w:t>(</w:t>
      </w:r>
      <w:r>
        <w:rPr>
          <w:rFonts w:eastAsia="Arial"/>
        </w:rPr>
        <w:t>s</w:t>
      </w:r>
      <w:r>
        <w:rPr>
          <w:rFonts w:eastAsia="Arial"/>
          <w:spacing w:val="-3"/>
        </w:rPr>
        <w:t>w</w:t>
      </w:r>
      <w:r>
        <w:rPr>
          <w:rFonts w:eastAsia="Arial"/>
          <w:spacing w:val="-1"/>
        </w:rPr>
        <w:t>i</w:t>
      </w:r>
      <w:r>
        <w:rPr>
          <w:rFonts w:eastAsia="Arial"/>
          <w:spacing w:val="1"/>
        </w:rPr>
        <w:t>t</w:t>
      </w:r>
      <w:r>
        <w:rPr>
          <w:rFonts w:eastAsia="Arial"/>
        </w:rPr>
        <w:t>ch</w:t>
      </w:r>
      <w:r>
        <w:rPr>
          <w:rFonts w:eastAsia="Arial"/>
          <w:spacing w:val="-1"/>
        </w:rPr>
        <w:t>b</w:t>
      </w:r>
      <w:r>
        <w:rPr>
          <w:rFonts w:eastAsia="Arial"/>
        </w:rPr>
        <w:t>o</w:t>
      </w:r>
      <w:r>
        <w:rPr>
          <w:rFonts w:eastAsia="Arial"/>
          <w:spacing w:val="-1"/>
        </w:rPr>
        <w:t>a</w:t>
      </w:r>
      <w:r>
        <w:rPr>
          <w:rFonts w:eastAsia="Arial"/>
          <w:spacing w:val="1"/>
        </w:rPr>
        <w:t>r</w:t>
      </w:r>
      <w:r>
        <w:rPr>
          <w:rFonts w:eastAsia="Arial"/>
        </w:rPr>
        <w:t>d):</w:t>
      </w:r>
      <w:r>
        <w:rPr>
          <w:rFonts w:eastAsia="Arial"/>
          <w:spacing w:val="1"/>
        </w:rPr>
        <w:t xml:space="preserve"> </w:t>
      </w:r>
      <w:r>
        <w:rPr>
          <w:rFonts w:eastAsia="Arial"/>
          <w:b/>
          <w:bCs/>
        </w:rPr>
        <w:t>0</w:t>
      </w:r>
      <w:r>
        <w:rPr>
          <w:rFonts w:eastAsia="Arial"/>
          <w:b/>
          <w:bCs/>
          <w:spacing w:val="-1"/>
        </w:rPr>
        <w:t>1</w:t>
      </w:r>
      <w:r>
        <w:rPr>
          <w:rFonts w:eastAsia="Arial"/>
          <w:b/>
          <w:bCs/>
        </w:rPr>
        <w:t>4</w:t>
      </w:r>
      <w:r>
        <w:rPr>
          <w:rFonts w:eastAsia="Arial"/>
          <w:b/>
          <w:bCs/>
          <w:spacing w:val="-1"/>
        </w:rPr>
        <w:t>8</w:t>
      </w:r>
      <w:r>
        <w:rPr>
          <w:rFonts w:eastAsia="Arial"/>
          <w:b/>
          <w:bCs/>
        </w:rPr>
        <w:t>2</w:t>
      </w:r>
      <w:r>
        <w:rPr>
          <w:rFonts w:eastAsia="Arial"/>
          <w:b/>
          <w:bCs/>
          <w:spacing w:val="-2"/>
        </w:rPr>
        <w:t xml:space="preserve"> </w:t>
      </w:r>
      <w:r>
        <w:rPr>
          <w:rFonts w:eastAsia="Arial"/>
          <w:b/>
          <w:bCs/>
        </w:rPr>
        <w:t>3</w:t>
      </w:r>
      <w:r>
        <w:rPr>
          <w:rFonts w:eastAsia="Arial"/>
          <w:b/>
          <w:bCs/>
          <w:spacing w:val="-1"/>
        </w:rPr>
        <w:t>4</w:t>
      </w:r>
      <w:r>
        <w:rPr>
          <w:rFonts w:eastAsia="Arial"/>
          <w:b/>
          <w:bCs/>
        </w:rPr>
        <w:t>4</w:t>
      </w:r>
      <w:r>
        <w:rPr>
          <w:rFonts w:eastAsia="Arial"/>
          <w:b/>
          <w:bCs/>
          <w:spacing w:val="-1"/>
        </w:rPr>
        <w:t>7</w:t>
      </w:r>
      <w:r>
        <w:rPr>
          <w:rFonts w:eastAsia="Arial"/>
          <w:b/>
          <w:bCs/>
        </w:rPr>
        <w:t>00</w:t>
      </w:r>
      <w:r>
        <w:rPr>
          <w:rFonts w:eastAsia="Arial"/>
        </w:rPr>
        <w:t xml:space="preserve"> </w:t>
      </w:r>
      <w:r>
        <w:rPr>
          <w:rFonts w:eastAsia="Arial"/>
          <w:b/>
          <w:bCs/>
          <w:spacing w:val="-1"/>
        </w:rPr>
        <w:t>E</w:t>
      </w:r>
      <w:r>
        <w:rPr>
          <w:rFonts w:eastAsia="Arial"/>
          <w:b/>
          <w:bCs/>
        </w:rPr>
        <w:t>ma</w:t>
      </w:r>
      <w:r>
        <w:rPr>
          <w:rFonts w:eastAsia="Arial"/>
          <w:b/>
          <w:bCs/>
          <w:spacing w:val="1"/>
        </w:rPr>
        <w:t>i</w:t>
      </w:r>
      <w:r>
        <w:rPr>
          <w:rFonts w:eastAsia="Arial"/>
          <w:b/>
          <w:bCs/>
        </w:rPr>
        <w:t xml:space="preserve">l </w:t>
      </w:r>
      <w:hyperlink r:id="rId18" w:history="1">
        <w:r>
          <w:rPr>
            <w:rStyle w:val="Hyperlink"/>
            <w:rFonts w:eastAsia="Arial" w:cs="Arial"/>
            <w:color w:val="0000FF"/>
            <w:spacing w:val="-1"/>
          </w:rPr>
          <w:t>HU</w:t>
        </w:r>
        <w:r>
          <w:rPr>
            <w:rStyle w:val="Hyperlink"/>
            <w:rFonts w:eastAsia="Arial" w:cs="Arial"/>
            <w:color w:val="0000FF"/>
          </w:rPr>
          <w:t>L</w:t>
        </w:r>
        <w:r>
          <w:rPr>
            <w:rStyle w:val="Hyperlink"/>
            <w:rFonts w:eastAsia="Arial" w:cs="Arial"/>
            <w:color w:val="0000FF"/>
            <w:spacing w:val="-1"/>
          </w:rPr>
          <w:t>LCC</w:t>
        </w:r>
        <w:r>
          <w:rPr>
            <w:rStyle w:val="Hyperlink"/>
            <w:rFonts w:eastAsia="Arial" w:cs="Arial"/>
            <w:color w:val="0000FF"/>
            <w:spacing w:val="1"/>
          </w:rPr>
          <w:t>G</w:t>
        </w:r>
        <w:r>
          <w:rPr>
            <w:rStyle w:val="Hyperlink"/>
            <w:rFonts w:eastAsia="Arial" w:cs="Arial"/>
            <w:color w:val="0000FF"/>
            <w:spacing w:val="-1"/>
          </w:rPr>
          <w:t>.</w:t>
        </w:r>
        <w:r>
          <w:rPr>
            <w:rStyle w:val="Hyperlink"/>
            <w:rFonts w:eastAsia="Arial" w:cs="Arial"/>
            <w:color w:val="0000FF"/>
          </w:rPr>
          <w:t>co</w:t>
        </w:r>
        <w:r>
          <w:rPr>
            <w:rStyle w:val="Hyperlink"/>
            <w:rFonts w:eastAsia="Arial" w:cs="Arial"/>
            <w:color w:val="0000FF"/>
            <w:spacing w:val="-1"/>
          </w:rPr>
          <w:t>n</w:t>
        </w:r>
        <w:r>
          <w:rPr>
            <w:rStyle w:val="Hyperlink"/>
            <w:rFonts w:eastAsia="Arial" w:cs="Arial"/>
            <w:color w:val="0000FF"/>
            <w:spacing w:val="1"/>
          </w:rPr>
          <w:t>t</w:t>
        </w:r>
        <w:r>
          <w:rPr>
            <w:rStyle w:val="Hyperlink"/>
            <w:rFonts w:eastAsia="Arial" w:cs="Arial"/>
            <w:color w:val="0000FF"/>
          </w:rPr>
          <w:t>a</w:t>
        </w:r>
        <w:r>
          <w:rPr>
            <w:rStyle w:val="Hyperlink"/>
            <w:rFonts w:eastAsia="Arial" w:cs="Arial"/>
            <w:color w:val="0000FF"/>
            <w:spacing w:val="-3"/>
          </w:rPr>
          <w:t>c</w:t>
        </w:r>
        <w:r>
          <w:rPr>
            <w:rStyle w:val="Hyperlink"/>
            <w:rFonts w:eastAsia="Arial" w:cs="Arial"/>
            <w:color w:val="0000FF"/>
            <w:spacing w:val="1"/>
          </w:rPr>
          <w:t>t</w:t>
        </w:r>
        <w:r>
          <w:rPr>
            <w:rStyle w:val="Hyperlink"/>
            <w:rFonts w:eastAsia="Arial" w:cs="Arial"/>
            <w:color w:val="0000FF"/>
          </w:rPr>
          <w:t>us</w:t>
        </w:r>
        <w:r>
          <w:rPr>
            <w:rStyle w:val="Hyperlink"/>
            <w:rFonts w:eastAsia="Arial" w:cs="Arial"/>
            <w:color w:val="0000FF"/>
            <w:spacing w:val="-1"/>
          </w:rPr>
          <w:t>@</w:t>
        </w:r>
        <w:r>
          <w:rPr>
            <w:rStyle w:val="Hyperlink"/>
            <w:rFonts w:eastAsia="Arial" w:cs="Arial"/>
            <w:color w:val="0000FF"/>
          </w:rPr>
          <w:t>n</w:t>
        </w:r>
        <w:r>
          <w:rPr>
            <w:rStyle w:val="Hyperlink"/>
            <w:rFonts w:eastAsia="Arial" w:cs="Arial"/>
            <w:color w:val="0000FF"/>
            <w:spacing w:val="-1"/>
          </w:rPr>
          <w:t>h</w:t>
        </w:r>
        <w:r>
          <w:rPr>
            <w:rStyle w:val="Hyperlink"/>
            <w:rFonts w:eastAsia="Arial" w:cs="Arial"/>
            <w:color w:val="0000FF"/>
          </w:rPr>
          <w:t>s</w:t>
        </w:r>
        <w:r>
          <w:rPr>
            <w:rStyle w:val="Hyperlink"/>
            <w:rFonts w:eastAsia="Arial" w:cs="Arial"/>
            <w:color w:val="0000FF"/>
            <w:spacing w:val="1"/>
          </w:rPr>
          <w:t>.</w:t>
        </w:r>
        <w:r>
          <w:rPr>
            <w:rStyle w:val="Hyperlink"/>
            <w:rFonts w:eastAsia="Arial" w:cs="Arial"/>
            <w:color w:val="0000FF"/>
          </w:rPr>
          <w:t>n</w:t>
        </w:r>
        <w:r>
          <w:rPr>
            <w:rStyle w:val="Hyperlink"/>
            <w:rFonts w:eastAsia="Arial" w:cs="Arial"/>
            <w:color w:val="0000FF"/>
            <w:spacing w:val="-3"/>
          </w:rPr>
          <w:t>e</w:t>
        </w:r>
        <w:r>
          <w:rPr>
            <w:rStyle w:val="Hyperlink"/>
            <w:rFonts w:eastAsia="Arial" w:cs="Arial"/>
            <w:color w:val="0000FF"/>
          </w:rPr>
          <w:t>t</w:t>
        </w:r>
      </w:hyperlink>
      <w:r>
        <w:rPr>
          <w:rFonts w:eastAsia="Arial" w:cs="Arial"/>
          <w:color w:val="0000FF"/>
          <w:u w:val="single"/>
        </w:rPr>
        <w:t xml:space="preserve"> </w:t>
      </w:r>
      <w:r>
        <w:rPr>
          <w:rFonts w:eastAsia="Arial"/>
          <w:b/>
          <w:bCs/>
        </w:rPr>
        <w:t>Web</w:t>
      </w:r>
      <w:r>
        <w:rPr>
          <w:rFonts w:eastAsia="Arial"/>
          <w:b/>
          <w:bCs/>
          <w:spacing w:val="-1"/>
        </w:rPr>
        <w:t>si</w:t>
      </w:r>
      <w:r>
        <w:rPr>
          <w:rFonts w:eastAsia="Arial"/>
          <w:b/>
          <w:bCs/>
          <w:spacing w:val="1"/>
        </w:rPr>
        <w:t>t</w:t>
      </w:r>
      <w:r>
        <w:rPr>
          <w:rFonts w:eastAsia="Arial"/>
          <w:b/>
          <w:bCs/>
        </w:rPr>
        <w:t xml:space="preserve">e </w:t>
      </w:r>
      <w:r>
        <w:rPr>
          <w:rFonts w:eastAsia="Arial"/>
          <w:spacing w:val="-60"/>
        </w:rPr>
        <w:t xml:space="preserve"> </w:t>
      </w:r>
      <w:hyperlink r:id="rId19" w:history="1">
        <w:r>
          <w:rPr>
            <w:rStyle w:val="Hyperlink"/>
            <w:rFonts w:eastAsia="Arial" w:cs="Arial"/>
            <w:color w:val="0000FF"/>
            <w:spacing w:val="-3"/>
          </w:rPr>
          <w:t>w</w:t>
        </w:r>
        <w:r>
          <w:rPr>
            <w:rStyle w:val="Hyperlink"/>
            <w:rFonts w:eastAsia="Arial" w:cs="Arial"/>
            <w:color w:val="0000FF"/>
            <w:spacing w:val="-1"/>
          </w:rPr>
          <w:t>w</w:t>
        </w:r>
        <w:r>
          <w:rPr>
            <w:rStyle w:val="Hyperlink"/>
            <w:rFonts w:eastAsia="Arial" w:cs="Arial"/>
            <w:color w:val="0000FF"/>
            <w:spacing w:val="-3"/>
          </w:rPr>
          <w:t>w</w:t>
        </w:r>
        <w:r>
          <w:rPr>
            <w:rStyle w:val="Hyperlink"/>
            <w:rFonts w:eastAsia="Arial" w:cs="Arial"/>
            <w:color w:val="0000FF"/>
            <w:spacing w:val="1"/>
          </w:rPr>
          <w:t>.</w:t>
        </w:r>
        <w:r>
          <w:rPr>
            <w:rStyle w:val="Hyperlink"/>
            <w:rFonts w:eastAsia="Arial" w:cs="Arial"/>
            <w:color w:val="0000FF"/>
          </w:rPr>
          <w:t>h</w:t>
        </w:r>
        <w:r>
          <w:rPr>
            <w:rStyle w:val="Hyperlink"/>
            <w:rFonts w:eastAsia="Arial" w:cs="Arial"/>
            <w:color w:val="0000FF"/>
            <w:spacing w:val="-1"/>
          </w:rPr>
          <w:t>u</w:t>
        </w:r>
        <w:r>
          <w:rPr>
            <w:rStyle w:val="Hyperlink"/>
            <w:rFonts w:eastAsia="Arial" w:cs="Arial"/>
            <w:color w:val="0000FF"/>
            <w:spacing w:val="1"/>
          </w:rPr>
          <w:t>l</w:t>
        </w:r>
        <w:r>
          <w:rPr>
            <w:rStyle w:val="Hyperlink"/>
            <w:rFonts w:eastAsia="Arial" w:cs="Arial"/>
            <w:color w:val="0000FF"/>
            <w:spacing w:val="-1"/>
          </w:rPr>
          <w:t>l</w:t>
        </w:r>
        <w:r>
          <w:rPr>
            <w:rStyle w:val="Hyperlink"/>
            <w:rFonts w:eastAsia="Arial" w:cs="Arial"/>
            <w:color w:val="0000FF"/>
          </w:rPr>
          <w:t>cc</w:t>
        </w:r>
        <w:r>
          <w:rPr>
            <w:rStyle w:val="Hyperlink"/>
            <w:rFonts w:eastAsia="Arial" w:cs="Arial"/>
            <w:color w:val="0000FF"/>
            <w:spacing w:val="2"/>
          </w:rPr>
          <w:t>g</w:t>
        </w:r>
        <w:r>
          <w:rPr>
            <w:rStyle w:val="Hyperlink"/>
            <w:rFonts w:eastAsia="Arial" w:cs="Arial"/>
            <w:color w:val="0000FF"/>
            <w:spacing w:val="1"/>
          </w:rPr>
          <w:t>.</w:t>
        </w:r>
        <w:r>
          <w:rPr>
            <w:rStyle w:val="Hyperlink"/>
            <w:rFonts w:eastAsia="Arial" w:cs="Arial"/>
            <w:color w:val="0000FF"/>
          </w:rPr>
          <w:t>n</w:t>
        </w:r>
        <w:r>
          <w:rPr>
            <w:rStyle w:val="Hyperlink"/>
            <w:rFonts w:eastAsia="Arial" w:cs="Arial"/>
            <w:color w:val="0000FF"/>
            <w:spacing w:val="-3"/>
          </w:rPr>
          <w:t>h</w:t>
        </w:r>
        <w:r>
          <w:rPr>
            <w:rStyle w:val="Hyperlink"/>
            <w:rFonts w:eastAsia="Arial" w:cs="Arial"/>
            <w:color w:val="0000FF"/>
          </w:rPr>
          <w:t>s</w:t>
        </w:r>
        <w:r>
          <w:rPr>
            <w:rStyle w:val="Hyperlink"/>
            <w:rFonts w:eastAsia="Arial" w:cs="Arial"/>
            <w:color w:val="0000FF"/>
            <w:spacing w:val="1"/>
          </w:rPr>
          <w:t>.</w:t>
        </w:r>
        <w:r>
          <w:rPr>
            <w:rStyle w:val="Hyperlink"/>
            <w:rFonts w:eastAsia="Arial" w:cs="Arial"/>
            <w:color w:val="0000FF"/>
            <w:spacing w:val="-3"/>
          </w:rPr>
          <w:t>u</w:t>
        </w:r>
        <w:r>
          <w:rPr>
            <w:rStyle w:val="Hyperlink"/>
            <w:rFonts w:eastAsia="Arial" w:cs="Arial"/>
            <w:color w:val="0000FF"/>
          </w:rPr>
          <w:t>k</w:t>
        </w:r>
      </w:hyperlink>
      <w:r>
        <w:rPr>
          <w:rFonts w:eastAsia="Arial"/>
        </w:rPr>
        <w:t xml:space="preserve">  </w:t>
      </w:r>
      <w:r>
        <w:rPr>
          <w:rFonts w:eastAsia="Arial"/>
          <w:b/>
          <w:bCs/>
          <w:spacing w:val="-5"/>
        </w:rPr>
        <w:t>T</w:t>
      </w:r>
      <w:r>
        <w:rPr>
          <w:rFonts w:eastAsia="Arial"/>
          <w:b/>
          <w:bCs/>
          <w:spacing w:val="6"/>
        </w:rPr>
        <w:t>w</w:t>
      </w:r>
      <w:r>
        <w:rPr>
          <w:rFonts w:eastAsia="Arial"/>
          <w:b/>
          <w:bCs/>
          <w:spacing w:val="-1"/>
        </w:rPr>
        <w:t>i</w:t>
      </w:r>
      <w:r>
        <w:rPr>
          <w:rFonts w:eastAsia="Arial"/>
          <w:b/>
          <w:bCs/>
          <w:spacing w:val="1"/>
        </w:rPr>
        <w:t>tt</w:t>
      </w:r>
      <w:r>
        <w:rPr>
          <w:rFonts w:eastAsia="Arial"/>
          <w:b/>
          <w:bCs/>
          <w:spacing w:val="-3"/>
        </w:rPr>
        <w:t>e</w:t>
      </w:r>
      <w:r>
        <w:rPr>
          <w:rFonts w:eastAsia="Arial"/>
          <w:b/>
          <w:bCs/>
          <w:spacing w:val="1"/>
        </w:rPr>
        <w:t>r</w:t>
      </w:r>
      <w:r>
        <w:rPr>
          <w:rFonts w:eastAsia="Arial"/>
        </w:rPr>
        <w:t xml:space="preserve"> </w:t>
      </w:r>
      <w:hyperlink r:id="rId20" w:history="1">
        <w:r>
          <w:rPr>
            <w:rStyle w:val="Hyperlink"/>
            <w:rFonts w:eastAsia="Arial" w:cs="Arial"/>
            <w:color w:val="0000FF"/>
            <w:spacing w:val="-1"/>
          </w:rPr>
          <w:t>@NHSH</w:t>
        </w:r>
        <w:r>
          <w:rPr>
            <w:rStyle w:val="Hyperlink"/>
            <w:rFonts w:eastAsia="Arial" w:cs="Arial"/>
            <w:color w:val="0000FF"/>
          </w:rPr>
          <w:t>u</w:t>
        </w:r>
        <w:r>
          <w:rPr>
            <w:rStyle w:val="Hyperlink"/>
            <w:rFonts w:eastAsia="Arial" w:cs="Arial"/>
            <w:color w:val="0000FF"/>
            <w:spacing w:val="-1"/>
          </w:rPr>
          <w:t>llCC</w:t>
        </w:r>
        <w:r>
          <w:rPr>
            <w:rStyle w:val="Hyperlink"/>
            <w:rFonts w:eastAsia="Arial" w:cs="Arial"/>
            <w:color w:val="0000FF"/>
          </w:rPr>
          <w:t>G</w:t>
        </w:r>
      </w:hyperlink>
    </w:p>
    <w:p w14:paraId="1F85CCB6" w14:textId="359312A8" w:rsidR="00834764" w:rsidRPr="00D3113E" w:rsidRDefault="00834764" w:rsidP="00D3113E">
      <w:pPr>
        <w:spacing w:after="0"/>
        <w:rPr>
          <w:b/>
          <w:bCs/>
        </w:rPr>
      </w:pPr>
      <w:r w:rsidRPr="00D3113E">
        <w:rPr>
          <w:b/>
          <w:bCs/>
        </w:rPr>
        <w:t>How our money was spent</w:t>
      </w:r>
      <w:r w:rsidR="00663D03" w:rsidRPr="00D3113E">
        <w:rPr>
          <w:b/>
          <w:bCs/>
        </w:rPr>
        <w:t xml:space="preserve"> in </w:t>
      </w:r>
      <w:r w:rsidRPr="00D3113E">
        <w:rPr>
          <w:b/>
          <w:bCs/>
        </w:rPr>
        <w:t>202</w:t>
      </w:r>
      <w:r w:rsidR="00C94BA0" w:rsidRPr="00D3113E">
        <w:rPr>
          <w:b/>
          <w:bCs/>
        </w:rPr>
        <w:t>1</w:t>
      </w:r>
      <w:r w:rsidRPr="00D3113E">
        <w:rPr>
          <w:b/>
          <w:bCs/>
        </w:rPr>
        <w:t>-2</w:t>
      </w:r>
      <w:r w:rsidR="00C94BA0" w:rsidRPr="00D3113E">
        <w:rPr>
          <w:b/>
          <w:bCs/>
        </w:rPr>
        <w:t xml:space="preserve">2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985"/>
        <w:gridCol w:w="2373"/>
      </w:tblGrid>
      <w:tr w:rsidR="00C5666E" w:rsidRPr="00E74201" w14:paraId="1AE0F7EA" w14:textId="77777777" w:rsidTr="00C5666E">
        <w:trPr>
          <w:trHeight w:val="300"/>
          <w:jc w:val="center"/>
        </w:trPr>
        <w:tc>
          <w:tcPr>
            <w:tcW w:w="5807" w:type="dxa"/>
            <w:tcBorders>
              <w:top w:val="single" w:sz="4" w:space="0" w:color="auto"/>
              <w:left w:val="single" w:sz="4" w:space="0" w:color="auto"/>
              <w:bottom w:val="single" w:sz="4" w:space="0" w:color="auto"/>
              <w:right w:val="single" w:sz="4" w:space="0" w:color="auto"/>
            </w:tcBorders>
            <w:shd w:val="clear" w:color="auto" w:fill="8DB3E2" w:themeFill="text2" w:themeFillTint="66"/>
            <w:noWrap/>
            <w:hideMark/>
          </w:tcPr>
          <w:p w14:paraId="28CBA1F0" w14:textId="0C879F3B" w:rsidR="00C5666E" w:rsidRPr="00C5666E" w:rsidRDefault="00C5666E" w:rsidP="00D02E95">
            <w:pPr>
              <w:spacing w:after="0" w:line="240" w:lineRule="auto"/>
              <w:rPr>
                <w:rFonts w:eastAsia="Times New Roman"/>
                <w:b/>
                <w:sz w:val="18"/>
                <w:szCs w:val="18"/>
              </w:rPr>
            </w:pPr>
            <w:r w:rsidRPr="00C5666E">
              <w:rPr>
                <w:rFonts w:eastAsia="Times New Roman"/>
                <w:b/>
                <w:sz w:val="18"/>
                <w:szCs w:val="18"/>
              </w:rPr>
              <w:t>How our money was spent:</w:t>
            </w:r>
          </w:p>
        </w:tc>
        <w:tc>
          <w:tcPr>
            <w:tcW w:w="1985" w:type="dxa"/>
            <w:tcBorders>
              <w:top w:val="single" w:sz="4" w:space="0" w:color="auto"/>
              <w:left w:val="single" w:sz="4" w:space="0" w:color="auto"/>
              <w:bottom w:val="single" w:sz="4" w:space="0" w:color="auto"/>
              <w:right w:val="single" w:sz="4" w:space="0" w:color="auto"/>
            </w:tcBorders>
            <w:shd w:val="clear" w:color="auto" w:fill="8DB3E2" w:themeFill="text2" w:themeFillTint="66"/>
            <w:noWrap/>
            <w:hideMark/>
          </w:tcPr>
          <w:p w14:paraId="27104410" w14:textId="77777777" w:rsidR="00C5666E" w:rsidRPr="00C5666E" w:rsidRDefault="00C5666E" w:rsidP="00D02E95">
            <w:pPr>
              <w:spacing w:after="0" w:line="240" w:lineRule="auto"/>
              <w:rPr>
                <w:rFonts w:eastAsia="Times New Roman"/>
                <w:b/>
                <w:sz w:val="18"/>
                <w:szCs w:val="18"/>
              </w:rPr>
            </w:pPr>
            <w:r w:rsidRPr="00C5666E">
              <w:rPr>
                <w:rFonts w:eastAsia="Times New Roman"/>
                <w:b/>
                <w:sz w:val="18"/>
                <w:szCs w:val="18"/>
              </w:rPr>
              <w:t>£m</w:t>
            </w:r>
          </w:p>
        </w:tc>
        <w:tc>
          <w:tcPr>
            <w:tcW w:w="2373" w:type="dxa"/>
            <w:tcBorders>
              <w:top w:val="single" w:sz="4" w:space="0" w:color="auto"/>
              <w:left w:val="single" w:sz="4" w:space="0" w:color="auto"/>
              <w:bottom w:val="single" w:sz="4" w:space="0" w:color="auto"/>
              <w:right w:val="single" w:sz="4" w:space="0" w:color="auto"/>
            </w:tcBorders>
            <w:shd w:val="clear" w:color="auto" w:fill="8DB3E2" w:themeFill="text2" w:themeFillTint="66"/>
            <w:noWrap/>
          </w:tcPr>
          <w:p w14:paraId="360FE56B" w14:textId="196F74B2" w:rsidR="00C5666E" w:rsidRPr="00C5666E" w:rsidRDefault="00C5666E" w:rsidP="00D02E95">
            <w:pPr>
              <w:spacing w:after="0" w:line="240" w:lineRule="auto"/>
              <w:rPr>
                <w:rFonts w:eastAsia="Times New Roman"/>
                <w:b/>
                <w:sz w:val="18"/>
                <w:szCs w:val="18"/>
              </w:rPr>
            </w:pPr>
            <w:r w:rsidRPr="00C5666E">
              <w:rPr>
                <w:rFonts w:eastAsia="Times New Roman"/>
                <w:b/>
                <w:sz w:val="18"/>
                <w:szCs w:val="18"/>
              </w:rPr>
              <w:t>%</w:t>
            </w:r>
          </w:p>
        </w:tc>
      </w:tr>
      <w:tr w:rsidR="00C5666E" w:rsidRPr="00005A2D" w14:paraId="67AB8262" w14:textId="77777777" w:rsidTr="00C5666E">
        <w:trPr>
          <w:trHeight w:val="300"/>
          <w:jc w:val="center"/>
        </w:trPr>
        <w:tc>
          <w:tcPr>
            <w:tcW w:w="5807" w:type="dxa"/>
            <w:tcBorders>
              <w:top w:val="single" w:sz="4" w:space="0" w:color="auto"/>
              <w:left w:val="single" w:sz="4" w:space="0" w:color="auto"/>
              <w:bottom w:val="single" w:sz="4" w:space="0" w:color="auto"/>
              <w:right w:val="single" w:sz="4" w:space="0" w:color="auto"/>
            </w:tcBorders>
            <w:shd w:val="clear" w:color="auto" w:fill="auto"/>
            <w:noWrap/>
            <w:hideMark/>
          </w:tcPr>
          <w:p w14:paraId="43938EC5" w14:textId="77777777" w:rsidR="00C5666E" w:rsidRPr="00C5666E" w:rsidRDefault="00C5666E" w:rsidP="00D02E95">
            <w:pPr>
              <w:spacing w:after="0" w:line="240" w:lineRule="auto"/>
              <w:rPr>
                <w:rFonts w:eastAsia="Times New Roman"/>
                <w:bCs/>
                <w:sz w:val="18"/>
                <w:szCs w:val="18"/>
              </w:rPr>
            </w:pPr>
            <w:r w:rsidRPr="00C5666E">
              <w:rPr>
                <w:rFonts w:eastAsia="Times New Roman"/>
                <w:bCs/>
                <w:sz w:val="18"/>
                <w:szCs w:val="18"/>
              </w:rPr>
              <w:t>Hospital</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0ED8EF57" w14:textId="0FE5FA10" w:rsidR="00C5666E" w:rsidRPr="00C5666E" w:rsidRDefault="0043637C" w:rsidP="00D02E95">
            <w:pPr>
              <w:spacing w:after="0" w:line="240" w:lineRule="auto"/>
              <w:rPr>
                <w:rFonts w:eastAsia="Times New Roman"/>
                <w:bCs/>
                <w:sz w:val="18"/>
                <w:szCs w:val="18"/>
              </w:rPr>
            </w:pPr>
            <w:r>
              <w:rPr>
                <w:rFonts w:eastAsia="Times New Roman"/>
                <w:bCs/>
                <w:sz w:val="18"/>
                <w:szCs w:val="18"/>
              </w:rPr>
              <w:t>396.5</w:t>
            </w:r>
          </w:p>
        </w:tc>
        <w:tc>
          <w:tcPr>
            <w:tcW w:w="2373" w:type="dxa"/>
            <w:tcBorders>
              <w:top w:val="single" w:sz="4" w:space="0" w:color="auto"/>
              <w:left w:val="single" w:sz="4" w:space="0" w:color="auto"/>
              <w:bottom w:val="single" w:sz="4" w:space="0" w:color="auto"/>
              <w:right w:val="single" w:sz="4" w:space="0" w:color="auto"/>
            </w:tcBorders>
            <w:shd w:val="clear" w:color="auto" w:fill="auto"/>
            <w:noWrap/>
            <w:hideMark/>
          </w:tcPr>
          <w:p w14:paraId="336292EE" w14:textId="6463419C" w:rsidR="00C5666E" w:rsidRPr="00C5666E" w:rsidRDefault="0043637C" w:rsidP="00D02E95">
            <w:pPr>
              <w:spacing w:after="0" w:line="240" w:lineRule="auto"/>
              <w:rPr>
                <w:rFonts w:eastAsia="Times New Roman"/>
                <w:bCs/>
                <w:sz w:val="18"/>
                <w:szCs w:val="18"/>
              </w:rPr>
            </w:pPr>
            <w:r>
              <w:rPr>
                <w:rFonts w:eastAsia="Times New Roman"/>
                <w:bCs/>
                <w:sz w:val="18"/>
                <w:szCs w:val="18"/>
              </w:rPr>
              <w:t>55.6%</w:t>
            </w:r>
          </w:p>
        </w:tc>
      </w:tr>
      <w:tr w:rsidR="00C5666E" w:rsidRPr="00005A2D" w14:paraId="53DEB2E4" w14:textId="77777777" w:rsidTr="00C5666E">
        <w:trPr>
          <w:trHeight w:val="300"/>
          <w:jc w:val="center"/>
        </w:trPr>
        <w:tc>
          <w:tcPr>
            <w:tcW w:w="5807" w:type="dxa"/>
            <w:tcBorders>
              <w:top w:val="single" w:sz="4" w:space="0" w:color="auto"/>
              <w:left w:val="single" w:sz="4" w:space="0" w:color="auto"/>
              <w:bottom w:val="single" w:sz="4" w:space="0" w:color="auto"/>
              <w:right w:val="single" w:sz="4" w:space="0" w:color="auto"/>
            </w:tcBorders>
            <w:shd w:val="clear" w:color="auto" w:fill="auto"/>
            <w:noWrap/>
            <w:hideMark/>
          </w:tcPr>
          <w:p w14:paraId="39B5E635" w14:textId="7AF15919" w:rsidR="00C5666E" w:rsidRPr="00C5666E" w:rsidRDefault="00C5666E" w:rsidP="00D02E95">
            <w:pPr>
              <w:spacing w:after="0" w:line="240" w:lineRule="auto"/>
              <w:rPr>
                <w:rFonts w:eastAsia="Times New Roman"/>
                <w:bCs/>
                <w:sz w:val="18"/>
                <w:szCs w:val="18"/>
              </w:rPr>
            </w:pPr>
            <w:r w:rsidRPr="00C5666E">
              <w:rPr>
                <w:rFonts w:eastAsia="Times New Roman"/>
                <w:bCs/>
                <w:sz w:val="18"/>
                <w:szCs w:val="18"/>
              </w:rPr>
              <w:t xml:space="preserve">Community </w:t>
            </w:r>
            <w:r w:rsidR="00984AC9">
              <w:rPr>
                <w:rFonts w:eastAsia="Times New Roman"/>
                <w:bCs/>
                <w:sz w:val="18"/>
                <w:szCs w:val="18"/>
              </w:rPr>
              <w:t>s</w:t>
            </w:r>
            <w:r w:rsidRPr="00C5666E">
              <w:rPr>
                <w:rFonts w:eastAsia="Times New Roman"/>
                <w:bCs/>
                <w:sz w:val="18"/>
                <w:szCs w:val="18"/>
              </w:rPr>
              <w:t>ervices</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124D5BB8" w14:textId="3581B76C" w:rsidR="00C5666E" w:rsidRPr="00C5666E" w:rsidRDefault="00984AC9" w:rsidP="00D02E95">
            <w:pPr>
              <w:spacing w:after="0" w:line="240" w:lineRule="auto"/>
              <w:rPr>
                <w:rFonts w:eastAsia="Times New Roman"/>
                <w:bCs/>
                <w:sz w:val="18"/>
                <w:szCs w:val="18"/>
              </w:rPr>
            </w:pPr>
            <w:r>
              <w:rPr>
                <w:rFonts w:eastAsia="Times New Roman"/>
                <w:bCs/>
                <w:sz w:val="18"/>
                <w:szCs w:val="18"/>
              </w:rPr>
              <w:t>62.6</w:t>
            </w:r>
          </w:p>
        </w:tc>
        <w:tc>
          <w:tcPr>
            <w:tcW w:w="2373" w:type="dxa"/>
            <w:tcBorders>
              <w:top w:val="single" w:sz="4" w:space="0" w:color="auto"/>
              <w:left w:val="single" w:sz="4" w:space="0" w:color="auto"/>
              <w:bottom w:val="single" w:sz="4" w:space="0" w:color="auto"/>
              <w:right w:val="single" w:sz="4" w:space="0" w:color="auto"/>
            </w:tcBorders>
            <w:shd w:val="clear" w:color="auto" w:fill="auto"/>
            <w:noWrap/>
            <w:hideMark/>
          </w:tcPr>
          <w:p w14:paraId="3CC45ADD" w14:textId="71DF1D5E" w:rsidR="00C5666E" w:rsidRPr="00C5666E" w:rsidRDefault="00984AC9" w:rsidP="00D02E95">
            <w:pPr>
              <w:spacing w:after="0" w:line="240" w:lineRule="auto"/>
              <w:rPr>
                <w:rFonts w:eastAsia="Times New Roman"/>
                <w:bCs/>
                <w:sz w:val="18"/>
                <w:szCs w:val="18"/>
              </w:rPr>
            </w:pPr>
            <w:r>
              <w:rPr>
                <w:rFonts w:eastAsia="Times New Roman"/>
                <w:bCs/>
                <w:sz w:val="18"/>
                <w:szCs w:val="18"/>
              </w:rPr>
              <w:t>8.8%</w:t>
            </w:r>
          </w:p>
        </w:tc>
      </w:tr>
      <w:tr w:rsidR="00C5666E" w:rsidRPr="00005A2D" w14:paraId="0B128100" w14:textId="77777777" w:rsidTr="00C5666E">
        <w:trPr>
          <w:trHeight w:val="300"/>
          <w:jc w:val="center"/>
        </w:trPr>
        <w:tc>
          <w:tcPr>
            <w:tcW w:w="5807" w:type="dxa"/>
            <w:tcBorders>
              <w:top w:val="single" w:sz="4" w:space="0" w:color="auto"/>
              <w:left w:val="single" w:sz="4" w:space="0" w:color="auto"/>
              <w:bottom w:val="single" w:sz="4" w:space="0" w:color="auto"/>
              <w:right w:val="single" w:sz="4" w:space="0" w:color="auto"/>
            </w:tcBorders>
            <w:shd w:val="clear" w:color="auto" w:fill="auto"/>
            <w:noWrap/>
            <w:hideMark/>
          </w:tcPr>
          <w:p w14:paraId="2181B02B" w14:textId="10C5768D" w:rsidR="00C5666E" w:rsidRPr="00C5666E" w:rsidRDefault="00C5666E" w:rsidP="00D02E95">
            <w:pPr>
              <w:spacing w:after="0" w:line="240" w:lineRule="auto"/>
              <w:rPr>
                <w:rFonts w:eastAsia="Times New Roman"/>
                <w:bCs/>
                <w:sz w:val="18"/>
                <w:szCs w:val="18"/>
              </w:rPr>
            </w:pPr>
            <w:r w:rsidRPr="00C5666E">
              <w:rPr>
                <w:rFonts w:eastAsia="Times New Roman"/>
                <w:bCs/>
                <w:sz w:val="18"/>
                <w:szCs w:val="18"/>
              </w:rPr>
              <w:t xml:space="preserve">Prescribing / </w:t>
            </w:r>
            <w:r w:rsidR="00984AC9">
              <w:rPr>
                <w:rFonts w:eastAsia="Times New Roman"/>
                <w:bCs/>
                <w:sz w:val="18"/>
                <w:szCs w:val="18"/>
              </w:rPr>
              <w:t>d</w:t>
            </w:r>
            <w:r w:rsidRPr="00C5666E">
              <w:rPr>
                <w:rFonts w:eastAsia="Times New Roman"/>
                <w:bCs/>
                <w:sz w:val="18"/>
                <w:szCs w:val="18"/>
              </w:rPr>
              <w:t>rugs</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07502536" w14:textId="3DBD8694" w:rsidR="00C5666E" w:rsidRPr="00C5666E" w:rsidRDefault="00984AC9" w:rsidP="00D02E95">
            <w:pPr>
              <w:spacing w:after="0" w:line="240" w:lineRule="auto"/>
              <w:rPr>
                <w:rFonts w:eastAsia="Times New Roman"/>
                <w:bCs/>
                <w:sz w:val="18"/>
                <w:szCs w:val="18"/>
              </w:rPr>
            </w:pPr>
            <w:r>
              <w:rPr>
                <w:rFonts w:eastAsia="Times New Roman"/>
                <w:bCs/>
                <w:sz w:val="18"/>
                <w:szCs w:val="18"/>
              </w:rPr>
              <w:t>60</w:t>
            </w:r>
          </w:p>
        </w:tc>
        <w:tc>
          <w:tcPr>
            <w:tcW w:w="2373" w:type="dxa"/>
            <w:tcBorders>
              <w:top w:val="single" w:sz="4" w:space="0" w:color="auto"/>
              <w:left w:val="single" w:sz="4" w:space="0" w:color="auto"/>
              <w:bottom w:val="single" w:sz="4" w:space="0" w:color="auto"/>
              <w:right w:val="single" w:sz="4" w:space="0" w:color="auto"/>
            </w:tcBorders>
            <w:shd w:val="clear" w:color="auto" w:fill="auto"/>
            <w:noWrap/>
            <w:hideMark/>
          </w:tcPr>
          <w:p w14:paraId="28B035F3" w14:textId="248E5ED6" w:rsidR="00C5666E" w:rsidRPr="00C5666E" w:rsidRDefault="00984AC9" w:rsidP="00D02E95">
            <w:pPr>
              <w:spacing w:after="0" w:line="240" w:lineRule="auto"/>
              <w:rPr>
                <w:rFonts w:eastAsia="Times New Roman"/>
                <w:bCs/>
                <w:sz w:val="18"/>
                <w:szCs w:val="18"/>
              </w:rPr>
            </w:pPr>
            <w:r>
              <w:rPr>
                <w:rFonts w:eastAsia="Times New Roman"/>
                <w:bCs/>
                <w:sz w:val="18"/>
                <w:szCs w:val="18"/>
              </w:rPr>
              <w:t>8.4%</w:t>
            </w:r>
          </w:p>
        </w:tc>
      </w:tr>
      <w:tr w:rsidR="00C5666E" w:rsidRPr="00005A2D" w14:paraId="3433C8E5" w14:textId="77777777" w:rsidTr="00C5666E">
        <w:trPr>
          <w:trHeight w:val="300"/>
          <w:jc w:val="center"/>
        </w:trPr>
        <w:tc>
          <w:tcPr>
            <w:tcW w:w="5807" w:type="dxa"/>
            <w:tcBorders>
              <w:top w:val="single" w:sz="4" w:space="0" w:color="auto"/>
              <w:left w:val="single" w:sz="4" w:space="0" w:color="auto"/>
              <w:bottom w:val="single" w:sz="4" w:space="0" w:color="auto"/>
              <w:right w:val="single" w:sz="4" w:space="0" w:color="auto"/>
            </w:tcBorders>
            <w:shd w:val="clear" w:color="auto" w:fill="auto"/>
            <w:noWrap/>
            <w:hideMark/>
          </w:tcPr>
          <w:p w14:paraId="5FEB88AE" w14:textId="0FF8F105" w:rsidR="00C5666E" w:rsidRPr="00C5666E" w:rsidRDefault="00C5666E" w:rsidP="00D02E95">
            <w:pPr>
              <w:spacing w:after="0" w:line="240" w:lineRule="auto"/>
              <w:rPr>
                <w:rFonts w:eastAsia="Times New Roman"/>
                <w:bCs/>
                <w:sz w:val="18"/>
                <w:szCs w:val="18"/>
              </w:rPr>
            </w:pPr>
            <w:r w:rsidRPr="00C5666E">
              <w:rPr>
                <w:rFonts w:eastAsia="Times New Roman"/>
                <w:bCs/>
                <w:sz w:val="18"/>
                <w:szCs w:val="18"/>
              </w:rPr>
              <w:t xml:space="preserve">Mental </w:t>
            </w:r>
            <w:r w:rsidR="00984AC9">
              <w:rPr>
                <w:rFonts w:eastAsia="Times New Roman"/>
                <w:bCs/>
                <w:sz w:val="18"/>
                <w:szCs w:val="18"/>
              </w:rPr>
              <w:t>h</w:t>
            </w:r>
            <w:r w:rsidRPr="00C5666E">
              <w:rPr>
                <w:rFonts w:eastAsia="Times New Roman"/>
                <w:bCs/>
                <w:sz w:val="18"/>
                <w:szCs w:val="18"/>
              </w:rPr>
              <w:t>ealth</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69E77771" w14:textId="5481915A" w:rsidR="00C5666E" w:rsidRPr="00C5666E" w:rsidRDefault="00984AC9" w:rsidP="00D02E95">
            <w:pPr>
              <w:spacing w:after="0" w:line="240" w:lineRule="auto"/>
              <w:rPr>
                <w:rFonts w:eastAsia="Times New Roman"/>
                <w:bCs/>
                <w:sz w:val="18"/>
                <w:szCs w:val="18"/>
              </w:rPr>
            </w:pPr>
            <w:r>
              <w:rPr>
                <w:rFonts w:eastAsia="Times New Roman"/>
                <w:bCs/>
                <w:sz w:val="18"/>
                <w:szCs w:val="18"/>
              </w:rPr>
              <w:t>73.3</w:t>
            </w:r>
          </w:p>
        </w:tc>
        <w:tc>
          <w:tcPr>
            <w:tcW w:w="2373" w:type="dxa"/>
            <w:tcBorders>
              <w:top w:val="single" w:sz="4" w:space="0" w:color="auto"/>
              <w:left w:val="single" w:sz="4" w:space="0" w:color="auto"/>
              <w:bottom w:val="single" w:sz="4" w:space="0" w:color="auto"/>
              <w:right w:val="single" w:sz="4" w:space="0" w:color="auto"/>
            </w:tcBorders>
            <w:shd w:val="clear" w:color="auto" w:fill="auto"/>
            <w:noWrap/>
            <w:hideMark/>
          </w:tcPr>
          <w:p w14:paraId="6FDE0A08" w14:textId="05E7C3FA" w:rsidR="00C5666E" w:rsidRPr="00C5666E" w:rsidRDefault="00984AC9" w:rsidP="00D02E95">
            <w:pPr>
              <w:spacing w:after="0" w:line="240" w:lineRule="auto"/>
              <w:rPr>
                <w:rFonts w:eastAsia="Times New Roman"/>
                <w:bCs/>
                <w:sz w:val="18"/>
                <w:szCs w:val="18"/>
              </w:rPr>
            </w:pPr>
            <w:r>
              <w:rPr>
                <w:rFonts w:eastAsia="Times New Roman"/>
                <w:bCs/>
                <w:sz w:val="18"/>
                <w:szCs w:val="18"/>
              </w:rPr>
              <w:t>10.3%</w:t>
            </w:r>
          </w:p>
        </w:tc>
      </w:tr>
      <w:tr w:rsidR="00C5666E" w:rsidRPr="00005A2D" w14:paraId="327A6D7D" w14:textId="77777777" w:rsidTr="00C5666E">
        <w:trPr>
          <w:trHeight w:val="300"/>
          <w:jc w:val="center"/>
        </w:trPr>
        <w:tc>
          <w:tcPr>
            <w:tcW w:w="5807" w:type="dxa"/>
            <w:tcBorders>
              <w:top w:val="single" w:sz="4" w:space="0" w:color="auto"/>
              <w:left w:val="single" w:sz="4" w:space="0" w:color="auto"/>
              <w:bottom w:val="single" w:sz="4" w:space="0" w:color="auto"/>
              <w:right w:val="single" w:sz="4" w:space="0" w:color="auto"/>
            </w:tcBorders>
            <w:shd w:val="clear" w:color="auto" w:fill="auto"/>
            <w:noWrap/>
            <w:hideMark/>
          </w:tcPr>
          <w:p w14:paraId="41AED9ED" w14:textId="77777777" w:rsidR="00C5666E" w:rsidRPr="00C5666E" w:rsidRDefault="00C5666E" w:rsidP="00D02E95">
            <w:pPr>
              <w:spacing w:after="0" w:line="240" w:lineRule="auto"/>
              <w:rPr>
                <w:rFonts w:eastAsia="Times New Roman"/>
                <w:bCs/>
                <w:sz w:val="18"/>
                <w:szCs w:val="18"/>
              </w:rPr>
            </w:pPr>
            <w:r w:rsidRPr="00C5666E">
              <w:rPr>
                <w:rFonts w:eastAsia="Times New Roman"/>
                <w:bCs/>
                <w:sz w:val="18"/>
                <w:szCs w:val="18"/>
              </w:rPr>
              <w:t>Continuing Healthcare</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6BEB1FAE" w14:textId="03F89B9A" w:rsidR="00C5666E" w:rsidRPr="00C5666E" w:rsidRDefault="00984AC9" w:rsidP="00D02E95">
            <w:pPr>
              <w:spacing w:after="0" w:line="240" w:lineRule="auto"/>
              <w:rPr>
                <w:rFonts w:eastAsia="Times New Roman"/>
                <w:bCs/>
                <w:sz w:val="18"/>
                <w:szCs w:val="18"/>
              </w:rPr>
            </w:pPr>
            <w:r>
              <w:rPr>
                <w:rFonts w:eastAsia="Times New Roman"/>
                <w:bCs/>
                <w:sz w:val="18"/>
                <w:szCs w:val="18"/>
              </w:rPr>
              <w:t>26.5</w:t>
            </w:r>
          </w:p>
        </w:tc>
        <w:tc>
          <w:tcPr>
            <w:tcW w:w="2373" w:type="dxa"/>
            <w:tcBorders>
              <w:top w:val="single" w:sz="4" w:space="0" w:color="auto"/>
              <w:left w:val="single" w:sz="4" w:space="0" w:color="auto"/>
              <w:bottom w:val="single" w:sz="4" w:space="0" w:color="auto"/>
              <w:right w:val="single" w:sz="4" w:space="0" w:color="auto"/>
            </w:tcBorders>
            <w:shd w:val="clear" w:color="auto" w:fill="auto"/>
            <w:noWrap/>
            <w:hideMark/>
          </w:tcPr>
          <w:p w14:paraId="362B3419" w14:textId="724527FA" w:rsidR="00C5666E" w:rsidRPr="00C5666E" w:rsidRDefault="00984AC9" w:rsidP="00D02E95">
            <w:pPr>
              <w:spacing w:after="0" w:line="240" w:lineRule="auto"/>
              <w:rPr>
                <w:rFonts w:eastAsia="Times New Roman"/>
                <w:bCs/>
                <w:sz w:val="18"/>
                <w:szCs w:val="18"/>
              </w:rPr>
            </w:pPr>
            <w:r>
              <w:rPr>
                <w:rFonts w:eastAsia="Times New Roman"/>
                <w:bCs/>
                <w:sz w:val="18"/>
                <w:szCs w:val="18"/>
              </w:rPr>
              <w:t>3.7%</w:t>
            </w:r>
          </w:p>
        </w:tc>
      </w:tr>
      <w:tr w:rsidR="00C5666E" w:rsidRPr="00005A2D" w14:paraId="7CA9F181" w14:textId="77777777" w:rsidTr="00C5666E">
        <w:trPr>
          <w:trHeight w:val="300"/>
          <w:jc w:val="center"/>
        </w:trPr>
        <w:tc>
          <w:tcPr>
            <w:tcW w:w="5807" w:type="dxa"/>
            <w:tcBorders>
              <w:top w:val="single" w:sz="4" w:space="0" w:color="auto"/>
              <w:left w:val="single" w:sz="4" w:space="0" w:color="auto"/>
              <w:bottom w:val="single" w:sz="4" w:space="0" w:color="auto"/>
              <w:right w:val="single" w:sz="4" w:space="0" w:color="auto"/>
            </w:tcBorders>
            <w:shd w:val="clear" w:color="auto" w:fill="auto"/>
            <w:noWrap/>
            <w:hideMark/>
          </w:tcPr>
          <w:p w14:paraId="1DC7160D" w14:textId="333D728F" w:rsidR="00C5666E" w:rsidRPr="00C5666E" w:rsidRDefault="00C5666E" w:rsidP="00D02E95">
            <w:pPr>
              <w:spacing w:after="0" w:line="240" w:lineRule="auto"/>
              <w:rPr>
                <w:rFonts w:eastAsia="Times New Roman"/>
                <w:bCs/>
                <w:sz w:val="18"/>
                <w:szCs w:val="18"/>
              </w:rPr>
            </w:pPr>
            <w:r w:rsidRPr="00C5666E">
              <w:rPr>
                <w:rFonts w:eastAsia="Times New Roman"/>
                <w:bCs/>
                <w:sz w:val="18"/>
                <w:szCs w:val="18"/>
              </w:rPr>
              <w:t xml:space="preserve">Ambulance / </w:t>
            </w:r>
            <w:r w:rsidR="00984AC9">
              <w:rPr>
                <w:rFonts w:eastAsia="Times New Roman"/>
                <w:bCs/>
                <w:sz w:val="18"/>
                <w:szCs w:val="18"/>
              </w:rPr>
              <w:t>p</w:t>
            </w:r>
            <w:r w:rsidRPr="00C5666E">
              <w:rPr>
                <w:rFonts w:eastAsia="Times New Roman"/>
                <w:bCs/>
                <w:sz w:val="18"/>
                <w:szCs w:val="18"/>
              </w:rPr>
              <w:t xml:space="preserve">atient </w:t>
            </w:r>
            <w:r w:rsidR="00984AC9">
              <w:rPr>
                <w:rFonts w:eastAsia="Times New Roman"/>
                <w:bCs/>
                <w:sz w:val="18"/>
                <w:szCs w:val="18"/>
              </w:rPr>
              <w:t>t</w:t>
            </w:r>
            <w:r w:rsidRPr="00C5666E">
              <w:rPr>
                <w:rFonts w:eastAsia="Times New Roman"/>
                <w:bCs/>
                <w:sz w:val="18"/>
                <w:szCs w:val="18"/>
              </w:rPr>
              <w:t>ransport</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79A5A8B1" w14:textId="76046345" w:rsidR="00C5666E" w:rsidRPr="00C5666E" w:rsidRDefault="00984AC9" w:rsidP="00D02E95">
            <w:pPr>
              <w:spacing w:after="0" w:line="240" w:lineRule="auto"/>
              <w:rPr>
                <w:rFonts w:eastAsia="Times New Roman"/>
                <w:bCs/>
                <w:sz w:val="18"/>
                <w:szCs w:val="18"/>
              </w:rPr>
            </w:pPr>
            <w:r>
              <w:rPr>
                <w:rFonts w:eastAsia="Times New Roman"/>
                <w:bCs/>
                <w:sz w:val="18"/>
                <w:szCs w:val="18"/>
              </w:rPr>
              <w:t>17.0</w:t>
            </w:r>
          </w:p>
        </w:tc>
        <w:tc>
          <w:tcPr>
            <w:tcW w:w="2373" w:type="dxa"/>
            <w:tcBorders>
              <w:top w:val="single" w:sz="4" w:space="0" w:color="auto"/>
              <w:left w:val="single" w:sz="4" w:space="0" w:color="auto"/>
              <w:bottom w:val="single" w:sz="4" w:space="0" w:color="auto"/>
              <w:right w:val="single" w:sz="4" w:space="0" w:color="auto"/>
            </w:tcBorders>
            <w:shd w:val="clear" w:color="auto" w:fill="auto"/>
            <w:noWrap/>
            <w:hideMark/>
          </w:tcPr>
          <w:p w14:paraId="63458270" w14:textId="3C417832" w:rsidR="00C5666E" w:rsidRPr="00C5666E" w:rsidRDefault="00984AC9" w:rsidP="00D02E95">
            <w:pPr>
              <w:spacing w:after="0" w:line="240" w:lineRule="auto"/>
              <w:rPr>
                <w:rFonts w:eastAsia="Times New Roman"/>
                <w:bCs/>
                <w:sz w:val="18"/>
                <w:szCs w:val="18"/>
              </w:rPr>
            </w:pPr>
            <w:r>
              <w:rPr>
                <w:rFonts w:eastAsia="Times New Roman"/>
                <w:bCs/>
                <w:sz w:val="18"/>
                <w:szCs w:val="18"/>
              </w:rPr>
              <w:t>2.4%</w:t>
            </w:r>
          </w:p>
        </w:tc>
      </w:tr>
      <w:tr w:rsidR="00C5666E" w:rsidRPr="00005A2D" w14:paraId="57940D03" w14:textId="77777777" w:rsidTr="00C5666E">
        <w:trPr>
          <w:trHeight w:val="300"/>
          <w:jc w:val="center"/>
        </w:trPr>
        <w:tc>
          <w:tcPr>
            <w:tcW w:w="5807" w:type="dxa"/>
            <w:tcBorders>
              <w:top w:val="single" w:sz="4" w:space="0" w:color="auto"/>
              <w:left w:val="single" w:sz="4" w:space="0" w:color="auto"/>
              <w:bottom w:val="single" w:sz="4" w:space="0" w:color="auto"/>
              <w:right w:val="single" w:sz="4" w:space="0" w:color="auto"/>
            </w:tcBorders>
            <w:shd w:val="clear" w:color="auto" w:fill="auto"/>
            <w:noWrap/>
            <w:hideMark/>
          </w:tcPr>
          <w:p w14:paraId="1EA2D482" w14:textId="77777777" w:rsidR="00C5666E" w:rsidRPr="00C5666E" w:rsidRDefault="00C5666E" w:rsidP="00D02E95">
            <w:pPr>
              <w:spacing w:after="0" w:line="240" w:lineRule="auto"/>
              <w:rPr>
                <w:rFonts w:eastAsia="Times New Roman"/>
                <w:bCs/>
                <w:sz w:val="18"/>
                <w:szCs w:val="18"/>
              </w:rPr>
            </w:pPr>
            <w:r w:rsidRPr="00C5666E">
              <w:rPr>
                <w:rFonts w:eastAsia="Times New Roman"/>
                <w:bCs/>
                <w:sz w:val="18"/>
                <w:szCs w:val="18"/>
              </w:rPr>
              <w:t>Running Costs</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67BF2F67" w14:textId="1CE8E398" w:rsidR="00C5666E" w:rsidRPr="00C5666E" w:rsidRDefault="00984AC9" w:rsidP="00D02E95">
            <w:pPr>
              <w:spacing w:after="0" w:line="240" w:lineRule="auto"/>
              <w:rPr>
                <w:rFonts w:eastAsia="Times New Roman"/>
                <w:bCs/>
                <w:sz w:val="18"/>
                <w:szCs w:val="18"/>
              </w:rPr>
            </w:pPr>
            <w:r>
              <w:rPr>
                <w:rFonts w:eastAsia="Times New Roman"/>
                <w:bCs/>
                <w:sz w:val="18"/>
                <w:szCs w:val="18"/>
              </w:rPr>
              <w:t>4.9</w:t>
            </w:r>
          </w:p>
        </w:tc>
        <w:tc>
          <w:tcPr>
            <w:tcW w:w="2373" w:type="dxa"/>
            <w:tcBorders>
              <w:top w:val="single" w:sz="4" w:space="0" w:color="auto"/>
              <w:left w:val="single" w:sz="4" w:space="0" w:color="auto"/>
              <w:bottom w:val="single" w:sz="4" w:space="0" w:color="auto"/>
              <w:right w:val="single" w:sz="4" w:space="0" w:color="auto"/>
            </w:tcBorders>
            <w:shd w:val="clear" w:color="auto" w:fill="auto"/>
            <w:noWrap/>
            <w:hideMark/>
          </w:tcPr>
          <w:p w14:paraId="2C8A7AC1" w14:textId="77981CF2" w:rsidR="00C5666E" w:rsidRPr="00C5666E" w:rsidRDefault="00984AC9" w:rsidP="00D02E95">
            <w:pPr>
              <w:spacing w:after="0" w:line="240" w:lineRule="auto"/>
              <w:rPr>
                <w:rFonts w:eastAsia="Times New Roman"/>
                <w:bCs/>
                <w:sz w:val="18"/>
                <w:szCs w:val="18"/>
              </w:rPr>
            </w:pPr>
            <w:r>
              <w:rPr>
                <w:rFonts w:eastAsia="Times New Roman"/>
                <w:bCs/>
                <w:sz w:val="18"/>
                <w:szCs w:val="18"/>
              </w:rPr>
              <w:t>0.7%</w:t>
            </w:r>
          </w:p>
        </w:tc>
      </w:tr>
      <w:tr w:rsidR="00C5666E" w:rsidRPr="00005A2D" w14:paraId="46A43507" w14:textId="77777777" w:rsidTr="00C5666E">
        <w:trPr>
          <w:trHeight w:val="300"/>
          <w:jc w:val="center"/>
        </w:trPr>
        <w:tc>
          <w:tcPr>
            <w:tcW w:w="5807" w:type="dxa"/>
            <w:tcBorders>
              <w:top w:val="single" w:sz="4" w:space="0" w:color="auto"/>
              <w:left w:val="single" w:sz="4" w:space="0" w:color="auto"/>
              <w:bottom w:val="single" w:sz="4" w:space="0" w:color="auto"/>
              <w:right w:val="single" w:sz="4" w:space="0" w:color="auto"/>
            </w:tcBorders>
            <w:shd w:val="clear" w:color="auto" w:fill="auto"/>
            <w:noWrap/>
            <w:hideMark/>
          </w:tcPr>
          <w:p w14:paraId="65C41031" w14:textId="77777777" w:rsidR="00C5666E" w:rsidRPr="00C5666E" w:rsidRDefault="00C5666E" w:rsidP="00D02E95">
            <w:pPr>
              <w:spacing w:after="0" w:line="240" w:lineRule="auto"/>
              <w:rPr>
                <w:rFonts w:eastAsia="Times New Roman"/>
                <w:bCs/>
                <w:sz w:val="18"/>
                <w:szCs w:val="18"/>
              </w:rPr>
            </w:pPr>
            <w:r w:rsidRPr="00C5666E">
              <w:rPr>
                <w:rFonts w:eastAsia="Times New Roman"/>
                <w:bCs/>
                <w:sz w:val="18"/>
                <w:szCs w:val="18"/>
              </w:rPr>
              <w:t>Other</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2DAE1B6B" w14:textId="48C7A8D7" w:rsidR="00C5666E" w:rsidRPr="00C5666E" w:rsidRDefault="00984AC9" w:rsidP="00D02E95">
            <w:pPr>
              <w:spacing w:after="0" w:line="240" w:lineRule="auto"/>
              <w:rPr>
                <w:rFonts w:eastAsia="Times New Roman"/>
                <w:bCs/>
                <w:sz w:val="18"/>
                <w:szCs w:val="18"/>
              </w:rPr>
            </w:pPr>
            <w:r>
              <w:rPr>
                <w:rFonts w:eastAsia="Times New Roman"/>
                <w:bCs/>
                <w:sz w:val="18"/>
                <w:szCs w:val="18"/>
              </w:rPr>
              <w:t>13.2</w:t>
            </w:r>
          </w:p>
        </w:tc>
        <w:tc>
          <w:tcPr>
            <w:tcW w:w="2373" w:type="dxa"/>
            <w:tcBorders>
              <w:top w:val="single" w:sz="4" w:space="0" w:color="auto"/>
              <w:left w:val="single" w:sz="4" w:space="0" w:color="auto"/>
              <w:bottom w:val="single" w:sz="4" w:space="0" w:color="auto"/>
              <w:right w:val="single" w:sz="4" w:space="0" w:color="auto"/>
            </w:tcBorders>
            <w:shd w:val="clear" w:color="auto" w:fill="auto"/>
            <w:noWrap/>
            <w:hideMark/>
          </w:tcPr>
          <w:p w14:paraId="0B5E95C4" w14:textId="5EE0633E" w:rsidR="00C5666E" w:rsidRPr="00C5666E" w:rsidRDefault="00984AC9" w:rsidP="00D02E95">
            <w:pPr>
              <w:spacing w:after="0" w:line="240" w:lineRule="auto"/>
              <w:rPr>
                <w:rFonts w:eastAsia="Times New Roman"/>
                <w:bCs/>
                <w:sz w:val="18"/>
                <w:szCs w:val="18"/>
              </w:rPr>
            </w:pPr>
            <w:r>
              <w:rPr>
                <w:rFonts w:eastAsia="Times New Roman"/>
                <w:bCs/>
                <w:sz w:val="18"/>
                <w:szCs w:val="18"/>
              </w:rPr>
              <w:t>1.8%</w:t>
            </w:r>
          </w:p>
        </w:tc>
      </w:tr>
      <w:tr w:rsidR="00C5666E" w:rsidRPr="00005A2D" w14:paraId="713CA664" w14:textId="77777777" w:rsidTr="00C5666E">
        <w:trPr>
          <w:trHeight w:val="300"/>
          <w:jc w:val="center"/>
        </w:trPr>
        <w:tc>
          <w:tcPr>
            <w:tcW w:w="5807" w:type="dxa"/>
            <w:tcBorders>
              <w:top w:val="single" w:sz="4" w:space="0" w:color="auto"/>
              <w:left w:val="single" w:sz="4" w:space="0" w:color="auto"/>
              <w:bottom w:val="single" w:sz="4" w:space="0" w:color="auto"/>
              <w:right w:val="single" w:sz="4" w:space="0" w:color="auto"/>
            </w:tcBorders>
            <w:shd w:val="clear" w:color="auto" w:fill="auto"/>
            <w:noWrap/>
            <w:hideMark/>
          </w:tcPr>
          <w:p w14:paraId="2493298F" w14:textId="77777777" w:rsidR="00C5666E" w:rsidRPr="00C5666E" w:rsidRDefault="00C5666E" w:rsidP="00D02E95">
            <w:pPr>
              <w:spacing w:after="0" w:line="240" w:lineRule="auto"/>
              <w:rPr>
                <w:rFonts w:eastAsia="Times New Roman"/>
                <w:bCs/>
                <w:sz w:val="18"/>
                <w:szCs w:val="18"/>
              </w:rPr>
            </w:pPr>
            <w:r w:rsidRPr="00C5666E">
              <w:rPr>
                <w:rFonts w:eastAsia="Times New Roman"/>
                <w:bCs/>
                <w:sz w:val="18"/>
                <w:szCs w:val="18"/>
              </w:rPr>
              <w:t>Primary Care</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3CAE0886" w14:textId="2EA704DA" w:rsidR="00C5666E" w:rsidRPr="00C5666E" w:rsidRDefault="00D560E2" w:rsidP="00D02E95">
            <w:pPr>
              <w:spacing w:after="0" w:line="240" w:lineRule="auto"/>
              <w:rPr>
                <w:rFonts w:eastAsia="Times New Roman"/>
                <w:bCs/>
                <w:sz w:val="18"/>
                <w:szCs w:val="18"/>
              </w:rPr>
            </w:pPr>
            <w:r>
              <w:rPr>
                <w:rFonts w:eastAsia="Times New Roman"/>
                <w:bCs/>
                <w:sz w:val="18"/>
                <w:szCs w:val="18"/>
              </w:rPr>
              <w:t>54.5</w:t>
            </w:r>
          </w:p>
        </w:tc>
        <w:tc>
          <w:tcPr>
            <w:tcW w:w="2373" w:type="dxa"/>
            <w:tcBorders>
              <w:top w:val="single" w:sz="4" w:space="0" w:color="auto"/>
              <w:left w:val="single" w:sz="4" w:space="0" w:color="auto"/>
              <w:bottom w:val="single" w:sz="4" w:space="0" w:color="auto"/>
              <w:right w:val="single" w:sz="4" w:space="0" w:color="auto"/>
            </w:tcBorders>
            <w:shd w:val="clear" w:color="auto" w:fill="auto"/>
            <w:noWrap/>
            <w:hideMark/>
          </w:tcPr>
          <w:p w14:paraId="7B89D1A5" w14:textId="33165FEE" w:rsidR="00C5666E" w:rsidRPr="00C5666E" w:rsidRDefault="00D560E2" w:rsidP="00D02E95">
            <w:pPr>
              <w:spacing w:after="0" w:line="240" w:lineRule="auto"/>
              <w:rPr>
                <w:rFonts w:eastAsia="Times New Roman"/>
                <w:bCs/>
                <w:sz w:val="18"/>
                <w:szCs w:val="18"/>
              </w:rPr>
            </w:pPr>
            <w:r>
              <w:rPr>
                <w:rFonts w:eastAsia="Times New Roman"/>
                <w:bCs/>
                <w:sz w:val="18"/>
                <w:szCs w:val="18"/>
              </w:rPr>
              <w:t>7.6%</w:t>
            </w:r>
          </w:p>
        </w:tc>
      </w:tr>
      <w:tr w:rsidR="00C5666E" w:rsidRPr="00005A2D" w14:paraId="1882F750" w14:textId="77777777" w:rsidTr="00C5666E">
        <w:trPr>
          <w:trHeight w:val="300"/>
          <w:jc w:val="center"/>
        </w:trPr>
        <w:tc>
          <w:tcPr>
            <w:tcW w:w="5807" w:type="dxa"/>
            <w:tcBorders>
              <w:top w:val="single" w:sz="4" w:space="0" w:color="auto"/>
              <w:left w:val="single" w:sz="4" w:space="0" w:color="auto"/>
              <w:bottom w:val="single" w:sz="4" w:space="0" w:color="auto"/>
              <w:right w:val="single" w:sz="4" w:space="0" w:color="auto"/>
            </w:tcBorders>
            <w:shd w:val="clear" w:color="auto" w:fill="auto"/>
            <w:noWrap/>
            <w:hideMark/>
          </w:tcPr>
          <w:p w14:paraId="3EC8497B" w14:textId="77777777" w:rsidR="00C5666E" w:rsidRPr="00C5666E" w:rsidRDefault="00C5666E" w:rsidP="00D02E95">
            <w:pPr>
              <w:spacing w:after="0" w:line="240" w:lineRule="auto"/>
              <w:rPr>
                <w:rFonts w:eastAsia="Times New Roman"/>
                <w:bCs/>
                <w:sz w:val="18"/>
                <w:szCs w:val="18"/>
              </w:rPr>
            </w:pPr>
            <w:r w:rsidRPr="00C5666E">
              <w:rPr>
                <w:rFonts w:eastAsia="Times New Roman"/>
                <w:bCs/>
                <w:sz w:val="18"/>
                <w:szCs w:val="18"/>
              </w:rPr>
              <w:t>Property Charges</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24B7D6F7" w14:textId="13D7111B" w:rsidR="00C5666E" w:rsidRPr="00C5666E" w:rsidRDefault="00D560E2" w:rsidP="00D02E95">
            <w:pPr>
              <w:spacing w:after="0" w:line="240" w:lineRule="auto"/>
              <w:rPr>
                <w:rFonts w:eastAsia="Times New Roman"/>
                <w:bCs/>
                <w:sz w:val="18"/>
                <w:szCs w:val="18"/>
              </w:rPr>
            </w:pPr>
            <w:r>
              <w:rPr>
                <w:rFonts w:eastAsia="Times New Roman"/>
                <w:bCs/>
                <w:sz w:val="18"/>
                <w:szCs w:val="18"/>
              </w:rPr>
              <w:t>4.8</w:t>
            </w:r>
          </w:p>
        </w:tc>
        <w:tc>
          <w:tcPr>
            <w:tcW w:w="2373" w:type="dxa"/>
            <w:tcBorders>
              <w:top w:val="single" w:sz="4" w:space="0" w:color="auto"/>
              <w:left w:val="single" w:sz="4" w:space="0" w:color="auto"/>
              <w:bottom w:val="single" w:sz="4" w:space="0" w:color="auto"/>
              <w:right w:val="single" w:sz="4" w:space="0" w:color="auto"/>
            </w:tcBorders>
            <w:shd w:val="clear" w:color="auto" w:fill="auto"/>
            <w:noWrap/>
            <w:hideMark/>
          </w:tcPr>
          <w:p w14:paraId="3BBE8F0F" w14:textId="509FA788" w:rsidR="00C5666E" w:rsidRPr="00C5666E" w:rsidRDefault="00D560E2" w:rsidP="00D02E95">
            <w:pPr>
              <w:spacing w:after="0" w:line="240" w:lineRule="auto"/>
              <w:rPr>
                <w:rFonts w:eastAsia="Times New Roman"/>
                <w:bCs/>
                <w:sz w:val="18"/>
                <w:szCs w:val="18"/>
              </w:rPr>
            </w:pPr>
            <w:r>
              <w:rPr>
                <w:rFonts w:eastAsia="Times New Roman"/>
                <w:bCs/>
                <w:sz w:val="18"/>
                <w:szCs w:val="18"/>
              </w:rPr>
              <w:t>0.7%</w:t>
            </w:r>
          </w:p>
        </w:tc>
      </w:tr>
      <w:tr w:rsidR="00C5666E" w:rsidRPr="00005A2D" w14:paraId="3B9A6DAA" w14:textId="77777777" w:rsidTr="00C5666E">
        <w:trPr>
          <w:trHeight w:val="300"/>
          <w:jc w:val="center"/>
        </w:trPr>
        <w:tc>
          <w:tcPr>
            <w:tcW w:w="5807" w:type="dxa"/>
            <w:tcBorders>
              <w:top w:val="single" w:sz="4" w:space="0" w:color="auto"/>
              <w:left w:val="single" w:sz="4" w:space="0" w:color="auto"/>
              <w:bottom w:val="single" w:sz="4" w:space="0" w:color="auto"/>
              <w:right w:val="single" w:sz="4" w:space="0" w:color="auto"/>
            </w:tcBorders>
            <w:shd w:val="clear" w:color="auto" w:fill="auto"/>
            <w:noWrap/>
            <w:hideMark/>
          </w:tcPr>
          <w:p w14:paraId="735668C3" w14:textId="77777777" w:rsidR="00C5666E" w:rsidRPr="00C5666E" w:rsidRDefault="00C5666E" w:rsidP="00D02E95">
            <w:pPr>
              <w:spacing w:after="0" w:line="240" w:lineRule="auto"/>
              <w:rPr>
                <w:rFonts w:eastAsia="Times New Roman"/>
                <w:bCs/>
                <w:sz w:val="18"/>
                <w:szCs w:val="18"/>
              </w:rPr>
            </w:pPr>
            <w:r w:rsidRPr="00C5666E">
              <w:rPr>
                <w:rFonts w:eastAsia="Times New Roman"/>
                <w:bCs/>
                <w:sz w:val="18"/>
                <w:szCs w:val="18"/>
              </w:rPr>
              <w:t>In Year Surplus</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54FE0397" w14:textId="783D10DB" w:rsidR="00C5666E" w:rsidRPr="00C5666E" w:rsidRDefault="00D560E2" w:rsidP="00D02E95">
            <w:pPr>
              <w:spacing w:after="0" w:line="240" w:lineRule="auto"/>
              <w:rPr>
                <w:rFonts w:eastAsia="Times New Roman"/>
                <w:bCs/>
                <w:sz w:val="18"/>
                <w:szCs w:val="18"/>
              </w:rPr>
            </w:pPr>
            <w:r>
              <w:rPr>
                <w:rFonts w:eastAsia="Times New Roman"/>
                <w:bCs/>
                <w:sz w:val="18"/>
                <w:szCs w:val="18"/>
              </w:rPr>
              <w:t>0.1</w:t>
            </w:r>
          </w:p>
        </w:tc>
        <w:tc>
          <w:tcPr>
            <w:tcW w:w="2373" w:type="dxa"/>
            <w:tcBorders>
              <w:top w:val="single" w:sz="4" w:space="0" w:color="auto"/>
              <w:left w:val="single" w:sz="4" w:space="0" w:color="auto"/>
              <w:bottom w:val="single" w:sz="4" w:space="0" w:color="auto"/>
              <w:right w:val="single" w:sz="4" w:space="0" w:color="auto"/>
            </w:tcBorders>
            <w:shd w:val="clear" w:color="auto" w:fill="auto"/>
            <w:noWrap/>
            <w:hideMark/>
          </w:tcPr>
          <w:p w14:paraId="2FDC9059" w14:textId="3368B53E" w:rsidR="00C5666E" w:rsidRPr="00C5666E" w:rsidRDefault="00C5666E" w:rsidP="00D02E95">
            <w:pPr>
              <w:spacing w:after="0" w:line="240" w:lineRule="auto"/>
              <w:rPr>
                <w:rFonts w:eastAsia="Times New Roman"/>
                <w:bCs/>
                <w:sz w:val="18"/>
                <w:szCs w:val="18"/>
              </w:rPr>
            </w:pPr>
            <w:r w:rsidRPr="00C5666E">
              <w:rPr>
                <w:rFonts w:eastAsia="Times New Roman"/>
                <w:bCs/>
                <w:sz w:val="18"/>
                <w:szCs w:val="18"/>
              </w:rPr>
              <w:t>0</w:t>
            </w:r>
            <w:r w:rsidR="00D560E2">
              <w:rPr>
                <w:rFonts w:eastAsia="Times New Roman"/>
                <w:bCs/>
                <w:sz w:val="18"/>
                <w:szCs w:val="18"/>
              </w:rPr>
              <w:t>.0</w:t>
            </w:r>
            <w:r w:rsidRPr="00C5666E">
              <w:rPr>
                <w:rFonts w:eastAsia="Times New Roman"/>
                <w:bCs/>
                <w:sz w:val="18"/>
                <w:szCs w:val="18"/>
              </w:rPr>
              <w:t>%</w:t>
            </w:r>
          </w:p>
        </w:tc>
      </w:tr>
      <w:tr w:rsidR="00C5666E" w:rsidRPr="00957E6C" w14:paraId="4958DA7A" w14:textId="77777777" w:rsidTr="00C5666E">
        <w:trPr>
          <w:trHeight w:val="300"/>
          <w:jc w:val="center"/>
        </w:trPr>
        <w:tc>
          <w:tcPr>
            <w:tcW w:w="5807" w:type="dxa"/>
            <w:tcBorders>
              <w:top w:val="single" w:sz="4" w:space="0" w:color="auto"/>
              <w:left w:val="single" w:sz="4" w:space="0" w:color="auto"/>
              <w:bottom w:val="single" w:sz="4" w:space="0" w:color="auto"/>
              <w:right w:val="single" w:sz="4" w:space="0" w:color="auto"/>
            </w:tcBorders>
            <w:shd w:val="clear" w:color="auto" w:fill="auto"/>
            <w:noWrap/>
            <w:hideMark/>
          </w:tcPr>
          <w:p w14:paraId="2E6DE99A" w14:textId="77777777" w:rsidR="00C5666E" w:rsidRPr="00C5666E" w:rsidRDefault="00C5666E" w:rsidP="00D02E95">
            <w:pPr>
              <w:spacing w:after="0" w:line="240" w:lineRule="auto"/>
              <w:rPr>
                <w:rFonts w:eastAsia="Times New Roman"/>
                <w:b/>
                <w:sz w:val="18"/>
                <w:szCs w:val="18"/>
              </w:rPr>
            </w:pPr>
            <w:r w:rsidRPr="00C5666E">
              <w:rPr>
                <w:rFonts w:eastAsia="Times New Roman"/>
                <w:b/>
                <w:sz w:val="18"/>
                <w:szCs w:val="18"/>
              </w:rPr>
              <w:t>Grand Total</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49A7806D" w14:textId="3645F9F6" w:rsidR="00C5666E" w:rsidRPr="00C5666E" w:rsidRDefault="00D560E2" w:rsidP="00D02E95">
            <w:pPr>
              <w:spacing w:after="0" w:line="240" w:lineRule="auto"/>
              <w:rPr>
                <w:rFonts w:eastAsia="Times New Roman"/>
                <w:b/>
                <w:sz w:val="18"/>
                <w:szCs w:val="18"/>
              </w:rPr>
            </w:pPr>
            <w:r>
              <w:rPr>
                <w:rFonts w:eastAsia="Times New Roman"/>
                <w:b/>
                <w:sz w:val="18"/>
                <w:szCs w:val="18"/>
              </w:rPr>
              <w:t>713.5</w:t>
            </w:r>
          </w:p>
        </w:tc>
        <w:tc>
          <w:tcPr>
            <w:tcW w:w="2373" w:type="dxa"/>
            <w:tcBorders>
              <w:top w:val="single" w:sz="4" w:space="0" w:color="auto"/>
              <w:left w:val="single" w:sz="4" w:space="0" w:color="auto"/>
              <w:bottom w:val="single" w:sz="4" w:space="0" w:color="auto"/>
              <w:right w:val="single" w:sz="4" w:space="0" w:color="auto"/>
            </w:tcBorders>
            <w:shd w:val="clear" w:color="auto" w:fill="auto"/>
            <w:noWrap/>
            <w:hideMark/>
          </w:tcPr>
          <w:p w14:paraId="39F6BA60" w14:textId="77777777" w:rsidR="00C5666E" w:rsidRPr="00C5666E" w:rsidRDefault="00C5666E" w:rsidP="00D02E95">
            <w:pPr>
              <w:spacing w:after="0" w:line="240" w:lineRule="auto"/>
              <w:rPr>
                <w:rFonts w:eastAsia="Times New Roman"/>
                <w:b/>
                <w:sz w:val="18"/>
                <w:szCs w:val="18"/>
              </w:rPr>
            </w:pPr>
            <w:r w:rsidRPr="00C5666E">
              <w:rPr>
                <w:rFonts w:eastAsia="Times New Roman"/>
                <w:b/>
                <w:sz w:val="18"/>
                <w:szCs w:val="18"/>
              </w:rPr>
              <w:t>100%</w:t>
            </w:r>
          </w:p>
        </w:tc>
      </w:tr>
    </w:tbl>
    <w:p w14:paraId="5F0EC3FD" w14:textId="3C0274C1" w:rsidR="00E35CAD" w:rsidRPr="00D560E2" w:rsidRDefault="00E35CAD" w:rsidP="00B71FAD">
      <w:pPr>
        <w:pStyle w:val="Heading2"/>
      </w:pPr>
      <w:bookmarkStart w:id="11" w:name="_Toc468966563"/>
      <w:bookmarkStart w:id="12" w:name="_Toc512957140"/>
      <w:bookmarkStart w:id="13" w:name="_Toc103695015"/>
      <w:bookmarkEnd w:id="10"/>
      <w:r w:rsidRPr="00B14EE4">
        <w:lastRenderedPageBreak/>
        <w:t>Performance Overview</w:t>
      </w:r>
      <w:bookmarkEnd w:id="11"/>
      <w:r w:rsidRPr="00B14EE4">
        <w:t xml:space="preserve"> </w:t>
      </w:r>
      <w:r w:rsidR="001B17E6">
        <w:t>202</w:t>
      </w:r>
      <w:r w:rsidR="00C94BA0">
        <w:t>1</w:t>
      </w:r>
      <w:r w:rsidR="001B17E6">
        <w:t>-2</w:t>
      </w:r>
      <w:r w:rsidR="00C94BA0">
        <w:t>2</w:t>
      </w:r>
      <w:r w:rsidRPr="00B14EE4">
        <w:t xml:space="preserve"> </w:t>
      </w:r>
      <w:r w:rsidR="00B14EE4" w:rsidRPr="00B14EE4">
        <w:t>from</w:t>
      </w:r>
      <w:r w:rsidRPr="00B14EE4">
        <w:t xml:space="preserve"> Emma Latimer, </w:t>
      </w:r>
      <w:r w:rsidR="006439A6" w:rsidRPr="00B14EE4">
        <w:t>Accountable</w:t>
      </w:r>
      <w:r w:rsidRPr="00B14EE4">
        <w:t xml:space="preserve"> Officer</w:t>
      </w:r>
      <w:bookmarkEnd w:id="12"/>
      <w:bookmarkEnd w:id="13"/>
    </w:p>
    <w:p w14:paraId="0B95F9D8" w14:textId="77777777" w:rsidR="00806E77" w:rsidRPr="00806E77" w:rsidRDefault="00806E77" w:rsidP="009E2D5F">
      <w:pPr>
        <w:rPr>
          <w:rFonts w:eastAsia="Arial" w:cs="Arial"/>
          <w:b/>
          <w:bCs/>
        </w:rPr>
      </w:pPr>
      <w:r w:rsidRPr="00806E77">
        <w:rPr>
          <w:rFonts w:eastAsia="Arial" w:cs="Arial"/>
          <w:b/>
          <w:bCs/>
        </w:rPr>
        <w:t>Introduction</w:t>
      </w:r>
    </w:p>
    <w:p w14:paraId="5481A085" w14:textId="06E06F8C" w:rsidR="00CA622E" w:rsidRDefault="00CA622E" w:rsidP="009E2D5F">
      <w:pPr>
        <w:rPr>
          <w:rFonts w:eastAsia="Arial" w:cs="Arial"/>
        </w:rPr>
      </w:pPr>
      <w:r w:rsidRPr="00A558A4">
        <w:rPr>
          <w:rFonts w:eastAsia="Arial" w:cs="Arial"/>
        </w:rPr>
        <w:t xml:space="preserve">The </w:t>
      </w:r>
      <w:r w:rsidR="006439A6" w:rsidRPr="00A558A4">
        <w:rPr>
          <w:rFonts w:eastAsia="Arial" w:cs="Arial"/>
        </w:rPr>
        <w:t>Accountable</w:t>
      </w:r>
      <w:r w:rsidRPr="00A558A4">
        <w:rPr>
          <w:rFonts w:eastAsia="Arial" w:cs="Arial"/>
        </w:rPr>
        <w:t xml:space="preserve"> Officer’s Performance Overview highlights our key programmes of work, service transformation and performance during </w:t>
      </w:r>
      <w:r w:rsidR="001B17E6">
        <w:rPr>
          <w:rFonts w:eastAsia="Arial" w:cs="Arial"/>
        </w:rPr>
        <w:t>202</w:t>
      </w:r>
      <w:r w:rsidR="00814EAD">
        <w:rPr>
          <w:rFonts w:eastAsia="Arial" w:cs="Arial"/>
        </w:rPr>
        <w:t>1</w:t>
      </w:r>
      <w:r w:rsidR="001B17E6">
        <w:rPr>
          <w:rFonts w:eastAsia="Arial" w:cs="Arial"/>
        </w:rPr>
        <w:t>-2</w:t>
      </w:r>
      <w:r w:rsidR="00814EAD">
        <w:rPr>
          <w:rFonts w:eastAsia="Arial" w:cs="Arial"/>
        </w:rPr>
        <w:t>2</w:t>
      </w:r>
      <w:r w:rsidRPr="00A558A4">
        <w:rPr>
          <w:rFonts w:eastAsia="Arial" w:cs="Arial"/>
        </w:rPr>
        <w:t xml:space="preserve"> and explains how we are working – with our partners and the people of Hull – to improve health in our city.</w:t>
      </w:r>
    </w:p>
    <w:p w14:paraId="4F2FDE64" w14:textId="14C02899" w:rsidR="00806E77" w:rsidRPr="001C6931" w:rsidRDefault="00806E77" w:rsidP="00992CA0">
      <w:pPr>
        <w:spacing w:after="0"/>
      </w:pPr>
      <w:r w:rsidRPr="001C6931">
        <w:t xml:space="preserve">The NHS England and NHS Improvement Operational Planning Guidance for 2022-23 sets out </w:t>
      </w:r>
      <w:r>
        <w:t>NHS</w:t>
      </w:r>
      <w:r w:rsidRPr="001C6931">
        <w:t xml:space="preserve"> priorities for the year ahead. This guidance reconfirms the ongoing need to restore services, meet new care demands and reduce the care backlogs that are a direct consequence of the pandemic. In this context, it is asking systems to focus on the following priorities for 2022-23:</w:t>
      </w:r>
    </w:p>
    <w:p w14:paraId="7A738155" w14:textId="206852C8" w:rsidR="00806E77" w:rsidRPr="001C6931" w:rsidRDefault="00806E77" w:rsidP="0062761B">
      <w:pPr>
        <w:pStyle w:val="ListParagraph"/>
        <w:numPr>
          <w:ilvl w:val="0"/>
          <w:numId w:val="20"/>
        </w:numPr>
      </w:pPr>
      <w:r w:rsidRPr="001C6931">
        <w:t>Supporting staff and growing the workforce</w:t>
      </w:r>
    </w:p>
    <w:p w14:paraId="713C542A" w14:textId="71B6EFF7" w:rsidR="00806E77" w:rsidRPr="001875E4" w:rsidRDefault="00806E77" w:rsidP="0062761B">
      <w:pPr>
        <w:pStyle w:val="ListParagraph"/>
        <w:numPr>
          <w:ilvl w:val="0"/>
          <w:numId w:val="20"/>
        </w:numPr>
      </w:pPr>
      <w:r w:rsidRPr="001875E4">
        <w:t xml:space="preserve">Respond to COVID-19 ever more effectively </w:t>
      </w:r>
    </w:p>
    <w:p w14:paraId="6A12714D" w14:textId="5DAD30BE" w:rsidR="00806E77" w:rsidRPr="001875E4" w:rsidRDefault="00806E77" w:rsidP="0062761B">
      <w:pPr>
        <w:pStyle w:val="ListParagraph"/>
        <w:numPr>
          <w:ilvl w:val="0"/>
          <w:numId w:val="20"/>
        </w:numPr>
      </w:pPr>
      <w:r w:rsidRPr="001875E4">
        <w:t>Deliver</w:t>
      </w:r>
      <w:r w:rsidR="00992CA0">
        <w:t>ing</w:t>
      </w:r>
      <w:r w:rsidRPr="001875E4">
        <w:t xml:space="preserve"> significantly more elective care to tackle the elective backlog</w:t>
      </w:r>
    </w:p>
    <w:p w14:paraId="6091954D" w14:textId="77777777" w:rsidR="00806E77" w:rsidRPr="001875E4" w:rsidRDefault="00806E77" w:rsidP="0062761B">
      <w:pPr>
        <w:pStyle w:val="ListParagraph"/>
        <w:numPr>
          <w:ilvl w:val="0"/>
          <w:numId w:val="20"/>
        </w:numPr>
      </w:pPr>
      <w:r w:rsidRPr="001875E4">
        <w:t>Improve the responsiveness of urgent and emergency care (UEC) and build</w:t>
      </w:r>
    </w:p>
    <w:p w14:paraId="4C198E41" w14:textId="77777777" w:rsidR="00806E77" w:rsidRPr="001875E4" w:rsidRDefault="00806E77" w:rsidP="00806E77">
      <w:pPr>
        <w:pStyle w:val="ListParagraph"/>
      </w:pPr>
      <w:r w:rsidRPr="001875E4">
        <w:t>community care capacity</w:t>
      </w:r>
    </w:p>
    <w:p w14:paraId="0B7320F1" w14:textId="77777777" w:rsidR="00806E77" w:rsidRPr="001875E4" w:rsidRDefault="00806E77" w:rsidP="0062761B">
      <w:pPr>
        <w:pStyle w:val="ListParagraph"/>
        <w:numPr>
          <w:ilvl w:val="0"/>
          <w:numId w:val="20"/>
        </w:numPr>
      </w:pPr>
      <w:r w:rsidRPr="001875E4">
        <w:t>Improve timely access to primary care</w:t>
      </w:r>
    </w:p>
    <w:p w14:paraId="5AC38269" w14:textId="77777777" w:rsidR="00806E77" w:rsidRPr="001875E4" w:rsidRDefault="00806E77" w:rsidP="0062761B">
      <w:pPr>
        <w:pStyle w:val="ListParagraph"/>
        <w:numPr>
          <w:ilvl w:val="0"/>
          <w:numId w:val="20"/>
        </w:numPr>
      </w:pPr>
      <w:r w:rsidRPr="001875E4">
        <w:t>Improve mental health services and services for people with a learning disability and/or autistic people</w:t>
      </w:r>
    </w:p>
    <w:p w14:paraId="196ECD37" w14:textId="77777777" w:rsidR="00806E77" w:rsidRPr="001875E4" w:rsidRDefault="00806E77" w:rsidP="0062761B">
      <w:pPr>
        <w:pStyle w:val="ListParagraph"/>
        <w:numPr>
          <w:ilvl w:val="0"/>
          <w:numId w:val="20"/>
        </w:numPr>
      </w:pPr>
      <w:r w:rsidRPr="001875E4">
        <w:t>Continue to develop our approach to population health management, prevent illhealth and address health inequalities</w:t>
      </w:r>
    </w:p>
    <w:p w14:paraId="4A879A1B" w14:textId="3966FB64" w:rsidR="00806E77" w:rsidRPr="00806E77" w:rsidRDefault="00806E77" w:rsidP="0062761B">
      <w:pPr>
        <w:pStyle w:val="ListParagraph"/>
        <w:numPr>
          <w:ilvl w:val="0"/>
          <w:numId w:val="20"/>
        </w:numPr>
      </w:pPr>
      <w:r w:rsidRPr="001875E4">
        <w:t>Establish ICBs and collaborative system working</w:t>
      </w:r>
    </w:p>
    <w:p w14:paraId="0BF7DF78" w14:textId="42697DD7" w:rsidR="00F1492F" w:rsidRDefault="00992CA0" w:rsidP="009E2D5F">
      <w:pPr>
        <w:contextualSpacing/>
        <w:rPr>
          <w:rFonts w:cs="Arial"/>
          <w:b/>
          <w:bCs/>
        </w:rPr>
      </w:pPr>
      <w:r w:rsidRPr="00992CA0">
        <w:rPr>
          <w:rFonts w:cs="Arial"/>
          <w:b/>
          <w:bCs/>
        </w:rPr>
        <w:t>Contents</w:t>
      </w:r>
    </w:p>
    <w:p w14:paraId="640D7493" w14:textId="679D1117" w:rsidR="001B0729" w:rsidRDefault="001B0729" w:rsidP="009E2D5F">
      <w:pPr>
        <w:contextualSpacing/>
        <w:rPr>
          <w:rFonts w:cs="Arial"/>
          <w:b/>
          <w:bCs/>
        </w:rPr>
      </w:pPr>
    </w:p>
    <w:p w14:paraId="559C152A" w14:textId="77777777" w:rsidR="00406509" w:rsidRDefault="001B0729" w:rsidP="00406509">
      <w:pPr>
        <w:ind w:right="284"/>
        <w:rPr>
          <w:rFonts w:cs="Arial"/>
        </w:rPr>
      </w:pPr>
      <w:r>
        <w:rPr>
          <w:rFonts w:cs="Arial"/>
        </w:rPr>
        <w:t>The Performance Overview updates on activity in the following areas during 2021-22</w:t>
      </w:r>
      <w:r w:rsidR="00406509">
        <w:rPr>
          <w:rFonts w:cs="Arial"/>
        </w:rPr>
        <w:t>.</w:t>
      </w:r>
    </w:p>
    <w:p w14:paraId="78902537" w14:textId="1DB220AB" w:rsidR="001B17E6" w:rsidRPr="00406509" w:rsidRDefault="001B17E6" w:rsidP="00406509">
      <w:pPr>
        <w:pStyle w:val="ListParagraph"/>
        <w:numPr>
          <w:ilvl w:val="0"/>
          <w:numId w:val="52"/>
        </w:numPr>
        <w:ind w:right="284"/>
        <w:rPr>
          <w:rFonts w:cs="Arial"/>
        </w:rPr>
      </w:pPr>
      <w:r w:rsidRPr="00406509">
        <w:rPr>
          <w:rFonts w:cs="Arial"/>
        </w:rPr>
        <w:t>Humber</w:t>
      </w:r>
      <w:r w:rsidR="001B0729" w:rsidRPr="00406509">
        <w:rPr>
          <w:rFonts w:cs="Arial"/>
        </w:rPr>
        <w:t xml:space="preserve"> and North Yorkshire</w:t>
      </w:r>
      <w:r w:rsidRPr="00406509">
        <w:rPr>
          <w:rFonts w:cs="Arial"/>
        </w:rPr>
        <w:t xml:space="preserve"> </w:t>
      </w:r>
      <w:r w:rsidR="00DB59A7" w:rsidRPr="00406509">
        <w:rPr>
          <w:rFonts w:cs="Arial"/>
        </w:rPr>
        <w:t>Health and Care Partnership</w:t>
      </w:r>
    </w:p>
    <w:p w14:paraId="0126936E" w14:textId="6F3B8707" w:rsidR="00DB59A7" w:rsidRDefault="00DB59A7" w:rsidP="0062761B">
      <w:pPr>
        <w:pStyle w:val="ListParagraph"/>
        <w:numPr>
          <w:ilvl w:val="0"/>
          <w:numId w:val="7"/>
        </w:numPr>
        <w:rPr>
          <w:rFonts w:cs="Arial"/>
        </w:rPr>
      </w:pPr>
      <w:r>
        <w:rPr>
          <w:rFonts w:cs="Arial"/>
        </w:rPr>
        <w:t xml:space="preserve">Humber Acute Services </w:t>
      </w:r>
      <w:r w:rsidR="006F2759">
        <w:rPr>
          <w:rFonts w:cs="Arial"/>
        </w:rPr>
        <w:t>programme</w:t>
      </w:r>
    </w:p>
    <w:p w14:paraId="1CA8787B" w14:textId="6C221929" w:rsidR="00DB59A7" w:rsidRPr="00C47948" w:rsidRDefault="006F2759" w:rsidP="0062761B">
      <w:pPr>
        <w:pStyle w:val="ListParagraph"/>
        <w:numPr>
          <w:ilvl w:val="0"/>
          <w:numId w:val="7"/>
        </w:numPr>
        <w:rPr>
          <w:rFonts w:cs="Arial"/>
        </w:rPr>
      </w:pPr>
      <w:r>
        <w:rPr>
          <w:rFonts w:cs="Arial"/>
        </w:rPr>
        <w:t xml:space="preserve">Developing a </w:t>
      </w:r>
      <w:r w:rsidR="00992CA0" w:rsidRPr="00C47948">
        <w:rPr>
          <w:rFonts w:cs="Arial"/>
        </w:rPr>
        <w:t>Health and Care Place Partnership</w:t>
      </w:r>
      <w:r>
        <w:rPr>
          <w:rFonts w:cs="Arial"/>
        </w:rPr>
        <w:t xml:space="preserve"> for Hull</w:t>
      </w:r>
    </w:p>
    <w:p w14:paraId="79C7ACDB" w14:textId="16BC8658" w:rsidR="006439A6" w:rsidRPr="00A558A4" w:rsidRDefault="00992CA0" w:rsidP="0062761B">
      <w:pPr>
        <w:pStyle w:val="ListParagraph"/>
        <w:numPr>
          <w:ilvl w:val="0"/>
          <w:numId w:val="7"/>
        </w:numPr>
        <w:rPr>
          <w:rFonts w:cs="Arial"/>
        </w:rPr>
      </w:pPr>
      <w:r w:rsidRPr="00C47948">
        <w:rPr>
          <w:rFonts w:cs="Arial"/>
        </w:rPr>
        <w:t xml:space="preserve">CCG </w:t>
      </w:r>
      <w:r w:rsidR="006F2759">
        <w:rPr>
          <w:rFonts w:cs="Arial"/>
        </w:rPr>
        <w:t>c</w:t>
      </w:r>
      <w:r w:rsidR="00F1492F" w:rsidRPr="00C47948">
        <w:rPr>
          <w:rFonts w:cs="Arial"/>
        </w:rPr>
        <w:t>ommissioning programme areas (unplanned care</w:t>
      </w:r>
      <w:r w:rsidR="00F1492F" w:rsidRPr="00A558A4">
        <w:rPr>
          <w:rFonts w:cs="Arial"/>
        </w:rPr>
        <w:t>, planned care, cancer, maternity, children and young people</w:t>
      </w:r>
      <w:r w:rsidR="00406509">
        <w:rPr>
          <w:rFonts w:cs="Arial"/>
        </w:rPr>
        <w:t>,</w:t>
      </w:r>
      <w:r w:rsidR="00F1492F" w:rsidRPr="00A558A4">
        <w:rPr>
          <w:rFonts w:cs="Arial"/>
        </w:rPr>
        <w:t xml:space="preserve"> mental health</w:t>
      </w:r>
      <w:r w:rsidR="00406509">
        <w:rPr>
          <w:rFonts w:cs="Arial"/>
        </w:rPr>
        <w:t xml:space="preserve"> and integrated care</w:t>
      </w:r>
      <w:r w:rsidR="00F1492F" w:rsidRPr="00A558A4">
        <w:rPr>
          <w:rFonts w:cs="Arial"/>
        </w:rPr>
        <w:t>)</w:t>
      </w:r>
    </w:p>
    <w:p w14:paraId="2534F0F7" w14:textId="17473EB9" w:rsidR="00CA622E" w:rsidRDefault="004D61F7" w:rsidP="0062761B">
      <w:pPr>
        <w:pStyle w:val="ListParagraph"/>
        <w:numPr>
          <w:ilvl w:val="0"/>
          <w:numId w:val="7"/>
        </w:numPr>
        <w:rPr>
          <w:rFonts w:cs="Arial"/>
        </w:rPr>
      </w:pPr>
      <w:r w:rsidRPr="00A558A4">
        <w:rPr>
          <w:rFonts w:cs="Arial"/>
        </w:rPr>
        <w:t>Primary c</w:t>
      </w:r>
      <w:r w:rsidR="00CA622E" w:rsidRPr="00A558A4">
        <w:rPr>
          <w:rFonts w:cs="Arial"/>
        </w:rPr>
        <w:t xml:space="preserve">are </w:t>
      </w:r>
    </w:p>
    <w:p w14:paraId="233E08B7" w14:textId="489FD04A" w:rsidR="00145C5D" w:rsidRPr="00A558A4" w:rsidRDefault="00145C5D" w:rsidP="0062761B">
      <w:pPr>
        <w:pStyle w:val="ListParagraph"/>
        <w:numPr>
          <w:ilvl w:val="0"/>
          <w:numId w:val="7"/>
        </w:numPr>
        <w:rPr>
          <w:rFonts w:cs="Arial"/>
        </w:rPr>
      </w:pPr>
      <w:r>
        <w:rPr>
          <w:rFonts w:cs="Arial"/>
        </w:rPr>
        <w:t>Digitally enabled care</w:t>
      </w:r>
    </w:p>
    <w:p w14:paraId="7B0D022D" w14:textId="77777777" w:rsidR="00CA622E" w:rsidRPr="00A558A4" w:rsidRDefault="00B01FF7" w:rsidP="0062761B">
      <w:pPr>
        <w:pStyle w:val="ListParagraph"/>
        <w:numPr>
          <w:ilvl w:val="0"/>
          <w:numId w:val="7"/>
        </w:numPr>
        <w:rPr>
          <w:rFonts w:cs="Arial"/>
        </w:rPr>
      </w:pPr>
      <w:r w:rsidRPr="00A558A4">
        <w:rPr>
          <w:rFonts w:cs="Arial"/>
        </w:rPr>
        <w:t xml:space="preserve">Engaging with </w:t>
      </w:r>
      <w:r w:rsidR="00F1492F" w:rsidRPr="00A558A4">
        <w:rPr>
          <w:rFonts w:cs="Arial"/>
        </w:rPr>
        <w:t>people and communities</w:t>
      </w:r>
      <w:r w:rsidR="004D61F7" w:rsidRPr="00A558A4">
        <w:rPr>
          <w:rFonts w:cs="Arial"/>
        </w:rPr>
        <w:t xml:space="preserve"> </w:t>
      </w:r>
    </w:p>
    <w:p w14:paraId="3D197F5E" w14:textId="2350E5C6" w:rsidR="00CA622E" w:rsidRPr="00A558A4" w:rsidRDefault="00D12597" w:rsidP="0062761B">
      <w:pPr>
        <w:pStyle w:val="ListParagraph"/>
        <w:numPr>
          <w:ilvl w:val="0"/>
          <w:numId w:val="7"/>
        </w:numPr>
        <w:rPr>
          <w:rFonts w:cs="Arial"/>
        </w:rPr>
      </w:pPr>
      <w:r>
        <w:rPr>
          <w:rFonts w:cs="Arial"/>
        </w:rPr>
        <w:t>Improving quality</w:t>
      </w:r>
    </w:p>
    <w:p w14:paraId="135155B4" w14:textId="27EB7BFD" w:rsidR="00A30092" w:rsidRDefault="00CA622E" w:rsidP="0062761B">
      <w:pPr>
        <w:pStyle w:val="ListParagraph"/>
        <w:numPr>
          <w:ilvl w:val="0"/>
          <w:numId w:val="7"/>
        </w:numPr>
        <w:rPr>
          <w:rFonts w:cs="Arial"/>
        </w:rPr>
      </w:pPr>
      <w:r w:rsidRPr="00A558A4">
        <w:rPr>
          <w:rFonts w:cs="Arial"/>
        </w:rPr>
        <w:t>Taking action on health inequalities</w:t>
      </w:r>
    </w:p>
    <w:p w14:paraId="1000614B" w14:textId="5F9B7342" w:rsidR="00D12597" w:rsidRDefault="00D12597" w:rsidP="0062761B">
      <w:pPr>
        <w:pStyle w:val="ListParagraph"/>
        <w:numPr>
          <w:ilvl w:val="0"/>
          <w:numId w:val="7"/>
        </w:numPr>
        <w:rPr>
          <w:rFonts w:cs="Arial"/>
        </w:rPr>
      </w:pPr>
      <w:r>
        <w:rPr>
          <w:rFonts w:cs="Arial"/>
        </w:rPr>
        <w:t>Contribution to the delivery of the health and wellbeing strategy for Hull</w:t>
      </w:r>
    </w:p>
    <w:p w14:paraId="51B6EB38" w14:textId="77777777" w:rsidR="00406509" w:rsidRPr="00406509" w:rsidRDefault="00CA622E" w:rsidP="00406509">
      <w:pPr>
        <w:pStyle w:val="ListParagraph"/>
        <w:numPr>
          <w:ilvl w:val="0"/>
          <w:numId w:val="7"/>
        </w:numPr>
        <w:rPr>
          <w:rFonts w:cs="Arial"/>
        </w:rPr>
      </w:pPr>
      <w:r w:rsidRPr="00406509">
        <w:rPr>
          <w:rFonts w:cs="Arial"/>
        </w:rPr>
        <w:t xml:space="preserve">Detailed </w:t>
      </w:r>
      <w:r w:rsidR="005C38A5" w:rsidRPr="00406509">
        <w:rPr>
          <w:rFonts w:cs="Arial"/>
        </w:rPr>
        <w:t>fi</w:t>
      </w:r>
      <w:r w:rsidR="006F0B36" w:rsidRPr="00406509">
        <w:rPr>
          <w:rFonts w:cs="Arial"/>
        </w:rPr>
        <w:t>n</w:t>
      </w:r>
      <w:r w:rsidR="005C38A5" w:rsidRPr="00406509">
        <w:rPr>
          <w:rFonts w:cs="Arial"/>
        </w:rPr>
        <w:t xml:space="preserve">ancial and </w:t>
      </w:r>
      <w:r w:rsidRPr="00406509">
        <w:rPr>
          <w:rFonts w:cs="Arial"/>
        </w:rPr>
        <w:t>performan</w:t>
      </w:r>
      <w:r w:rsidR="005C38A5" w:rsidRPr="00406509">
        <w:rPr>
          <w:rFonts w:cs="Arial"/>
        </w:rPr>
        <w:t>ce analysis</w:t>
      </w:r>
    </w:p>
    <w:p w14:paraId="0214B060" w14:textId="35DE9C90" w:rsidR="00CA622E" w:rsidRPr="00406509" w:rsidRDefault="00CA622E" w:rsidP="00406509">
      <w:pPr>
        <w:pStyle w:val="ListParagraph"/>
        <w:numPr>
          <w:ilvl w:val="0"/>
          <w:numId w:val="7"/>
        </w:numPr>
        <w:rPr>
          <w:rFonts w:cs="Arial"/>
        </w:rPr>
      </w:pPr>
      <w:r w:rsidRPr="00406509">
        <w:rPr>
          <w:rFonts w:cs="Arial"/>
        </w:rPr>
        <w:t xml:space="preserve">Sustainability </w:t>
      </w:r>
    </w:p>
    <w:p w14:paraId="6AFCA987" w14:textId="3C423936" w:rsidR="001607C5" w:rsidRDefault="00992CA0" w:rsidP="00B66DE2">
      <w:pPr>
        <w:pStyle w:val="Heading3"/>
      </w:pPr>
      <w:bookmarkStart w:id="14" w:name="_Toc103695016"/>
      <w:bookmarkStart w:id="15" w:name="_Hlk66104853"/>
      <w:r w:rsidRPr="009E2D5F">
        <w:rPr>
          <w:rFonts w:cs="Arial"/>
        </w:rPr>
        <w:t>Humber and North Yorkshire Health and Care Partnership</w:t>
      </w:r>
      <w:bookmarkEnd w:id="14"/>
      <w:r w:rsidRPr="009E2D5F">
        <w:rPr>
          <w:rFonts w:cs="Arial"/>
        </w:rPr>
        <w:t xml:space="preserve"> </w:t>
      </w:r>
    </w:p>
    <w:p w14:paraId="3902292E" w14:textId="77777777" w:rsidR="009E2D5F" w:rsidRPr="009E2D5F" w:rsidRDefault="009E2D5F" w:rsidP="009E2D5F">
      <w:pPr>
        <w:rPr>
          <w:rFonts w:cs="Arial"/>
        </w:rPr>
      </w:pPr>
      <w:r w:rsidRPr="009E2D5F">
        <w:rPr>
          <w:rFonts w:cs="Arial"/>
        </w:rPr>
        <w:t>The Humber, Coast and Vale Health and Care Partnership was established in 2016 comprising of 28 organisations from the NHS, local councils, health and care providers and voluntary, community and social enterprise (VCSE) organisations. In April 2020, Integrated Care System (ICS) status was secured, a year ahead of the requirement set out in the NHS Long Term Plan.</w:t>
      </w:r>
    </w:p>
    <w:p w14:paraId="22F2A965" w14:textId="2AD98169" w:rsidR="009E2D5F" w:rsidRPr="009E2D5F" w:rsidRDefault="009E2D5F" w:rsidP="009E2D5F">
      <w:pPr>
        <w:rPr>
          <w:rFonts w:cs="Arial"/>
        </w:rPr>
      </w:pPr>
      <w:r w:rsidRPr="009E2D5F">
        <w:rPr>
          <w:rFonts w:cs="Arial"/>
        </w:rPr>
        <w:t xml:space="preserve">The HCV Partnership serves a population of 1.7 million people and spans across a geographical area of more than 1,500 square miles which includes cities, market towns and many different rural and coastal </w:t>
      </w:r>
      <w:r w:rsidRPr="009E2D5F">
        <w:rPr>
          <w:rFonts w:cs="Arial"/>
        </w:rPr>
        <w:lastRenderedPageBreak/>
        <w:t>communities. The area stretches along the east coast of England from Scarborough to Cleethorpes and along both banks of the Humber</w:t>
      </w:r>
      <w:r w:rsidR="007C1DF9">
        <w:rPr>
          <w:rFonts w:cs="Arial"/>
        </w:rPr>
        <w:t xml:space="preserve">, and </w:t>
      </w:r>
      <w:r w:rsidRPr="009E2D5F">
        <w:rPr>
          <w:rFonts w:cs="Arial"/>
        </w:rPr>
        <w:t>incorporates the cities of Hull and York and large rural areas across East Yorkshire, North Yorkshire and Northern Lincolnshire.</w:t>
      </w:r>
    </w:p>
    <w:p w14:paraId="52595FCE" w14:textId="77777777" w:rsidR="009E2D5F" w:rsidRPr="009E2D5F" w:rsidRDefault="009E2D5F" w:rsidP="009E2D5F">
      <w:pPr>
        <w:rPr>
          <w:rFonts w:cs="Arial"/>
        </w:rPr>
      </w:pPr>
      <w:r w:rsidRPr="009E2D5F">
        <w:rPr>
          <w:rFonts w:cs="Arial"/>
        </w:rPr>
        <w:t>A significant focus for the Partnership this year has been the Health and Care Bill currently going through Parliament to set out plans to put ICSs on a statutory footing, empowering them to better join up health and care services, improve population health and reduce health inequalities. The proposals within this Bill will mean that from 1 July 2022 NHS Integrated Care Boards (ICBs) will be established as organisations with responsibility for NHS functions and budgets.</w:t>
      </w:r>
    </w:p>
    <w:p w14:paraId="49BD530D" w14:textId="77777777" w:rsidR="009E2D5F" w:rsidRPr="009E2D5F" w:rsidRDefault="009E2D5F" w:rsidP="009E2D5F">
      <w:pPr>
        <w:rPr>
          <w:rFonts w:cs="Arial"/>
        </w:rPr>
      </w:pPr>
      <w:r w:rsidRPr="009E2D5F">
        <w:rPr>
          <w:rFonts w:cs="Arial"/>
        </w:rPr>
        <w:t>As part of the arrangements being put in place to prepare to implement this legislation, each ICS has been required to appoint a Chair and Chief Executive for the anticipated ICB. In Humber, Coast and Vale, Sue Symington has been appointed Designate Chair and Stephen Eames CBE Designate Chief Executive.</w:t>
      </w:r>
    </w:p>
    <w:p w14:paraId="7F28052B" w14:textId="77777777" w:rsidR="009E2D5F" w:rsidRPr="009E2D5F" w:rsidRDefault="009E2D5F" w:rsidP="009E2D5F">
      <w:pPr>
        <w:rPr>
          <w:rFonts w:cs="Arial"/>
          <w:b/>
          <w:bCs/>
        </w:rPr>
      </w:pPr>
      <w:r w:rsidRPr="009E2D5F">
        <w:rPr>
          <w:rFonts w:cs="Arial"/>
        </w:rPr>
        <w:t xml:space="preserve">Once established, each ICB should have a name which reflects the geographical area that it covers, and in Humber, Coast and Vale, this will be the NHS Humber and North Yorkshire Integrated Care Board (ICB). </w:t>
      </w:r>
      <w:r w:rsidRPr="009E2D5F">
        <w:rPr>
          <w:rFonts w:cs="Arial"/>
          <w:b/>
          <w:bCs/>
        </w:rPr>
        <w:t>To align with this, the Partnership will become known as Humber and North Yorkshire Health and Care Partnership from 1 April 2022.</w:t>
      </w:r>
    </w:p>
    <w:p w14:paraId="3D5B2E98" w14:textId="77777777" w:rsidR="009E2D5F" w:rsidRPr="009E2D5F" w:rsidRDefault="009E2D5F" w:rsidP="009E2D5F">
      <w:pPr>
        <w:rPr>
          <w:rFonts w:cs="Arial"/>
        </w:rPr>
      </w:pPr>
      <w:r w:rsidRPr="009E2D5F">
        <w:rPr>
          <w:rFonts w:cs="Arial"/>
        </w:rPr>
        <w:t>Whilst much work has been ongoing in anticipation of the passing of the Health and Care Bill, other programmes of work have continued and some of the key achievements undertaken in partnership across Humber, Coast and Vale over the year are:</w:t>
      </w:r>
    </w:p>
    <w:p w14:paraId="6E174D51" w14:textId="77777777" w:rsidR="009E2D5F" w:rsidRPr="009E2D5F" w:rsidRDefault="009E2D5F" w:rsidP="0062761B">
      <w:pPr>
        <w:pStyle w:val="ListParagraph"/>
        <w:numPr>
          <w:ilvl w:val="0"/>
          <w:numId w:val="12"/>
        </w:numPr>
        <w:rPr>
          <w:rFonts w:cs="Arial"/>
        </w:rPr>
      </w:pPr>
      <w:r w:rsidRPr="009E2D5F">
        <w:rPr>
          <w:rFonts w:cs="Arial"/>
        </w:rPr>
        <w:t>The COVID-19 vaccination programme continued to be rolled out with first, second and booster doses being offered in line with national guidance. To date over 3.5million doses have been delivered across Humber, Coast and Vale.</w:t>
      </w:r>
    </w:p>
    <w:p w14:paraId="0EFDFCF0" w14:textId="77777777" w:rsidR="009E2D5F" w:rsidRPr="009E2D5F" w:rsidRDefault="009E2D5F" w:rsidP="0062761B">
      <w:pPr>
        <w:pStyle w:val="ListParagraph"/>
        <w:numPr>
          <w:ilvl w:val="0"/>
          <w:numId w:val="12"/>
        </w:numPr>
        <w:rPr>
          <w:rFonts w:cs="Arial"/>
        </w:rPr>
      </w:pPr>
      <w:r w:rsidRPr="009E2D5F">
        <w:rPr>
          <w:rFonts w:cs="Arial"/>
        </w:rPr>
        <w:t>Humber, Coast and Vale became one of the first areas in England to develop a pilot maternal mental health service, helping women in the region who have previously not been eligible for specialist mental health support.</w:t>
      </w:r>
    </w:p>
    <w:p w14:paraId="40DD34DE" w14:textId="77777777" w:rsidR="009E2D5F" w:rsidRPr="009E2D5F" w:rsidRDefault="009E2D5F" w:rsidP="0062761B">
      <w:pPr>
        <w:pStyle w:val="ListParagraph"/>
        <w:numPr>
          <w:ilvl w:val="0"/>
          <w:numId w:val="12"/>
        </w:numPr>
        <w:rPr>
          <w:rFonts w:cs="Arial"/>
        </w:rPr>
      </w:pPr>
      <w:r w:rsidRPr="009E2D5F">
        <w:rPr>
          <w:rFonts w:cs="Arial"/>
        </w:rPr>
        <w:t>Three of the regions hospital trusts received funding worth more than £66million to support work to reduce carbon emissions at their hospitals.</w:t>
      </w:r>
    </w:p>
    <w:p w14:paraId="0141EC8A" w14:textId="77777777" w:rsidR="009E2D5F" w:rsidRPr="009E2D5F" w:rsidRDefault="009E2D5F" w:rsidP="0062761B">
      <w:pPr>
        <w:pStyle w:val="ListParagraph"/>
        <w:numPr>
          <w:ilvl w:val="0"/>
          <w:numId w:val="12"/>
        </w:numPr>
        <w:rPr>
          <w:rFonts w:cs="Arial"/>
        </w:rPr>
      </w:pPr>
      <w:r w:rsidRPr="009E2D5F">
        <w:rPr>
          <w:rFonts w:cs="Arial"/>
        </w:rPr>
        <w:t xml:space="preserve">Humber, Coast and Vale Cancer Alliance worked with partners to support the use of microscopic images alongside urgent skin cancer referrals. The Alliance provided 60 iPhones and dermatoscopes to GP practices across Hull and East Yorkshire to help rule out or diagnose skin cancer earlier. </w:t>
      </w:r>
    </w:p>
    <w:p w14:paraId="591C0CF9" w14:textId="2629D399" w:rsidR="009E2D5F" w:rsidRPr="009E2D5F" w:rsidRDefault="009E2D5F" w:rsidP="0062761B">
      <w:pPr>
        <w:pStyle w:val="ListParagraph"/>
        <w:numPr>
          <w:ilvl w:val="0"/>
          <w:numId w:val="12"/>
        </w:numPr>
        <w:rPr>
          <w:rFonts w:cs="Arial"/>
        </w:rPr>
      </w:pPr>
      <w:r w:rsidRPr="009E2D5F">
        <w:rPr>
          <w:rFonts w:cs="Arial"/>
        </w:rPr>
        <w:t>The Partnership secured an £8.6million Government funding to support the development of new models of community diagnostic provision, with investment in new mobile MRI and CT scanning fa</w:t>
      </w:r>
      <w:r w:rsidR="007C1DF9">
        <w:rPr>
          <w:rFonts w:cs="Arial"/>
        </w:rPr>
        <w:t>c</w:t>
      </w:r>
      <w:r w:rsidRPr="009E2D5F">
        <w:rPr>
          <w:rFonts w:cs="Arial"/>
        </w:rPr>
        <w:t xml:space="preserve">ilities. </w:t>
      </w:r>
    </w:p>
    <w:p w14:paraId="67F9EED8" w14:textId="29A7E7C5" w:rsidR="009E2D5F" w:rsidRPr="0017176E" w:rsidRDefault="009E2D5F" w:rsidP="0062761B">
      <w:pPr>
        <w:pStyle w:val="ListParagraph"/>
        <w:numPr>
          <w:ilvl w:val="0"/>
          <w:numId w:val="12"/>
        </w:numPr>
        <w:rPr>
          <w:rFonts w:cs="Arial"/>
        </w:rPr>
      </w:pPr>
      <w:r w:rsidRPr="009E2D5F">
        <w:rPr>
          <w:rFonts w:cs="Arial"/>
        </w:rPr>
        <w:t xml:space="preserve">A wide-reaching communications plan to help general practices talk to patients about the routes to accessing their care, and to build patient understanding of triage, has been piloted across 69 GP practices in Humber, Coast and Vale. Materials include photography, infographics and messaging that practices will use to explain how patients can request care by phone, using an online form or </w:t>
      </w:r>
      <w:r w:rsidR="007C1DF9">
        <w:rPr>
          <w:rFonts w:cs="Arial"/>
        </w:rPr>
        <w:t>face to face appointments</w:t>
      </w:r>
      <w:r w:rsidRPr="009E2D5F">
        <w:rPr>
          <w:rFonts w:cs="Arial"/>
        </w:rPr>
        <w:t>.</w:t>
      </w:r>
    </w:p>
    <w:p w14:paraId="08CAFC06" w14:textId="779054F1" w:rsidR="009E2D5F" w:rsidRPr="00DA6824" w:rsidRDefault="009E2D5F" w:rsidP="00DA6824">
      <w:pPr>
        <w:pStyle w:val="NormalWeb"/>
        <w:shd w:val="clear" w:color="auto" w:fill="FFFFFF"/>
        <w:spacing w:before="0" w:line="276" w:lineRule="auto"/>
        <w:textAlignment w:val="baseline"/>
        <w:rPr>
          <w:rFonts w:ascii="Arial" w:hAnsi="Arial" w:cs="Arial"/>
          <w:color w:val="000000"/>
          <w:sz w:val="22"/>
          <w:szCs w:val="22"/>
        </w:rPr>
      </w:pPr>
      <w:r w:rsidRPr="009E2D5F">
        <w:rPr>
          <w:rFonts w:ascii="Arial" w:hAnsi="Arial" w:cs="Arial"/>
          <w:color w:val="000000"/>
          <w:sz w:val="22"/>
          <w:szCs w:val="22"/>
        </w:rPr>
        <w:t xml:space="preserve">Further information about the </w:t>
      </w:r>
      <w:r w:rsidRPr="0017176E">
        <w:rPr>
          <w:rFonts w:ascii="Arial" w:hAnsi="Arial" w:cs="Arial"/>
          <w:b/>
          <w:bCs/>
          <w:color w:val="000000"/>
          <w:sz w:val="22"/>
          <w:szCs w:val="22"/>
        </w:rPr>
        <w:t>Humber and North Yorkshire Health and Care Partnership</w:t>
      </w:r>
      <w:r w:rsidRPr="009E2D5F">
        <w:rPr>
          <w:rFonts w:ascii="Arial" w:hAnsi="Arial" w:cs="Arial"/>
          <w:color w:val="000000"/>
          <w:sz w:val="22"/>
          <w:szCs w:val="22"/>
        </w:rPr>
        <w:t xml:space="preserve"> can be found at </w:t>
      </w:r>
      <w:hyperlink r:id="rId21" w:history="1">
        <w:r w:rsidRPr="009E2D5F">
          <w:rPr>
            <w:rStyle w:val="Hyperlink"/>
            <w:rFonts w:ascii="Arial" w:eastAsiaTheme="majorEastAsia" w:hAnsi="Arial" w:cs="Arial"/>
            <w:sz w:val="22"/>
            <w:szCs w:val="22"/>
          </w:rPr>
          <w:t>www.humberandnorthyorkshire.org.uk</w:t>
        </w:r>
      </w:hyperlink>
    </w:p>
    <w:p w14:paraId="4481E5E8" w14:textId="77777777" w:rsidR="007C1DF9" w:rsidRDefault="007C1DF9" w:rsidP="00745836">
      <w:pPr>
        <w:pStyle w:val="NoSpacing"/>
      </w:pPr>
    </w:p>
    <w:p w14:paraId="1AB19259" w14:textId="77777777" w:rsidR="00980C4E" w:rsidRDefault="00980C4E" w:rsidP="00745836">
      <w:pPr>
        <w:pStyle w:val="NoSpacing"/>
      </w:pPr>
    </w:p>
    <w:p w14:paraId="4CD681C0" w14:textId="77777777" w:rsidR="00980C4E" w:rsidRDefault="00980C4E" w:rsidP="00745836">
      <w:pPr>
        <w:pStyle w:val="NoSpacing"/>
      </w:pPr>
    </w:p>
    <w:p w14:paraId="568BCA34" w14:textId="29481190" w:rsidR="008E2783" w:rsidRPr="00715DD0" w:rsidRDefault="008E2783" w:rsidP="00745836">
      <w:pPr>
        <w:pStyle w:val="NoSpacing"/>
      </w:pPr>
      <w:r w:rsidRPr="00715DD0">
        <w:lastRenderedPageBreak/>
        <w:t xml:space="preserve">Humber Acute Services </w:t>
      </w:r>
      <w:r w:rsidR="007C1DF9">
        <w:t>p</w:t>
      </w:r>
      <w:r w:rsidRPr="00715DD0">
        <w:t xml:space="preserve">rogramme </w:t>
      </w:r>
    </w:p>
    <w:p w14:paraId="4BD910FF" w14:textId="12AB48DA" w:rsidR="008E2783" w:rsidRDefault="008E2783" w:rsidP="008E2783">
      <w:pPr>
        <w:pStyle w:val="Default"/>
        <w:spacing w:after="120" w:line="276" w:lineRule="auto"/>
        <w:rPr>
          <w:rFonts w:cs="Times New Roman"/>
          <w:color w:val="auto"/>
          <w:sz w:val="22"/>
          <w:szCs w:val="22"/>
        </w:rPr>
      </w:pPr>
      <w:r>
        <w:rPr>
          <w:rFonts w:cs="Times New Roman"/>
          <w:color w:val="auto"/>
          <w:sz w:val="22"/>
          <w:szCs w:val="22"/>
        </w:rPr>
        <w:t xml:space="preserve">Working in partnership with other NHS organisations across the Humber, we have made some significant progress through the Humber Acute Services Programme during 2021-22.   </w:t>
      </w:r>
    </w:p>
    <w:p w14:paraId="208D3061" w14:textId="77777777" w:rsidR="008E2783" w:rsidRPr="00745836" w:rsidRDefault="008E2783" w:rsidP="008E2783">
      <w:pPr>
        <w:spacing w:after="120"/>
        <w:rPr>
          <w:b/>
          <w:bCs/>
          <w:color w:val="000000"/>
        </w:rPr>
      </w:pPr>
      <w:r w:rsidRPr="00745836">
        <w:rPr>
          <w:b/>
          <w:bCs/>
        </w:rPr>
        <w:t>Interim Clinical Plan</w:t>
      </w:r>
    </w:p>
    <w:p w14:paraId="6385C1D8" w14:textId="4CA6D44F" w:rsidR="008E2783" w:rsidRPr="002B3235" w:rsidRDefault="008E2783" w:rsidP="008E2783">
      <w:pPr>
        <w:pStyle w:val="Default"/>
        <w:spacing w:after="120" w:line="276" w:lineRule="auto"/>
        <w:rPr>
          <w:sz w:val="22"/>
          <w:szCs w:val="22"/>
        </w:rPr>
      </w:pPr>
      <w:r>
        <w:rPr>
          <w:rFonts w:cs="Times New Roman"/>
          <w:color w:val="auto"/>
          <w:sz w:val="22"/>
          <w:szCs w:val="22"/>
        </w:rPr>
        <w:t xml:space="preserve">Over the course of the </w:t>
      </w:r>
      <w:r w:rsidR="007C1DF9">
        <w:rPr>
          <w:rFonts w:cs="Times New Roman"/>
          <w:color w:val="auto"/>
          <w:sz w:val="22"/>
          <w:szCs w:val="22"/>
        </w:rPr>
        <w:t xml:space="preserve">past </w:t>
      </w:r>
      <w:r>
        <w:rPr>
          <w:rFonts w:cs="Times New Roman"/>
          <w:color w:val="auto"/>
          <w:sz w:val="22"/>
          <w:szCs w:val="22"/>
        </w:rPr>
        <w:t>year, the focus</w:t>
      </w:r>
      <w:r w:rsidRPr="002B3235">
        <w:rPr>
          <w:rFonts w:cs="Times New Roman"/>
          <w:color w:val="auto"/>
          <w:sz w:val="22"/>
          <w:szCs w:val="22"/>
        </w:rPr>
        <w:t xml:space="preserve"> has been to put in place some important building blocks to establish </w:t>
      </w:r>
      <w:r>
        <w:rPr>
          <w:sz w:val="22"/>
          <w:szCs w:val="22"/>
        </w:rPr>
        <w:t>joint</w:t>
      </w:r>
      <w:r w:rsidRPr="002B3235">
        <w:rPr>
          <w:sz w:val="22"/>
          <w:szCs w:val="22"/>
        </w:rPr>
        <w:t xml:space="preserve"> services across the Humber.  These building blocks include establishing</w:t>
      </w:r>
      <w:r w:rsidRPr="002B3235">
        <w:rPr>
          <w:rFonts w:cs="Times New Roman"/>
          <w:color w:val="auto"/>
          <w:sz w:val="22"/>
          <w:szCs w:val="22"/>
        </w:rPr>
        <w:t xml:space="preserve"> joint clinical leadership working across both acute hospital trusts and the development of clinical strategies for each specialty – </w:t>
      </w:r>
      <w:r w:rsidRPr="002B3235">
        <w:rPr>
          <w:sz w:val="22"/>
          <w:szCs w:val="22"/>
        </w:rPr>
        <w:t xml:space="preserve">that help to address the health inequalities that exist within our communities, across a large and diverse geographical area.  </w:t>
      </w:r>
    </w:p>
    <w:p w14:paraId="1D6A55AF" w14:textId="0DC8A8AC" w:rsidR="008E2783" w:rsidRPr="002B3235" w:rsidRDefault="008E2783" w:rsidP="008E2783">
      <w:pPr>
        <w:spacing w:after="120"/>
        <w:rPr>
          <w:rFonts w:cs="Times New Roman"/>
        </w:rPr>
      </w:pPr>
      <w:r w:rsidRPr="002B3235">
        <w:rPr>
          <w:rFonts w:cs="Times New Roman"/>
        </w:rPr>
        <w:t>Significant progress has been made despite the additional and ongoing pressures throughout the year caused by and responding to the COVID-19 pandemic.  Some of the 2021</w:t>
      </w:r>
      <w:r>
        <w:rPr>
          <w:rFonts w:cs="Times New Roman"/>
        </w:rPr>
        <w:t>-</w:t>
      </w:r>
      <w:r w:rsidRPr="002B3235">
        <w:rPr>
          <w:rFonts w:cs="Times New Roman"/>
        </w:rPr>
        <w:t>22 highlights include:</w:t>
      </w:r>
    </w:p>
    <w:p w14:paraId="479DEC5B" w14:textId="77777777" w:rsidR="008E2783" w:rsidRPr="008E2783" w:rsidRDefault="008E2783" w:rsidP="0062761B">
      <w:pPr>
        <w:pStyle w:val="NoSpacing"/>
        <w:numPr>
          <w:ilvl w:val="0"/>
          <w:numId w:val="31"/>
        </w:numPr>
        <w:tabs>
          <w:tab w:val="clear" w:pos="2835"/>
          <w:tab w:val="clear" w:pos="5670"/>
          <w:tab w:val="clear" w:pos="9016"/>
        </w:tabs>
        <w:spacing w:before="0" w:line="276" w:lineRule="auto"/>
        <w:ind w:left="426" w:right="-30"/>
        <w:rPr>
          <w:rFonts w:eastAsia="Times New Roman"/>
          <w:b w:val="0"/>
          <w:color w:val="auto"/>
          <w:sz w:val="22"/>
        </w:rPr>
      </w:pPr>
      <w:r w:rsidRPr="008E2783">
        <w:rPr>
          <w:rFonts w:eastAsia="Times New Roman"/>
          <w:b w:val="0"/>
          <w:color w:val="auto"/>
          <w:sz w:val="22"/>
        </w:rPr>
        <w:t>Launch of the Humber Neurology service in October 2021 – the first Humber-wide specialty operating jointly across both trusts that will provide improved equity of access to services across the Humber.  This includes improved triaging of Neurology referrals that allows patients to be immediately directed to the right sub-specialist clinics through a ‘straight to test’ pathway, minimising the overall number of appointments needed, and reducing overall waiting times.</w:t>
      </w:r>
    </w:p>
    <w:p w14:paraId="242441AD" w14:textId="372BB0DE" w:rsidR="008E2783" w:rsidRPr="008E2783" w:rsidRDefault="008E2783" w:rsidP="0062761B">
      <w:pPr>
        <w:pStyle w:val="NoSpacing"/>
        <w:numPr>
          <w:ilvl w:val="0"/>
          <w:numId w:val="31"/>
        </w:numPr>
        <w:tabs>
          <w:tab w:val="clear" w:pos="2835"/>
          <w:tab w:val="clear" w:pos="5670"/>
          <w:tab w:val="clear" w:pos="9016"/>
        </w:tabs>
        <w:spacing w:before="0" w:line="276" w:lineRule="auto"/>
        <w:ind w:left="426" w:right="-30"/>
        <w:rPr>
          <w:rFonts w:eastAsia="Times New Roman"/>
          <w:b w:val="0"/>
          <w:color w:val="auto"/>
          <w:sz w:val="22"/>
        </w:rPr>
      </w:pPr>
      <w:r w:rsidRPr="008E2783">
        <w:rPr>
          <w:rFonts w:eastAsia="Times New Roman"/>
          <w:b w:val="0"/>
          <w:color w:val="auto"/>
          <w:sz w:val="22"/>
        </w:rPr>
        <w:t>Transforming ophthalmic outpatient services through the development of an Eye Electronic Referral System (EeRS) that will improve patient access to services, with improved quality and tracking of referrals into hospital and clinic appointments</w:t>
      </w:r>
      <w:r w:rsidR="007C1DF9">
        <w:rPr>
          <w:rFonts w:eastAsia="Times New Roman"/>
          <w:b w:val="0"/>
          <w:color w:val="auto"/>
          <w:sz w:val="22"/>
        </w:rPr>
        <w:t>.</w:t>
      </w:r>
      <w:r w:rsidRPr="008E2783">
        <w:rPr>
          <w:rFonts w:eastAsia="Times New Roman"/>
          <w:b w:val="0"/>
          <w:color w:val="auto"/>
          <w:sz w:val="22"/>
        </w:rPr>
        <w:t xml:space="preserve"> </w:t>
      </w:r>
    </w:p>
    <w:p w14:paraId="1DA0E2A1" w14:textId="2F5AC040" w:rsidR="008E2783" w:rsidRPr="008E2783" w:rsidRDefault="008E2783" w:rsidP="0062761B">
      <w:pPr>
        <w:pStyle w:val="NoSpacing"/>
        <w:numPr>
          <w:ilvl w:val="0"/>
          <w:numId w:val="31"/>
        </w:numPr>
        <w:tabs>
          <w:tab w:val="clear" w:pos="2835"/>
          <w:tab w:val="clear" w:pos="5670"/>
          <w:tab w:val="clear" w:pos="9016"/>
        </w:tabs>
        <w:spacing w:before="0" w:line="276" w:lineRule="auto"/>
        <w:ind w:left="426" w:right="-30"/>
        <w:rPr>
          <w:rFonts w:eastAsia="Times New Roman"/>
          <w:b w:val="0"/>
          <w:strike/>
          <w:color w:val="auto"/>
          <w:sz w:val="22"/>
        </w:rPr>
      </w:pPr>
      <w:r w:rsidRPr="008E2783">
        <w:rPr>
          <w:rFonts w:eastAsia="Times New Roman"/>
          <w:b w:val="0"/>
          <w:color w:val="auto"/>
          <w:sz w:val="22"/>
        </w:rPr>
        <w:t>Developing a digital referral pathway for dermatology patients that allows GPs to include digital images for review by specialist consultants</w:t>
      </w:r>
      <w:r w:rsidRPr="007C1DF9">
        <w:rPr>
          <w:rFonts w:eastAsia="Times New Roman"/>
          <w:b w:val="0"/>
          <w:color w:val="auto"/>
          <w:sz w:val="22"/>
        </w:rPr>
        <w:t>.</w:t>
      </w:r>
    </w:p>
    <w:p w14:paraId="40230245" w14:textId="77777777" w:rsidR="008E2783" w:rsidRPr="00745836" w:rsidRDefault="008E2783" w:rsidP="008E2783">
      <w:pPr>
        <w:pStyle w:val="Default"/>
        <w:spacing w:after="120" w:line="276" w:lineRule="auto"/>
        <w:rPr>
          <w:b/>
          <w:bCs/>
          <w:sz w:val="22"/>
          <w:szCs w:val="22"/>
        </w:rPr>
      </w:pPr>
      <w:r w:rsidRPr="00745836">
        <w:rPr>
          <w:b/>
          <w:bCs/>
          <w:sz w:val="22"/>
          <w:szCs w:val="22"/>
        </w:rPr>
        <w:t xml:space="preserve">Core Hospital Services </w:t>
      </w:r>
    </w:p>
    <w:p w14:paraId="1A1AEB5C" w14:textId="747BBA5D" w:rsidR="008E2783" w:rsidRPr="00D326D4" w:rsidRDefault="008E2783" w:rsidP="008E2783">
      <w:pPr>
        <w:pStyle w:val="Default"/>
        <w:spacing w:after="120" w:line="276" w:lineRule="auto"/>
        <w:rPr>
          <w:sz w:val="22"/>
          <w:szCs w:val="22"/>
        </w:rPr>
      </w:pPr>
      <w:r w:rsidRPr="00745836">
        <w:rPr>
          <w:sz w:val="22"/>
          <w:szCs w:val="22"/>
        </w:rPr>
        <w:t xml:space="preserve">Throughout the year we have undertaken extensive engagement with patients, the public, staff and other stakeholders. This has helped us gather views and perspectives from people who use hospital services and those who might be </w:t>
      </w:r>
      <w:r w:rsidRPr="00D326D4">
        <w:rPr>
          <w:sz w:val="22"/>
          <w:szCs w:val="22"/>
        </w:rPr>
        <w:t xml:space="preserve">impacted by any changes to them. </w:t>
      </w:r>
      <w:r w:rsidR="00745836" w:rsidRPr="00D326D4">
        <w:rPr>
          <w:sz w:val="22"/>
          <w:szCs w:val="22"/>
        </w:rPr>
        <w:t xml:space="preserve">See page </w:t>
      </w:r>
      <w:r w:rsidR="00210FEA" w:rsidRPr="00D326D4">
        <w:rPr>
          <w:sz w:val="22"/>
          <w:szCs w:val="22"/>
        </w:rPr>
        <w:t>28</w:t>
      </w:r>
      <w:r w:rsidR="00745836" w:rsidRPr="00D326D4">
        <w:rPr>
          <w:sz w:val="22"/>
          <w:szCs w:val="22"/>
        </w:rPr>
        <w:t xml:space="preserve"> for more details on programme engagement work.</w:t>
      </w:r>
    </w:p>
    <w:p w14:paraId="713AF358" w14:textId="77777777" w:rsidR="008E2783" w:rsidRPr="00D326D4" w:rsidRDefault="008E2783" w:rsidP="008E2783">
      <w:pPr>
        <w:pStyle w:val="Default"/>
        <w:spacing w:after="120" w:line="276" w:lineRule="auto"/>
        <w:rPr>
          <w:rFonts w:cs="Times New Roman"/>
          <w:b/>
          <w:bCs/>
          <w:sz w:val="22"/>
          <w:szCs w:val="22"/>
        </w:rPr>
      </w:pPr>
      <w:r w:rsidRPr="00D326D4">
        <w:rPr>
          <w:rFonts w:cs="Times New Roman"/>
          <w:b/>
          <w:bCs/>
          <w:sz w:val="22"/>
          <w:szCs w:val="22"/>
        </w:rPr>
        <w:t xml:space="preserve">Building Better Places </w:t>
      </w:r>
    </w:p>
    <w:p w14:paraId="7D967A51" w14:textId="34EAEA95" w:rsidR="008E2783" w:rsidRPr="00D326D4" w:rsidRDefault="008E2783" w:rsidP="008E2783">
      <w:r w:rsidRPr="00D326D4">
        <w:t>Alongside the work to design potential new ways of organising services and providing care, we have continued to develop plans for new and improved buildings to provide services from in the future. Work has also been undertaken in parallel to ensure it</w:t>
      </w:r>
      <w:r w:rsidR="007C1DF9" w:rsidRPr="00D326D4">
        <w:t xml:space="preserve"> i</w:t>
      </w:r>
      <w:r w:rsidRPr="00D326D4">
        <w:t xml:space="preserve">s possible to quickly move forward on building work as soon as plans for the future shape of services have been agreed and the necessary funding is in place. </w:t>
      </w:r>
    </w:p>
    <w:p w14:paraId="10DF5F4D" w14:textId="77777777" w:rsidR="008E2783" w:rsidRPr="00D326D4" w:rsidRDefault="008E2783" w:rsidP="008E2783">
      <w:r w:rsidRPr="00D326D4">
        <w:t xml:space="preserve">An Expression of Interest has been submitted to be part of the national New Hospitals Programme. A total of £720 million is being sought to rebuild and refurbish our hospitals on both sides of the Humber. If successful in securing the funding, the investment will be used to build a brand-new hospital in Scunthorpe, with the remainder of the funding used to create new facilities at Hull Royal Infirmary, the Diana, Princess of Wales Hospital in Grimsby and Castle Hill Hospital in Cottingham. </w:t>
      </w:r>
    </w:p>
    <w:p w14:paraId="67239CF5" w14:textId="77777777" w:rsidR="00745836" w:rsidRPr="00D326D4" w:rsidRDefault="008E2783" w:rsidP="00745836">
      <w:r w:rsidRPr="00D326D4">
        <w:t xml:space="preserve">An announcement on the outcome of our bid is expected later in 2022.  </w:t>
      </w:r>
    </w:p>
    <w:p w14:paraId="2DF349B5" w14:textId="2443FF1E" w:rsidR="00BA19FA" w:rsidRPr="00D326D4" w:rsidRDefault="00BA19FA" w:rsidP="00BA19FA">
      <w:pPr>
        <w:pStyle w:val="Heading3"/>
      </w:pPr>
      <w:bookmarkStart w:id="16" w:name="_Toc103695017"/>
      <w:r w:rsidRPr="00D326D4">
        <w:t>Developing a local Health and Care Partnership for Hull</w:t>
      </w:r>
      <w:bookmarkEnd w:id="16"/>
    </w:p>
    <w:p w14:paraId="695F7B85" w14:textId="46810227" w:rsidR="00BA19FA" w:rsidRPr="00D326D4" w:rsidRDefault="00BA19FA" w:rsidP="00BA19FA">
      <w:pPr>
        <w:rPr>
          <w:rFonts w:cs="Arial"/>
        </w:rPr>
      </w:pPr>
      <w:r w:rsidRPr="00D326D4">
        <w:rPr>
          <w:rFonts w:cs="Arial"/>
        </w:rPr>
        <w:t xml:space="preserve">The Humber and North Yorkshire Integrated Care Board (ICB) will work to support places to integrate services and improve outcomes. There are </w:t>
      </w:r>
      <w:r w:rsidR="007C1DF9" w:rsidRPr="00D326D4">
        <w:rPr>
          <w:rFonts w:cs="Arial"/>
        </w:rPr>
        <w:t>six</w:t>
      </w:r>
      <w:r w:rsidRPr="00D326D4">
        <w:rPr>
          <w:rFonts w:cs="Arial"/>
        </w:rPr>
        <w:t xml:space="preserve"> places within the ICB defined by the local authority boundaries, Hull is one of those places. Health and Wellbeing Boards will continue to have an important role in local places in terms of developing and owning a unified plan for the area. </w:t>
      </w:r>
    </w:p>
    <w:p w14:paraId="0F128432" w14:textId="33B2F5C5" w:rsidR="00BA19FA" w:rsidRPr="00D326D4" w:rsidRDefault="00B46568" w:rsidP="00BA19FA">
      <w:pPr>
        <w:autoSpaceDE w:val="0"/>
        <w:autoSpaceDN w:val="0"/>
        <w:adjustRightInd w:val="0"/>
        <w:spacing w:after="0"/>
        <w:rPr>
          <w:rFonts w:cs="Arial"/>
          <w:color w:val="000000"/>
        </w:rPr>
      </w:pPr>
      <w:r w:rsidRPr="00D326D4">
        <w:rPr>
          <w:rFonts w:cs="Arial"/>
        </w:rPr>
        <w:lastRenderedPageBreak/>
        <mc:AlternateContent>
          <mc:Choice Requires="wps">
            <w:drawing>
              <wp:anchor distT="0" distB="0" distL="114300" distR="114300" simplePos="0" relativeHeight="251699200" behindDoc="0" locked="0" layoutInCell="1" allowOverlap="1" wp14:anchorId="4D3E8B2E" wp14:editId="0E5C4232">
                <wp:simplePos x="0" y="0"/>
                <wp:positionH relativeFrom="column">
                  <wp:posOffset>4375150</wp:posOffset>
                </wp:positionH>
                <wp:positionV relativeFrom="paragraph">
                  <wp:posOffset>626110</wp:posOffset>
                </wp:positionV>
                <wp:extent cx="1847850" cy="161925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1847850" cy="1619250"/>
                        </a:xfrm>
                        <a:prstGeom prst="rect">
                          <a:avLst/>
                        </a:prstGeom>
                        <a:solidFill>
                          <a:schemeClr val="lt1"/>
                        </a:solidFill>
                        <a:ln w="12700">
                          <a:solidFill>
                            <a:schemeClr val="tx1"/>
                          </a:solidFill>
                        </a:ln>
                      </wps:spPr>
                      <wps:txbx>
                        <w:txbxContent>
                          <w:p w14:paraId="04FDD9A1" w14:textId="77777777" w:rsidR="00BA19FA" w:rsidRPr="00DC6000" w:rsidRDefault="00BA19FA" w:rsidP="00BA19FA">
                            <w:pPr>
                              <w:jc w:val="center"/>
                              <w:rPr>
                                <w:rFonts w:cs="Arial"/>
                              </w:rPr>
                            </w:pPr>
                            <w:r w:rsidRPr="00DC6000">
                              <w:rPr>
                                <w:rFonts w:cs="Arial"/>
                              </w:rPr>
                              <w:t>Our Health and Wellbeing Strategy for Hull</w:t>
                            </w:r>
                          </w:p>
                          <w:p w14:paraId="19929B54" w14:textId="77777777" w:rsidR="00BA19FA" w:rsidRPr="00DC6000" w:rsidRDefault="00BA19FA" w:rsidP="00BA19FA">
                            <w:pPr>
                              <w:jc w:val="center"/>
                              <w:rPr>
                                <w:b/>
                                <w:bCs/>
                                <w:i/>
                                <w:iCs/>
                              </w:rPr>
                            </w:pPr>
                            <w:r w:rsidRPr="00DC6000">
                              <w:rPr>
                                <w:rFonts w:cs="Arial"/>
                                <w:b/>
                                <w:bCs/>
                                <w:i/>
                                <w:iCs/>
                              </w:rPr>
                              <w:t>Working together to create a fairer Hull</w:t>
                            </w:r>
                            <w:r>
                              <w:rPr>
                                <w:rFonts w:cs="Arial"/>
                                <w:b/>
                                <w:bCs/>
                                <w:i/>
                                <w:iCs/>
                              </w:rPr>
                              <w:t>,</w:t>
                            </w:r>
                            <w:r w:rsidRPr="00DC6000">
                              <w:rPr>
                                <w:rFonts w:cs="Arial"/>
                                <w:b/>
                                <w:bCs/>
                                <w:i/>
                                <w:iCs/>
                              </w:rPr>
                              <w:t xml:space="preserve"> where everyone benefits from real and sustained improvements in health and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3E8B2E" id="_x0000_t202" coordsize="21600,21600" o:spt="202" path="m,l,21600r21600,l21600,xe">
                <v:stroke joinstyle="miter"/>
                <v:path gradientshapeok="t" o:connecttype="rect"/>
              </v:shapetype>
              <v:shape id="Text Box 2" o:spid="_x0000_s1026" type="#_x0000_t202" style="position:absolute;margin-left:344.5pt;margin-top:49.3pt;width:145.5pt;height:12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" fillcolor="white [3201]" strokecolor="black [3213]" strokeweight="1pt">
                <v:textbox>
                  <w:txbxContent>
                    <w:p w14:paraId="04FDD9A1" w14:textId="77777777" w:rsidR="00BA19FA" w:rsidRPr="00DC6000" w:rsidRDefault="00BA19FA" w:rsidP="00BA19FA">
                      <w:pPr>
                        <w:jc w:val="center"/>
                        <w:rPr>
                          <w:rFonts w:cs="Arial"/>
                        </w:rPr>
                      </w:pPr>
                      <w:r w:rsidRPr="00DC6000">
                        <w:rPr>
                          <w:rFonts w:cs="Arial"/>
                        </w:rPr>
                        <w:t>Our Health and Wellbeing Strategy for Hull</w:t>
                      </w:r>
                    </w:p>
                    <w:p w14:paraId="19929B54" w14:textId="77777777" w:rsidR="00BA19FA" w:rsidRPr="00DC6000" w:rsidRDefault="00BA19FA" w:rsidP="00BA19FA">
                      <w:pPr>
                        <w:jc w:val="center"/>
                        <w:rPr>
                          <w:b/>
                          <w:bCs/>
                          <w:i/>
                          <w:iCs/>
                        </w:rPr>
                      </w:pPr>
                      <w:r w:rsidRPr="00DC6000">
                        <w:rPr>
                          <w:rFonts w:cs="Arial"/>
                          <w:b/>
                          <w:bCs/>
                          <w:i/>
                          <w:iCs/>
                        </w:rPr>
                        <w:t>Working together to create a fairer Hull</w:t>
                      </w:r>
                      <w:r>
                        <w:rPr>
                          <w:rFonts w:cs="Arial"/>
                          <w:b/>
                          <w:bCs/>
                          <w:i/>
                          <w:iCs/>
                        </w:rPr>
                        <w:t>,</w:t>
                      </w:r>
                      <w:r w:rsidRPr="00DC6000">
                        <w:rPr>
                          <w:rFonts w:cs="Arial"/>
                          <w:b/>
                          <w:bCs/>
                          <w:i/>
                          <w:iCs/>
                        </w:rPr>
                        <w:t xml:space="preserve"> where everyone benefits from real and sustained improvements in health and wellbeing.</w:t>
                      </w:r>
                    </w:p>
                  </w:txbxContent>
                </v:textbox>
                <w10:wrap type="square"/>
              </v:shape>
            </w:pict>
          </mc:Fallback>
        </mc:AlternateContent>
      </w:r>
      <w:r w:rsidR="00BA19FA" w:rsidRPr="00D326D4">
        <w:rPr>
          <w:rFonts w:cs="Arial"/>
        </w:rPr>
        <w:t>The development of Place-based arrangements between local authorities, the NHS and providers of health and care will be left to local areas to arrange, and the Hull Health and Care Partnership (previously the ICS Steering Group) is now established and working in shadow, with an agreed vision, strategy, values and health and care priorities for Hull.</w:t>
      </w:r>
      <w:r w:rsidR="00BA19FA" w:rsidRPr="00D326D4">
        <w:rPr>
          <w:rFonts w:cs="Arial"/>
          <w:color w:val="000000"/>
        </w:rPr>
        <w:t xml:space="preserve"> </w:t>
      </w:r>
    </w:p>
    <w:p w14:paraId="70009C41" w14:textId="770FC985" w:rsidR="00BA19FA" w:rsidRPr="00D326D4" w:rsidRDefault="00BA19FA" w:rsidP="00BA19FA">
      <w:pPr>
        <w:rPr>
          <w:rFonts w:cs="Arial"/>
        </w:rPr>
      </w:pPr>
      <w:r w:rsidRPr="00D326D4">
        <w:rPr>
          <w:rFonts w:cs="Arial"/>
        </w:rPr>
        <w:t>A Place Plan is being developed which will enable the Partnership to move from a ‘developing’ to a ‘thriving’ status over the next 6 to 12 months. Other key elements that will help to take this forward will include the well-established integrated financial plan between the CCG and Hull City Council.</w:t>
      </w:r>
    </w:p>
    <w:p w14:paraId="16AB10B6" w14:textId="2975CC14" w:rsidR="00BA19FA" w:rsidRPr="00D326D4" w:rsidRDefault="00BA19FA" w:rsidP="00BA19FA">
      <w:pPr>
        <w:rPr>
          <w:rFonts w:cs="Arial"/>
        </w:rPr>
      </w:pPr>
      <w:r w:rsidRPr="00D326D4">
        <w:rPr>
          <w:rFonts w:cs="Arial"/>
        </w:rPr>
        <w:t>The Shadow</w:t>
      </w:r>
      <w:r w:rsidRPr="00D326D4">
        <w:rPr>
          <w:rFonts w:cs="Arial"/>
          <w:lang w:val="en-US"/>
        </w:rPr>
        <w:t xml:space="preserve"> Hull Health and Care Partnership has a core membership made up from representatives from Hull City Council (including public health, children and families, adult social care and housing), NHS healthcare providers in Hull, the University of Hull, Hull Learning Partnership, Healthwatch Kingston upon Hull and Hull Voice</w:t>
      </w:r>
      <w:r w:rsidR="007C1DF9" w:rsidRPr="00D326D4">
        <w:rPr>
          <w:rFonts w:cs="Arial"/>
          <w:lang w:val="en-US"/>
        </w:rPr>
        <w:t xml:space="preserve"> and Influence Partnership</w:t>
      </w:r>
      <w:r w:rsidRPr="00D326D4">
        <w:rPr>
          <w:rFonts w:cs="Arial"/>
          <w:lang w:val="en-US"/>
        </w:rPr>
        <w:t xml:space="preserve">. It will meet in public six times a year. </w:t>
      </w:r>
      <w:r w:rsidRPr="00D326D4">
        <w:rPr>
          <w:rFonts w:cs="Arial"/>
        </w:rPr>
        <w:t>It will continue to shape and mature relationships with the partners, and to embed citizen engagement and co-design into its delivery models.</w:t>
      </w:r>
      <w:r w:rsidR="00D3113E" w:rsidRPr="00D326D4">
        <w:rPr>
          <w:rFonts w:cs="Arial"/>
        </w:rPr>
        <w:t xml:space="preserve"> </w:t>
      </w:r>
      <w:r w:rsidRPr="00D326D4">
        <w:rPr>
          <w:rFonts w:cs="Arial"/>
        </w:rPr>
        <w:t xml:space="preserve">The next </w:t>
      </w:r>
      <w:r w:rsidR="002910B4" w:rsidRPr="00D326D4">
        <w:rPr>
          <w:rFonts w:cs="Arial"/>
        </w:rPr>
        <w:t>s</w:t>
      </w:r>
      <w:r w:rsidRPr="00D326D4">
        <w:rPr>
          <w:rFonts w:cs="Arial"/>
        </w:rPr>
        <w:t>teps for the Partnership include:</w:t>
      </w:r>
    </w:p>
    <w:p w14:paraId="3BACDE80" w14:textId="77777777" w:rsidR="00BA19FA" w:rsidRPr="00D326D4" w:rsidRDefault="00BA19FA" w:rsidP="0062761B">
      <w:pPr>
        <w:numPr>
          <w:ilvl w:val="0"/>
          <w:numId w:val="39"/>
        </w:numPr>
        <w:tabs>
          <w:tab w:val="clear" w:pos="2835"/>
          <w:tab w:val="clear" w:pos="5670"/>
          <w:tab w:val="clear" w:pos="9016"/>
        </w:tabs>
        <w:spacing w:before="0" w:after="0"/>
        <w:rPr>
          <w:rFonts w:cs="Arial"/>
        </w:rPr>
      </w:pPr>
      <w:r w:rsidRPr="00D326D4">
        <w:rPr>
          <w:rFonts w:cs="Arial"/>
        </w:rPr>
        <w:t>Holding a third Partnership workshop, focused on development, governance and finance.</w:t>
      </w:r>
    </w:p>
    <w:p w14:paraId="71E099CE" w14:textId="77777777" w:rsidR="00BA19FA" w:rsidRPr="00D326D4" w:rsidRDefault="00BA19FA" w:rsidP="0062761B">
      <w:pPr>
        <w:numPr>
          <w:ilvl w:val="0"/>
          <w:numId w:val="39"/>
        </w:numPr>
        <w:tabs>
          <w:tab w:val="clear" w:pos="2835"/>
          <w:tab w:val="clear" w:pos="5670"/>
          <w:tab w:val="clear" w:pos="9016"/>
        </w:tabs>
        <w:spacing w:before="0" w:after="0"/>
        <w:rPr>
          <w:rFonts w:cs="Arial"/>
        </w:rPr>
      </w:pPr>
      <w:r w:rsidRPr="00D326D4">
        <w:rPr>
          <w:rFonts w:cs="Arial"/>
        </w:rPr>
        <w:t>Finalising the Place Plan which will need to be owned by all partners by the ‘go live’ date of 1 July 2022.</w:t>
      </w:r>
    </w:p>
    <w:p w14:paraId="507974B6" w14:textId="77777777" w:rsidR="00BA19FA" w:rsidRPr="00D326D4" w:rsidRDefault="00BA19FA" w:rsidP="0062761B">
      <w:pPr>
        <w:numPr>
          <w:ilvl w:val="0"/>
          <w:numId w:val="39"/>
        </w:numPr>
        <w:tabs>
          <w:tab w:val="clear" w:pos="2835"/>
          <w:tab w:val="clear" w:pos="5670"/>
          <w:tab w:val="clear" w:pos="9016"/>
        </w:tabs>
        <w:spacing w:before="0" w:after="0"/>
        <w:rPr>
          <w:rFonts w:cs="Arial"/>
        </w:rPr>
      </w:pPr>
      <w:r w:rsidRPr="00D326D4">
        <w:rPr>
          <w:rFonts w:cs="Arial"/>
        </w:rPr>
        <w:t xml:space="preserve">Developing the Operating Framework as it transitions to one supporting a joint committee of statutory partners by April 2023. </w:t>
      </w:r>
    </w:p>
    <w:p w14:paraId="55CBC3BE" w14:textId="53C077D2" w:rsidR="00BA19FA" w:rsidRPr="00D326D4" w:rsidRDefault="00BA19FA" w:rsidP="0062761B">
      <w:pPr>
        <w:numPr>
          <w:ilvl w:val="0"/>
          <w:numId w:val="39"/>
        </w:numPr>
        <w:tabs>
          <w:tab w:val="clear" w:pos="2835"/>
          <w:tab w:val="clear" w:pos="5670"/>
          <w:tab w:val="clear" w:pos="9016"/>
        </w:tabs>
        <w:spacing w:before="0" w:after="0"/>
        <w:rPr>
          <w:rFonts w:cs="Arial"/>
        </w:rPr>
      </w:pPr>
      <w:r w:rsidRPr="00D326D4">
        <w:rPr>
          <w:rFonts w:cs="Arial"/>
        </w:rPr>
        <w:t xml:space="preserve">Focusing on </w:t>
      </w:r>
      <w:r w:rsidR="002910B4" w:rsidRPr="00D326D4">
        <w:rPr>
          <w:rFonts w:cs="Arial"/>
        </w:rPr>
        <w:t>i</w:t>
      </w:r>
      <w:r w:rsidRPr="00D326D4">
        <w:rPr>
          <w:rFonts w:cs="Arial"/>
        </w:rPr>
        <w:t xml:space="preserve">ntegrated </w:t>
      </w:r>
      <w:r w:rsidR="002910B4" w:rsidRPr="00D326D4">
        <w:rPr>
          <w:rFonts w:cs="Arial"/>
        </w:rPr>
        <w:t>d</w:t>
      </w:r>
      <w:r w:rsidRPr="00D326D4">
        <w:rPr>
          <w:rFonts w:cs="Arial"/>
        </w:rPr>
        <w:t xml:space="preserve">elivery and developing a model to support people at home.  </w:t>
      </w:r>
    </w:p>
    <w:p w14:paraId="052121A0" w14:textId="716AF75E" w:rsidR="00BA19FA" w:rsidRPr="00D326D4" w:rsidRDefault="00BA19FA" w:rsidP="00BA19FA">
      <w:pPr>
        <w:rPr>
          <w:rFonts w:cs="Arial"/>
        </w:rPr>
      </w:pPr>
      <w:r w:rsidRPr="00D326D4">
        <w:rPr>
          <w:rFonts w:cs="Arial"/>
        </w:rPr>
        <w:t xml:space="preserve">The Health and Care Partnership in Hull has agreed its Health and Wellbeing Strategy with the principle of working together to create a fairer Hull where everyone benefits from real and sustained improvements in health and wellbeing. </w:t>
      </w:r>
      <w:r w:rsidR="008E5724" w:rsidRPr="00D326D4">
        <w:rPr>
          <w:rFonts w:cs="Arial"/>
        </w:rPr>
        <w:t>T</w:t>
      </w:r>
      <w:r w:rsidRPr="00D326D4">
        <w:rPr>
          <w:rFonts w:cs="Arial"/>
        </w:rPr>
        <w:t xml:space="preserve">his model enables transparent, accountable and collaborative decision making where a range of views may be considered.  </w:t>
      </w:r>
    </w:p>
    <w:p w14:paraId="6313A32E" w14:textId="77777777" w:rsidR="00BA19FA" w:rsidRPr="00D326D4" w:rsidRDefault="00BA19FA" w:rsidP="00BA19FA">
      <w:pPr>
        <w:rPr>
          <w:rFonts w:cs="Arial"/>
          <w:b/>
          <w:bCs/>
        </w:rPr>
      </w:pPr>
      <w:r w:rsidRPr="00D326D4">
        <w:rPr>
          <w:rFonts w:cs="Arial"/>
          <w:b/>
          <w:bCs/>
        </w:rPr>
        <w:t>Creating a Fairer Hull</w:t>
      </w:r>
    </w:p>
    <w:p w14:paraId="0368146D" w14:textId="79A1A367" w:rsidR="00BA19FA" w:rsidRPr="00D326D4" w:rsidRDefault="00BA19FA" w:rsidP="00BA19FA">
      <w:pPr>
        <w:rPr>
          <w:rFonts w:cs="Arial"/>
        </w:rPr>
      </w:pPr>
      <w:r w:rsidRPr="00D326D4">
        <w:rPr>
          <w:rFonts w:cs="Arial"/>
        </w:rPr>
        <w:t>Hull’s Joint Health and Wellbeing strategy describes an ambitious vision around ‘creating a fairer Hull’. Achieving this vision</w:t>
      </w:r>
      <w:r w:rsidRPr="00D326D4">
        <w:rPr>
          <w:rFonts w:cs="Arial"/>
          <w:color w:val="000000" w:themeColor="text1"/>
          <w:kern w:val="24"/>
        </w:rPr>
        <w:t xml:space="preserve"> </w:t>
      </w:r>
      <w:r w:rsidRPr="00D326D4">
        <w:rPr>
          <w:rFonts w:cs="Arial"/>
        </w:rPr>
        <w:t xml:space="preserve">will require the whole system to mobilise as </w:t>
      </w:r>
      <w:r w:rsidR="002910B4" w:rsidRPr="00D326D4">
        <w:rPr>
          <w:rFonts w:cs="Arial"/>
        </w:rPr>
        <w:t>one</w:t>
      </w:r>
      <w:r w:rsidRPr="00D326D4">
        <w:rPr>
          <w:rFonts w:cs="Arial"/>
        </w:rPr>
        <w:t xml:space="preserve">.  </w:t>
      </w:r>
    </w:p>
    <w:p w14:paraId="4AE43E9D" w14:textId="4906A499" w:rsidR="00BA19FA" w:rsidRPr="00D326D4" w:rsidRDefault="00BA19FA" w:rsidP="00BA19FA">
      <w:pPr>
        <w:pStyle w:val="NormalWeb"/>
        <w:spacing w:before="200" w:line="276" w:lineRule="auto"/>
        <w:rPr>
          <w:rFonts w:ascii="Arial" w:hAnsi="Arial" w:cs="Arial"/>
          <w:sz w:val="22"/>
          <w:szCs w:val="22"/>
        </w:rPr>
      </w:pPr>
      <w:r w:rsidRPr="00D326D4">
        <w:rPr>
          <w:rFonts w:ascii="Arial" w:hAnsi="Arial" w:cs="Arial"/>
          <w:sz w:val="22"/>
          <w:szCs w:val="22"/>
        </w:rPr>
        <w:t xml:space="preserve">As we move forward, the partners will be required to make some difficult decisions together around prioritisation of resources, innovative service and funding models, workforce models and being mutually accountable for shared outcomes. Robust and transparent operating arrangements will need to be established to support this. </w:t>
      </w:r>
    </w:p>
    <w:p w14:paraId="14578212" w14:textId="0DE0C1F9" w:rsidR="00BA19FA" w:rsidRPr="00D326D4" w:rsidRDefault="00BA19FA" w:rsidP="00BA19FA">
      <w:pPr>
        <w:pStyle w:val="NormalWeb"/>
        <w:spacing w:before="200" w:line="276" w:lineRule="auto"/>
        <w:rPr>
          <w:rFonts w:ascii="Arial" w:hAnsi="Arial" w:cs="Arial"/>
          <w:sz w:val="22"/>
          <w:szCs w:val="22"/>
        </w:rPr>
      </w:pPr>
      <w:r w:rsidRPr="00D326D4">
        <w:rPr>
          <w:rFonts w:ascii="Arial" w:hAnsi="Arial" w:cs="Arial"/>
          <w:sz w:val="22"/>
          <w:szCs w:val="22"/>
        </w:rPr>
        <w:t xml:space="preserve">Much will be achieved together as a </w:t>
      </w:r>
      <w:r w:rsidR="002910B4" w:rsidRPr="00D326D4">
        <w:rPr>
          <w:rFonts w:ascii="Arial" w:hAnsi="Arial" w:cs="Arial"/>
          <w:sz w:val="22"/>
          <w:szCs w:val="22"/>
        </w:rPr>
        <w:t>collective</w:t>
      </w:r>
      <w:r w:rsidRPr="00D326D4">
        <w:rPr>
          <w:rFonts w:ascii="Arial" w:hAnsi="Arial" w:cs="Arial"/>
          <w:sz w:val="22"/>
          <w:szCs w:val="22"/>
        </w:rPr>
        <w:t xml:space="preserve"> for the people of Hull and building on these relationships and ways of working will be important.</w:t>
      </w:r>
    </w:p>
    <w:p w14:paraId="7C25B285" w14:textId="7BA226E5" w:rsidR="00B71FAD" w:rsidRDefault="00BA19FA" w:rsidP="00BA19FA">
      <w:pPr>
        <w:pStyle w:val="NormalWeb"/>
        <w:spacing w:before="200" w:line="276" w:lineRule="auto"/>
        <w:rPr>
          <w:rStyle w:val="Hyperlink"/>
          <w:rFonts w:ascii="Arial" w:eastAsiaTheme="majorEastAsia" w:hAnsi="Arial" w:cs="Arial"/>
          <w:sz w:val="22"/>
          <w:szCs w:val="22"/>
        </w:rPr>
      </w:pPr>
      <w:r w:rsidRPr="00D326D4">
        <w:rPr>
          <w:rFonts w:ascii="Arial" w:hAnsi="Arial" w:cs="Arial"/>
          <w:sz w:val="22"/>
          <w:szCs w:val="22"/>
        </w:rPr>
        <w:t>You will be able to find out more about the Shadow</w:t>
      </w:r>
      <w:r w:rsidRPr="00D326D4">
        <w:rPr>
          <w:rFonts w:ascii="Arial" w:hAnsi="Arial" w:cs="Arial"/>
          <w:lang w:val="en-US"/>
        </w:rPr>
        <w:t xml:space="preserve"> </w:t>
      </w:r>
      <w:r w:rsidRPr="00D326D4">
        <w:rPr>
          <w:rFonts w:ascii="Arial" w:hAnsi="Arial" w:cs="Arial"/>
          <w:sz w:val="22"/>
          <w:szCs w:val="22"/>
          <w:lang w:val="en-US"/>
        </w:rPr>
        <w:t xml:space="preserve">Hull Health and Care Partnership at </w:t>
      </w:r>
      <w:hyperlink r:id="rId22" w:history="1">
        <w:r w:rsidRPr="00D326D4">
          <w:rPr>
            <w:rStyle w:val="Hyperlink"/>
            <w:rFonts w:ascii="Arial" w:eastAsiaTheme="majorEastAsia" w:hAnsi="Arial" w:cs="Arial"/>
            <w:sz w:val="22"/>
            <w:szCs w:val="22"/>
          </w:rPr>
          <w:t>www.humberandnorthyorkshire.org.uk</w:t>
        </w:r>
      </w:hyperlink>
    </w:p>
    <w:p w14:paraId="3A2C5CBE" w14:textId="77777777" w:rsidR="00C93423" w:rsidRDefault="00C93423">
      <w:pPr>
        <w:tabs>
          <w:tab w:val="clear" w:pos="2835"/>
          <w:tab w:val="clear" w:pos="5670"/>
          <w:tab w:val="clear" w:pos="9016"/>
        </w:tabs>
        <w:spacing w:before="0" w:after="200"/>
        <w:rPr>
          <w:rStyle w:val="Hyperlink"/>
          <w:rFonts w:eastAsiaTheme="majorEastAsia" w:cs="Arial"/>
        </w:rPr>
      </w:pPr>
    </w:p>
    <w:p w14:paraId="16BB0971" w14:textId="5819A2E8" w:rsidR="00B71FAD" w:rsidRDefault="00B71FAD">
      <w:pPr>
        <w:tabs>
          <w:tab w:val="clear" w:pos="2835"/>
          <w:tab w:val="clear" w:pos="5670"/>
          <w:tab w:val="clear" w:pos="9016"/>
        </w:tabs>
        <w:spacing w:before="0" w:after="200"/>
        <w:rPr>
          <w:rStyle w:val="Hyperlink"/>
          <w:rFonts w:eastAsiaTheme="majorEastAsia" w:cs="Arial"/>
        </w:rPr>
      </w:pPr>
      <w:r>
        <w:rPr>
          <w:rStyle w:val="Hyperlink"/>
          <w:rFonts w:eastAsiaTheme="majorEastAsia" w:cs="Arial"/>
        </w:rPr>
        <w:br w:type="page"/>
      </w:r>
    </w:p>
    <w:p w14:paraId="73800D31" w14:textId="271DD6A8" w:rsidR="00B0098F" w:rsidRPr="00B71FAD" w:rsidRDefault="00992CA0" w:rsidP="00B71FAD">
      <w:pPr>
        <w:pStyle w:val="Heading2"/>
      </w:pPr>
      <w:bookmarkStart w:id="17" w:name="_Toc103695018"/>
      <w:bookmarkStart w:id="18" w:name="_Toc481760934"/>
      <w:bookmarkEnd w:id="15"/>
      <w:r w:rsidRPr="00B71FAD">
        <w:lastRenderedPageBreak/>
        <w:t xml:space="preserve">CCG </w:t>
      </w:r>
      <w:r w:rsidR="002910B4" w:rsidRPr="00B71FAD">
        <w:t>c</w:t>
      </w:r>
      <w:r w:rsidR="00797D76" w:rsidRPr="00B71FAD">
        <w:t xml:space="preserve">ommissioning </w:t>
      </w:r>
      <w:r w:rsidR="002910B4" w:rsidRPr="00B71FAD">
        <w:t xml:space="preserve">programmes </w:t>
      </w:r>
      <w:r w:rsidRPr="00B71FAD">
        <w:t>2021-22</w:t>
      </w:r>
      <w:bookmarkEnd w:id="17"/>
    </w:p>
    <w:p w14:paraId="36B4C1EA" w14:textId="77777777" w:rsidR="00091DDE" w:rsidRDefault="00091DDE" w:rsidP="00091DDE">
      <w:pPr>
        <w:pStyle w:val="Heading3"/>
      </w:pPr>
      <w:bookmarkStart w:id="19" w:name="_Toc41479053"/>
      <w:bookmarkStart w:id="20" w:name="_Toc103695019"/>
      <w:r w:rsidRPr="00A558A4">
        <w:t>Unplanned (</w:t>
      </w:r>
      <w:r>
        <w:t>E</w:t>
      </w:r>
      <w:r w:rsidRPr="00A558A4">
        <w:t xml:space="preserve">mergency) </w:t>
      </w:r>
      <w:r>
        <w:t>C</w:t>
      </w:r>
      <w:r w:rsidRPr="00A558A4">
        <w:t>are</w:t>
      </w:r>
      <w:bookmarkEnd w:id="19"/>
      <w:bookmarkEnd w:id="20"/>
      <w:r w:rsidRPr="00A558A4">
        <w:t xml:space="preserve"> </w:t>
      </w:r>
    </w:p>
    <w:p w14:paraId="79C04F48" w14:textId="5D32E8C1" w:rsidR="00091DDE" w:rsidRPr="00D326D4" w:rsidRDefault="00091DDE" w:rsidP="00091DDE">
      <w:pPr>
        <w:pStyle w:val="Default"/>
        <w:spacing w:line="276" w:lineRule="auto"/>
        <w:rPr>
          <w:sz w:val="22"/>
          <w:szCs w:val="22"/>
        </w:rPr>
      </w:pPr>
      <w:r w:rsidRPr="00F04AF3">
        <w:rPr>
          <w:color w:val="auto"/>
          <w:sz w:val="22"/>
        </w:rPr>
        <w:t>Our prim</w:t>
      </w:r>
      <w:r>
        <w:rPr>
          <w:color w:val="auto"/>
          <w:sz w:val="22"/>
        </w:rPr>
        <w:t>ary</w:t>
      </w:r>
      <w:r w:rsidRPr="00F04AF3">
        <w:rPr>
          <w:color w:val="auto"/>
          <w:sz w:val="22"/>
        </w:rPr>
        <w:t xml:space="preserve"> aim for 2021</w:t>
      </w:r>
      <w:r>
        <w:rPr>
          <w:color w:val="auto"/>
          <w:sz w:val="22"/>
        </w:rPr>
        <w:t>-</w:t>
      </w:r>
      <w:r w:rsidRPr="00F04AF3">
        <w:rPr>
          <w:color w:val="auto"/>
          <w:sz w:val="22"/>
        </w:rPr>
        <w:t xml:space="preserve">22 was to ensure that people who had an urgent </w:t>
      </w:r>
      <w:r w:rsidRPr="00F04AF3">
        <w:rPr>
          <w:bCs/>
          <w:color w:val="auto"/>
          <w:sz w:val="22"/>
        </w:rPr>
        <w:t>(unplanned)</w:t>
      </w:r>
      <w:r w:rsidRPr="00F04AF3">
        <w:rPr>
          <w:b/>
          <w:color w:val="auto"/>
          <w:sz w:val="22"/>
        </w:rPr>
        <w:t xml:space="preserve"> </w:t>
      </w:r>
      <w:r w:rsidRPr="00F04AF3">
        <w:rPr>
          <w:color w:val="auto"/>
          <w:sz w:val="22"/>
        </w:rPr>
        <w:t xml:space="preserve">care needs were supported to access the right </w:t>
      </w:r>
      <w:r w:rsidRPr="00F04AF3">
        <w:rPr>
          <w:bCs/>
          <w:color w:val="auto"/>
          <w:sz w:val="22"/>
        </w:rPr>
        <w:t xml:space="preserve">service for their clinical need. Our aim was to achieve </w:t>
      </w:r>
      <w:r w:rsidRPr="00F04AF3">
        <w:rPr>
          <w:bCs/>
          <w:i/>
          <w:iCs/>
          <w:color w:val="auto"/>
          <w:sz w:val="22"/>
        </w:rPr>
        <w:t xml:space="preserve">right care, right place, right time </w:t>
      </w:r>
      <w:r w:rsidRPr="00F04AF3">
        <w:rPr>
          <w:bCs/>
          <w:color w:val="auto"/>
          <w:sz w:val="22"/>
        </w:rPr>
        <w:t xml:space="preserve">and our focus was </w:t>
      </w:r>
      <w:r w:rsidR="00EC188B">
        <w:rPr>
          <w:bCs/>
          <w:color w:val="auto"/>
          <w:sz w:val="22"/>
        </w:rPr>
        <w:t xml:space="preserve">on </w:t>
      </w:r>
      <w:r w:rsidRPr="00F04AF3">
        <w:rPr>
          <w:bCs/>
          <w:color w:val="auto"/>
          <w:sz w:val="22"/>
        </w:rPr>
        <w:t xml:space="preserve">offering an appropriate clinical assessment to patients </w:t>
      </w:r>
      <w:r w:rsidR="00EC188B">
        <w:rPr>
          <w:bCs/>
          <w:color w:val="auto"/>
          <w:sz w:val="22"/>
        </w:rPr>
        <w:t>for</w:t>
      </w:r>
      <w:r w:rsidRPr="00F04AF3">
        <w:rPr>
          <w:bCs/>
          <w:color w:val="auto"/>
          <w:sz w:val="22"/>
        </w:rPr>
        <w:t xml:space="preserve"> their </w:t>
      </w:r>
      <w:r w:rsidR="00EC188B">
        <w:rPr>
          <w:bCs/>
          <w:color w:val="auto"/>
          <w:sz w:val="22"/>
        </w:rPr>
        <w:t xml:space="preserve">urgent care </w:t>
      </w:r>
      <w:r w:rsidRPr="00F04AF3">
        <w:rPr>
          <w:bCs/>
          <w:color w:val="auto"/>
          <w:sz w:val="22"/>
        </w:rPr>
        <w:t xml:space="preserve">needs as quickly as </w:t>
      </w:r>
      <w:r w:rsidRPr="00D326D4">
        <w:rPr>
          <w:bCs/>
          <w:color w:val="auto"/>
          <w:sz w:val="22"/>
        </w:rPr>
        <w:t>possible</w:t>
      </w:r>
      <w:r w:rsidRPr="00D326D4">
        <w:rPr>
          <w:color w:val="auto"/>
          <w:sz w:val="22"/>
        </w:rPr>
        <w:t>.</w:t>
      </w:r>
      <w:r w:rsidRPr="00D326D4">
        <w:rPr>
          <w:sz w:val="22"/>
          <w:szCs w:val="22"/>
        </w:rPr>
        <w:t xml:space="preserve"> </w:t>
      </w:r>
      <w:r w:rsidR="00EC188B" w:rsidRPr="00D326D4">
        <w:rPr>
          <w:sz w:val="22"/>
          <w:szCs w:val="22"/>
        </w:rPr>
        <w:t>Once again we have had to work with</w:t>
      </w:r>
      <w:r w:rsidRPr="00D326D4">
        <w:rPr>
          <w:sz w:val="22"/>
          <w:szCs w:val="22"/>
        </w:rPr>
        <w:t xml:space="preserve"> social distancing and infection control measures across services. </w:t>
      </w:r>
    </w:p>
    <w:p w14:paraId="7E230321" w14:textId="3B4D1C2C" w:rsidR="00091DDE" w:rsidRPr="00D326D4" w:rsidRDefault="00091DDE" w:rsidP="00091DDE">
      <w:pPr>
        <w:pStyle w:val="Default"/>
        <w:spacing w:line="276" w:lineRule="auto"/>
        <w:rPr>
          <w:color w:val="auto"/>
          <w:sz w:val="22"/>
          <w:szCs w:val="22"/>
        </w:rPr>
      </w:pPr>
      <w:r w:rsidRPr="00D326D4">
        <w:rPr>
          <w:color w:val="auto"/>
          <w:sz w:val="22"/>
          <w:szCs w:val="22"/>
        </w:rPr>
        <w:t>In Hull we continue to work collaboratively with partners across Yorkshire and Humber</w:t>
      </w:r>
      <w:r w:rsidR="00EC188B" w:rsidRPr="00D326D4">
        <w:rPr>
          <w:color w:val="auto"/>
          <w:sz w:val="22"/>
          <w:szCs w:val="22"/>
        </w:rPr>
        <w:t>,</w:t>
      </w:r>
      <w:r w:rsidRPr="00D326D4">
        <w:rPr>
          <w:color w:val="auto"/>
          <w:sz w:val="22"/>
          <w:szCs w:val="22"/>
        </w:rPr>
        <w:t xml:space="preserve"> and with Yorkshire Ambulance Service (YAS) as our NHS 111 provider, to ensure there is sufficient capacity in the system to deliver the national NHS</w:t>
      </w:r>
      <w:r w:rsidR="002910B4" w:rsidRPr="00D326D4">
        <w:rPr>
          <w:color w:val="auto"/>
          <w:sz w:val="22"/>
          <w:szCs w:val="22"/>
        </w:rPr>
        <w:t xml:space="preserve"> </w:t>
      </w:r>
      <w:r w:rsidRPr="00D326D4">
        <w:rPr>
          <w:color w:val="auto"/>
          <w:sz w:val="22"/>
          <w:szCs w:val="22"/>
        </w:rPr>
        <w:t>111 First programme</w:t>
      </w:r>
      <w:r w:rsidR="00EC188B" w:rsidRPr="00D326D4">
        <w:rPr>
          <w:color w:val="auto"/>
          <w:sz w:val="22"/>
          <w:szCs w:val="22"/>
        </w:rPr>
        <w:t>. This programme</w:t>
      </w:r>
      <w:r w:rsidRPr="00D326D4">
        <w:rPr>
          <w:color w:val="auto"/>
          <w:sz w:val="22"/>
          <w:szCs w:val="22"/>
        </w:rPr>
        <w:t xml:space="preserve"> encourages individuals to ring and speak to NHS 111 </w:t>
      </w:r>
      <w:r w:rsidR="00EC188B" w:rsidRPr="00D326D4">
        <w:rPr>
          <w:color w:val="auto"/>
          <w:sz w:val="22"/>
          <w:szCs w:val="22"/>
        </w:rPr>
        <w:t>to support them in</w:t>
      </w:r>
      <w:r w:rsidRPr="00D326D4">
        <w:rPr>
          <w:color w:val="auto"/>
          <w:sz w:val="22"/>
          <w:szCs w:val="22"/>
        </w:rPr>
        <w:t xml:space="preserve"> deciding wh</w:t>
      </w:r>
      <w:r w:rsidR="00EC188B" w:rsidRPr="00D326D4">
        <w:rPr>
          <w:color w:val="auto"/>
          <w:sz w:val="22"/>
          <w:szCs w:val="22"/>
        </w:rPr>
        <w:t>ich</w:t>
      </w:r>
      <w:r w:rsidRPr="00D326D4">
        <w:rPr>
          <w:color w:val="auto"/>
          <w:sz w:val="22"/>
          <w:szCs w:val="22"/>
        </w:rPr>
        <w:t xml:space="preserve"> service is most clinically appropriate and</w:t>
      </w:r>
      <w:r w:rsidR="00EC188B" w:rsidRPr="00D326D4">
        <w:rPr>
          <w:color w:val="auto"/>
          <w:sz w:val="22"/>
          <w:szCs w:val="22"/>
        </w:rPr>
        <w:t>,</w:t>
      </w:r>
      <w:r w:rsidRPr="00D326D4">
        <w:rPr>
          <w:color w:val="auto"/>
          <w:sz w:val="22"/>
          <w:szCs w:val="22"/>
        </w:rPr>
        <w:t xml:space="preserve"> following telephone assessment</w:t>
      </w:r>
      <w:r w:rsidR="00EC188B" w:rsidRPr="00D326D4">
        <w:rPr>
          <w:color w:val="auto"/>
          <w:sz w:val="22"/>
          <w:szCs w:val="22"/>
        </w:rPr>
        <w:t>,</w:t>
      </w:r>
      <w:r w:rsidRPr="00D326D4">
        <w:rPr>
          <w:color w:val="auto"/>
          <w:sz w:val="22"/>
          <w:szCs w:val="22"/>
        </w:rPr>
        <w:t xml:space="preserve"> people can receive a timed arrival slot into A&amp;E/E</w:t>
      </w:r>
      <w:r w:rsidR="002910B4" w:rsidRPr="00D326D4">
        <w:rPr>
          <w:color w:val="auto"/>
          <w:sz w:val="22"/>
          <w:szCs w:val="22"/>
        </w:rPr>
        <w:t>mergency Department (ED)</w:t>
      </w:r>
      <w:r w:rsidRPr="00D326D4">
        <w:rPr>
          <w:color w:val="auto"/>
          <w:sz w:val="22"/>
          <w:szCs w:val="22"/>
        </w:rPr>
        <w:t xml:space="preserve">, Urgent Treatment Centres and other alternative services.  </w:t>
      </w:r>
    </w:p>
    <w:p w14:paraId="3C027A0F" w14:textId="016F03F0" w:rsidR="00091DDE" w:rsidRPr="00D326D4" w:rsidRDefault="00091DDE" w:rsidP="00091DDE">
      <w:pPr>
        <w:pStyle w:val="Default"/>
        <w:spacing w:line="276" w:lineRule="auto"/>
        <w:rPr>
          <w:sz w:val="22"/>
          <w:szCs w:val="22"/>
        </w:rPr>
      </w:pPr>
      <w:r w:rsidRPr="00D326D4">
        <w:rPr>
          <w:sz w:val="22"/>
          <w:szCs w:val="22"/>
        </w:rPr>
        <w:t xml:space="preserve">Overall, </w:t>
      </w:r>
      <w:r w:rsidR="006F7A17" w:rsidRPr="00D326D4">
        <w:rPr>
          <w:sz w:val="22"/>
          <w:szCs w:val="22"/>
        </w:rPr>
        <w:t>successful</w:t>
      </w:r>
      <w:r w:rsidRPr="00D326D4">
        <w:rPr>
          <w:sz w:val="22"/>
          <w:szCs w:val="22"/>
        </w:rPr>
        <w:t xml:space="preserve"> collaborative working within the Urgent &amp; Emergency Care Network delivered the following key changes in line with our priorities for 2021 – 2022: </w:t>
      </w:r>
    </w:p>
    <w:p w14:paraId="461175B4" w14:textId="3B2FA782" w:rsidR="00091DDE" w:rsidRPr="00D326D4" w:rsidRDefault="00091DDE" w:rsidP="0062761B">
      <w:pPr>
        <w:pStyle w:val="Default"/>
        <w:numPr>
          <w:ilvl w:val="0"/>
          <w:numId w:val="10"/>
        </w:numPr>
        <w:tabs>
          <w:tab w:val="clear" w:pos="2835"/>
          <w:tab w:val="clear" w:pos="5670"/>
          <w:tab w:val="clear" w:pos="9016"/>
        </w:tabs>
        <w:adjustRightInd w:val="0"/>
        <w:spacing w:before="0" w:after="30" w:line="276" w:lineRule="auto"/>
        <w:rPr>
          <w:sz w:val="22"/>
          <w:szCs w:val="22"/>
        </w:rPr>
      </w:pPr>
      <w:r w:rsidRPr="00D326D4">
        <w:rPr>
          <w:sz w:val="22"/>
          <w:szCs w:val="22"/>
        </w:rPr>
        <w:t xml:space="preserve">A Humber, Coast and Vale (HCV) wide clinical assessment service (CAS) has remained in place, linked to NHS 111, over </w:t>
      </w:r>
      <w:r w:rsidR="006F7A17" w:rsidRPr="00D326D4">
        <w:rPr>
          <w:sz w:val="22"/>
          <w:szCs w:val="22"/>
        </w:rPr>
        <w:t xml:space="preserve">the </w:t>
      </w:r>
      <w:r w:rsidRPr="00D326D4">
        <w:rPr>
          <w:sz w:val="22"/>
          <w:szCs w:val="22"/>
        </w:rPr>
        <w:t>winter</w:t>
      </w:r>
      <w:r w:rsidR="006F7A17" w:rsidRPr="00D326D4">
        <w:rPr>
          <w:sz w:val="22"/>
          <w:szCs w:val="22"/>
        </w:rPr>
        <w:t>.</w:t>
      </w:r>
      <w:r w:rsidRPr="00D326D4">
        <w:rPr>
          <w:sz w:val="22"/>
          <w:szCs w:val="22"/>
        </w:rPr>
        <w:t xml:space="preserve"> </w:t>
      </w:r>
      <w:r w:rsidR="006F7A17" w:rsidRPr="00D326D4">
        <w:rPr>
          <w:sz w:val="22"/>
          <w:szCs w:val="22"/>
        </w:rPr>
        <w:t>This service</w:t>
      </w:r>
      <w:r w:rsidRPr="00D326D4">
        <w:rPr>
          <w:sz w:val="22"/>
          <w:szCs w:val="22"/>
        </w:rPr>
        <w:t xml:space="preserve"> clinically review</w:t>
      </w:r>
      <w:r w:rsidR="006F7A17" w:rsidRPr="00D326D4">
        <w:rPr>
          <w:sz w:val="22"/>
          <w:szCs w:val="22"/>
        </w:rPr>
        <w:t>s</w:t>
      </w:r>
      <w:r w:rsidRPr="00D326D4">
        <w:rPr>
          <w:sz w:val="22"/>
          <w:szCs w:val="22"/>
        </w:rPr>
        <w:t xml:space="preserve"> patients before directing them to A&amp;E/ED and also support</w:t>
      </w:r>
      <w:r w:rsidR="006F7A17" w:rsidRPr="00D326D4">
        <w:rPr>
          <w:sz w:val="22"/>
          <w:szCs w:val="22"/>
        </w:rPr>
        <w:t>s</w:t>
      </w:r>
      <w:r w:rsidRPr="00D326D4">
        <w:rPr>
          <w:sz w:val="22"/>
          <w:szCs w:val="22"/>
        </w:rPr>
        <w:t xml:space="preserve"> </w:t>
      </w:r>
      <w:r w:rsidR="006F7A17" w:rsidRPr="00D326D4">
        <w:rPr>
          <w:sz w:val="22"/>
          <w:szCs w:val="22"/>
        </w:rPr>
        <w:t>p</w:t>
      </w:r>
      <w:r w:rsidRPr="00D326D4">
        <w:rPr>
          <w:sz w:val="22"/>
          <w:szCs w:val="22"/>
        </w:rPr>
        <w:t xml:space="preserve">rimary </w:t>
      </w:r>
      <w:r w:rsidR="006F7A17" w:rsidRPr="00D326D4">
        <w:rPr>
          <w:sz w:val="22"/>
          <w:szCs w:val="22"/>
        </w:rPr>
        <w:t>c</w:t>
      </w:r>
      <w:r w:rsidRPr="00D326D4">
        <w:rPr>
          <w:sz w:val="22"/>
          <w:szCs w:val="22"/>
        </w:rPr>
        <w:t>are where a response is required within 1 – 2 hours.</w:t>
      </w:r>
    </w:p>
    <w:p w14:paraId="26DD5595" w14:textId="59642B02" w:rsidR="00091DDE" w:rsidRPr="00D326D4" w:rsidRDefault="006F7A17" w:rsidP="0062761B">
      <w:pPr>
        <w:pStyle w:val="Default"/>
        <w:numPr>
          <w:ilvl w:val="0"/>
          <w:numId w:val="10"/>
        </w:numPr>
        <w:tabs>
          <w:tab w:val="clear" w:pos="2835"/>
          <w:tab w:val="clear" w:pos="5670"/>
          <w:tab w:val="clear" w:pos="9016"/>
        </w:tabs>
        <w:adjustRightInd w:val="0"/>
        <w:spacing w:before="0" w:after="30" w:line="276" w:lineRule="auto"/>
        <w:rPr>
          <w:sz w:val="22"/>
          <w:szCs w:val="22"/>
        </w:rPr>
      </w:pPr>
      <w:r w:rsidRPr="00D326D4">
        <w:rPr>
          <w:sz w:val="22"/>
          <w:szCs w:val="22"/>
        </w:rPr>
        <w:t>Increased a</w:t>
      </w:r>
      <w:r w:rsidR="00091DDE" w:rsidRPr="00D326D4">
        <w:rPr>
          <w:sz w:val="22"/>
          <w:szCs w:val="22"/>
        </w:rPr>
        <w:t xml:space="preserve">ccess to the Urgent Treatment Centres, as an alternative to </w:t>
      </w:r>
      <w:r w:rsidRPr="00D326D4">
        <w:rPr>
          <w:sz w:val="22"/>
          <w:szCs w:val="22"/>
        </w:rPr>
        <w:t>A&amp;E/</w:t>
      </w:r>
      <w:r w:rsidR="00091DDE" w:rsidRPr="00D326D4">
        <w:rPr>
          <w:sz w:val="22"/>
          <w:szCs w:val="22"/>
        </w:rPr>
        <w:t xml:space="preserve">ED, with a consistent offer across HCV and direct booking into </w:t>
      </w:r>
      <w:r w:rsidRPr="00D326D4">
        <w:rPr>
          <w:sz w:val="22"/>
          <w:szCs w:val="22"/>
        </w:rPr>
        <w:t xml:space="preserve">available </w:t>
      </w:r>
      <w:r w:rsidR="00091DDE" w:rsidRPr="00D326D4">
        <w:rPr>
          <w:sz w:val="22"/>
          <w:szCs w:val="22"/>
        </w:rPr>
        <w:t>appoint</w:t>
      </w:r>
      <w:r w:rsidRPr="00D326D4">
        <w:rPr>
          <w:sz w:val="22"/>
          <w:szCs w:val="22"/>
        </w:rPr>
        <w:t>ment</w:t>
      </w:r>
      <w:r w:rsidR="00091DDE" w:rsidRPr="00D326D4">
        <w:rPr>
          <w:sz w:val="22"/>
          <w:szCs w:val="22"/>
        </w:rPr>
        <w:t xml:space="preserve"> slots. </w:t>
      </w:r>
    </w:p>
    <w:p w14:paraId="1428EAC8" w14:textId="6417B6D9" w:rsidR="00091DDE" w:rsidRPr="00D326D4" w:rsidRDefault="00091DDE" w:rsidP="0062761B">
      <w:pPr>
        <w:pStyle w:val="Default"/>
        <w:numPr>
          <w:ilvl w:val="0"/>
          <w:numId w:val="10"/>
        </w:numPr>
        <w:tabs>
          <w:tab w:val="clear" w:pos="2835"/>
          <w:tab w:val="clear" w:pos="5670"/>
          <w:tab w:val="clear" w:pos="9016"/>
        </w:tabs>
        <w:adjustRightInd w:val="0"/>
        <w:spacing w:before="0" w:after="30" w:line="276" w:lineRule="auto"/>
        <w:rPr>
          <w:sz w:val="22"/>
          <w:szCs w:val="22"/>
        </w:rPr>
      </w:pPr>
      <w:r w:rsidRPr="00D326D4">
        <w:rPr>
          <w:sz w:val="22"/>
          <w:szCs w:val="22"/>
        </w:rPr>
        <w:t>All GP practices have appointments available through NHS 111 to support NHS 111 book</w:t>
      </w:r>
      <w:r w:rsidR="006F7A17" w:rsidRPr="00D326D4">
        <w:rPr>
          <w:sz w:val="22"/>
          <w:szCs w:val="22"/>
        </w:rPr>
        <w:t>ed</w:t>
      </w:r>
      <w:r w:rsidRPr="00D326D4">
        <w:rPr>
          <w:sz w:val="22"/>
          <w:szCs w:val="22"/>
        </w:rPr>
        <w:t xml:space="preserve"> appointments. </w:t>
      </w:r>
    </w:p>
    <w:p w14:paraId="0C18F483" w14:textId="636357AA" w:rsidR="00091DDE" w:rsidRPr="00D326D4" w:rsidRDefault="00091DDE" w:rsidP="0062761B">
      <w:pPr>
        <w:pStyle w:val="Default"/>
        <w:numPr>
          <w:ilvl w:val="0"/>
          <w:numId w:val="10"/>
        </w:numPr>
        <w:tabs>
          <w:tab w:val="clear" w:pos="2835"/>
          <w:tab w:val="clear" w:pos="5670"/>
          <w:tab w:val="clear" w:pos="9016"/>
        </w:tabs>
        <w:adjustRightInd w:val="0"/>
        <w:spacing w:before="0" w:after="30" w:line="276" w:lineRule="auto"/>
        <w:rPr>
          <w:sz w:val="22"/>
          <w:szCs w:val="22"/>
        </w:rPr>
      </w:pPr>
      <w:r w:rsidRPr="00D326D4">
        <w:rPr>
          <w:sz w:val="22"/>
          <w:szCs w:val="22"/>
        </w:rPr>
        <w:t xml:space="preserve">We have expanded the use of </w:t>
      </w:r>
      <w:r w:rsidR="002910B4" w:rsidRPr="00D326D4">
        <w:rPr>
          <w:sz w:val="22"/>
          <w:szCs w:val="22"/>
        </w:rPr>
        <w:t xml:space="preserve">the </w:t>
      </w:r>
      <w:r w:rsidRPr="00D326D4">
        <w:rPr>
          <w:sz w:val="22"/>
          <w:szCs w:val="22"/>
        </w:rPr>
        <w:t xml:space="preserve">RAIDR system which provides daily intelligence regarding service capacity within </w:t>
      </w:r>
      <w:r w:rsidR="002910B4" w:rsidRPr="00D326D4">
        <w:rPr>
          <w:sz w:val="22"/>
          <w:szCs w:val="22"/>
        </w:rPr>
        <w:t>the hospital</w:t>
      </w:r>
      <w:r w:rsidRPr="00D326D4">
        <w:rPr>
          <w:sz w:val="22"/>
          <w:szCs w:val="22"/>
        </w:rPr>
        <w:t xml:space="preserve">, Urgent Treatment Centres (UTCs), GP </w:t>
      </w:r>
      <w:r w:rsidR="00701823" w:rsidRPr="00D326D4">
        <w:rPr>
          <w:sz w:val="22"/>
          <w:szCs w:val="22"/>
        </w:rPr>
        <w:t>o</w:t>
      </w:r>
      <w:r w:rsidRPr="00D326D4">
        <w:rPr>
          <w:sz w:val="22"/>
          <w:szCs w:val="22"/>
        </w:rPr>
        <w:t xml:space="preserve">ut of </w:t>
      </w:r>
      <w:r w:rsidR="00701823" w:rsidRPr="00D326D4">
        <w:rPr>
          <w:sz w:val="22"/>
          <w:szCs w:val="22"/>
        </w:rPr>
        <w:t>h</w:t>
      </w:r>
      <w:r w:rsidRPr="00D326D4">
        <w:rPr>
          <w:sz w:val="22"/>
          <w:szCs w:val="22"/>
        </w:rPr>
        <w:t xml:space="preserve">ours, GP </w:t>
      </w:r>
      <w:r w:rsidR="00701823" w:rsidRPr="00D326D4">
        <w:rPr>
          <w:sz w:val="22"/>
          <w:szCs w:val="22"/>
        </w:rPr>
        <w:t>p</w:t>
      </w:r>
      <w:r w:rsidRPr="00D326D4">
        <w:rPr>
          <w:sz w:val="22"/>
          <w:szCs w:val="22"/>
        </w:rPr>
        <w:t xml:space="preserve">ractices, </w:t>
      </w:r>
      <w:r w:rsidR="00701823" w:rsidRPr="00D326D4">
        <w:rPr>
          <w:sz w:val="22"/>
          <w:szCs w:val="22"/>
        </w:rPr>
        <w:t>m</w:t>
      </w:r>
      <w:r w:rsidRPr="00D326D4">
        <w:rPr>
          <w:sz w:val="22"/>
          <w:szCs w:val="22"/>
        </w:rPr>
        <w:t xml:space="preserve">ental </w:t>
      </w:r>
      <w:r w:rsidR="00701823" w:rsidRPr="00D326D4">
        <w:rPr>
          <w:sz w:val="22"/>
          <w:szCs w:val="22"/>
        </w:rPr>
        <w:t>h</w:t>
      </w:r>
      <w:r w:rsidRPr="00D326D4">
        <w:rPr>
          <w:sz w:val="22"/>
          <w:szCs w:val="22"/>
        </w:rPr>
        <w:t xml:space="preserve">ealth, YAS, </w:t>
      </w:r>
      <w:r w:rsidR="00701823" w:rsidRPr="00D326D4">
        <w:rPr>
          <w:sz w:val="22"/>
          <w:szCs w:val="22"/>
        </w:rPr>
        <w:t>p</w:t>
      </w:r>
      <w:r w:rsidRPr="00D326D4">
        <w:rPr>
          <w:sz w:val="22"/>
          <w:szCs w:val="22"/>
        </w:rPr>
        <w:t xml:space="preserve">rimary </w:t>
      </w:r>
      <w:r w:rsidR="00701823" w:rsidRPr="00D326D4">
        <w:rPr>
          <w:sz w:val="22"/>
          <w:szCs w:val="22"/>
        </w:rPr>
        <w:t>c</w:t>
      </w:r>
      <w:r w:rsidRPr="00D326D4">
        <w:rPr>
          <w:sz w:val="22"/>
          <w:szCs w:val="22"/>
        </w:rPr>
        <w:t xml:space="preserve">are and </w:t>
      </w:r>
      <w:r w:rsidR="00701823" w:rsidRPr="00D326D4">
        <w:rPr>
          <w:sz w:val="22"/>
          <w:szCs w:val="22"/>
        </w:rPr>
        <w:t>c</w:t>
      </w:r>
      <w:r w:rsidRPr="00D326D4">
        <w:rPr>
          <w:sz w:val="22"/>
          <w:szCs w:val="22"/>
        </w:rPr>
        <w:t xml:space="preserve">are </w:t>
      </w:r>
      <w:r w:rsidR="00701823" w:rsidRPr="00D326D4">
        <w:rPr>
          <w:sz w:val="22"/>
          <w:szCs w:val="22"/>
        </w:rPr>
        <w:t>h</w:t>
      </w:r>
      <w:r w:rsidRPr="00D326D4">
        <w:rPr>
          <w:sz w:val="22"/>
          <w:szCs w:val="22"/>
        </w:rPr>
        <w:t xml:space="preserve">ome with further implementations being planned with </w:t>
      </w:r>
      <w:r w:rsidR="00701823" w:rsidRPr="00D326D4">
        <w:rPr>
          <w:sz w:val="22"/>
          <w:szCs w:val="22"/>
        </w:rPr>
        <w:t>a</w:t>
      </w:r>
      <w:r w:rsidRPr="00D326D4">
        <w:rPr>
          <w:sz w:val="22"/>
          <w:szCs w:val="22"/>
        </w:rPr>
        <w:t xml:space="preserve">dult </w:t>
      </w:r>
      <w:r w:rsidR="00701823" w:rsidRPr="00D326D4">
        <w:rPr>
          <w:sz w:val="22"/>
          <w:szCs w:val="22"/>
        </w:rPr>
        <w:t>s</w:t>
      </w:r>
      <w:r w:rsidRPr="00D326D4">
        <w:rPr>
          <w:sz w:val="22"/>
          <w:szCs w:val="22"/>
        </w:rPr>
        <w:t xml:space="preserve">ocial </w:t>
      </w:r>
      <w:r w:rsidR="00701823" w:rsidRPr="00D326D4">
        <w:rPr>
          <w:sz w:val="22"/>
          <w:szCs w:val="22"/>
        </w:rPr>
        <w:t>c</w:t>
      </w:r>
      <w:r w:rsidRPr="00D326D4">
        <w:rPr>
          <w:sz w:val="22"/>
          <w:szCs w:val="22"/>
        </w:rPr>
        <w:t xml:space="preserve">are focusing on system wide capacity and </w:t>
      </w:r>
      <w:r w:rsidR="00701823" w:rsidRPr="00D326D4">
        <w:rPr>
          <w:sz w:val="22"/>
          <w:szCs w:val="22"/>
        </w:rPr>
        <w:t>operational pressure escalation levels (OPEL)</w:t>
      </w:r>
      <w:r w:rsidRPr="00D326D4">
        <w:rPr>
          <w:sz w:val="22"/>
          <w:szCs w:val="22"/>
        </w:rPr>
        <w:t xml:space="preserve">.  </w:t>
      </w:r>
    </w:p>
    <w:p w14:paraId="3469038E" w14:textId="12CFC5C2" w:rsidR="00091DDE" w:rsidRPr="00D326D4" w:rsidRDefault="00091DDE" w:rsidP="0062761B">
      <w:pPr>
        <w:pStyle w:val="Default"/>
        <w:numPr>
          <w:ilvl w:val="0"/>
          <w:numId w:val="10"/>
        </w:numPr>
        <w:tabs>
          <w:tab w:val="clear" w:pos="2835"/>
          <w:tab w:val="clear" w:pos="5670"/>
          <w:tab w:val="clear" w:pos="9016"/>
        </w:tabs>
        <w:adjustRightInd w:val="0"/>
        <w:spacing w:before="0" w:after="30" w:line="276" w:lineRule="auto"/>
        <w:rPr>
          <w:sz w:val="22"/>
          <w:szCs w:val="22"/>
        </w:rPr>
      </w:pPr>
      <w:r w:rsidRPr="00D326D4">
        <w:rPr>
          <w:sz w:val="22"/>
          <w:szCs w:val="22"/>
        </w:rPr>
        <w:t xml:space="preserve">Same </w:t>
      </w:r>
      <w:r w:rsidR="00701823" w:rsidRPr="00D326D4">
        <w:rPr>
          <w:sz w:val="22"/>
          <w:szCs w:val="22"/>
        </w:rPr>
        <w:t>d</w:t>
      </w:r>
      <w:r w:rsidRPr="00D326D4">
        <w:rPr>
          <w:sz w:val="22"/>
          <w:szCs w:val="22"/>
        </w:rPr>
        <w:t xml:space="preserve">ay </w:t>
      </w:r>
      <w:r w:rsidR="00701823" w:rsidRPr="00D326D4">
        <w:rPr>
          <w:sz w:val="22"/>
          <w:szCs w:val="22"/>
        </w:rPr>
        <w:t>e</w:t>
      </w:r>
      <w:r w:rsidRPr="00D326D4">
        <w:rPr>
          <w:sz w:val="22"/>
          <w:szCs w:val="22"/>
        </w:rPr>
        <w:t xml:space="preserve">mergency </w:t>
      </w:r>
      <w:r w:rsidR="00701823" w:rsidRPr="00D326D4">
        <w:rPr>
          <w:sz w:val="22"/>
          <w:szCs w:val="22"/>
        </w:rPr>
        <w:t>c</w:t>
      </w:r>
      <w:r w:rsidRPr="00D326D4">
        <w:rPr>
          <w:sz w:val="22"/>
          <w:szCs w:val="22"/>
        </w:rPr>
        <w:t xml:space="preserve">are (SDEC) pathways have been established for acute medicine, acute surgery and frailty. </w:t>
      </w:r>
    </w:p>
    <w:p w14:paraId="3BBA40BE" w14:textId="77777777" w:rsidR="00091DDE" w:rsidRPr="00D326D4" w:rsidRDefault="00091DDE" w:rsidP="0062761B">
      <w:pPr>
        <w:pStyle w:val="Default"/>
        <w:numPr>
          <w:ilvl w:val="0"/>
          <w:numId w:val="10"/>
        </w:numPr>
        <w:tabs>
          <w:tab w:val="clear" w:pos="2835"/>
          <w:tab w:val="clear" w:pos="5670"/>
          <w:tab w:val="clear" w:pos="9016"/>
        </w:tabs>
        <w:adjustRightInd w:val="0"/>
        <w:spacing w:before="0" w:after="30" w:line="276" w:lineRule="auto"/>
        <w:rPr>
          <w:sz w:val="22"/>
          <w:szCs w:val="22"/>
        </w:rPr>
      </w:pPr>
      <w:r w:rsidRPr="00D326D4">
        <w:rPr>
          <w:sz w:val="22"/>
          <w:szCs w:val="22"/>
        </w:rPr>
        <w:t xml:space="preserve">Same day specialty clinics are being developed to support on the day appointments for patients with an urgent need. </w:t>
      </w:r>
    </w:p>
    <w:p w14:paraId="735290E9" w14:textId="0CAADBC7" w:rsidR="00091DDE" w:rsidRPr="00D326D4" w:rsidRDefault="00091DDE" w:rsidP="0062761B">
      <w:pPr>
        <w:pStyle w:val="Default"/>
        <w:numPr>
          <w:ilvl w:val="0"/>
          <w:numId w:val="10"/>
        </w:numPr>
        <w:tabs>
          <w:tab w:val="clear" w:pos="2835"/>
          <w:tab w:val="clear" w:pos="5670"/>
          <w:tab w:val="clear" w:pos="9016"/>
        </w:tabs>
        <w:adjustRightInd w:val="0"/>
        <w:spacing w:before="0" w:after="30" w:line="276" w:lineRule="auto"/>
        <w:rPr>
          <w:sz w:val="22"/>
          <w:szCs w:val="22"/>
        </w:rPr>
      </w:pPr>
      <w:r w:rsidRPr="00D326D4">
        <w:rPr>
          <w:sz w:val="22"/>
          <w:szCs w:val="22"/>
        </w:rPr>
        <w:t xml:space="preserve">We have implemented a </w:t>
      </w:r>
      <w:r w:rsidR="00701823" w:rsidRPr="00D326D4">
        <w:rPr>
          <w:sz w:val="22"/>
          <w:szCs w:val="22"/>
        </w:rPr>
        <w:t>two h</w:t>
      </w:r>
      <w:r w:rsidRPr="00D326D4">
        <w:rPr>
          <w:sz w:val="22"/>
          <w:szCs w:val="22"/>
        </w:rPr>
        <w:t xml:space="preserve">our </w:t>
      </w:r>
      <w:r w:rsidR="00701823" w:rsidRPr="00D326D4">
        <w:rPr>
          <w:sz w:val="22"/>
          <w:szCs w:val="22"/>
        </w:rPr>
        <w:t>c</w:t>
      </w:r>
      <w:r w:rsidRPr="00D326D4">
        <w:rPr>
          <w:sz w:val="22"/>
          <w:szCs w:val="22"/>
        </w:rPr>
        <w:t xml:space="preserve">ommunity </w:t>
      </w:r>
      <w:r w:rsidR="00701823" w:rsidRPr="00D326D4">
        <w:rPr>
          <w:sz w:val="22"/>
          <w:szCs w:val="22"/>
        </w:rPr>
        <w:t>c</w:t>
      </w:r>
      <w:r w:rsidRPr="00D326D4">
        <w:rPr>
          <w:sz w:val="22"/>
          <w:szCs w:val="22"/>
        </w:rPr>
        <w:t xml:space="preserve">risis </w:t>
      </w:r>
      <w:r w:rsidR="00701823" w:rsidRPr="00D326D4">
        <w:rPr>
          <w:sz w:val="22"/>
          <w:szCs w:val="22"/>
        </w:rPr>
        <w:t>r</w:t>
      </w:r>
      <w:r w:rsidRPr="00D326D4">
        <w:rPr>
          <w:sz w:val="22"/>
          <w:szCs w:val="22"/>
        </w:rPr>
        <w:t>esponse accessible through NHS</w:t>
      </w:r>
      <w:r w:rsidR="00701823" w:rsidRPr="00D326D4">
        <w:rPr>
          <w:sz w:val="22"/>
          <w:szCs w:val="22"/>
        </w:rPr>
        <w:t xml:space="preserve"> </w:t>
      </w:r>
      <w:r w:rsidRPr="00D326D4">
        <w:rPr>
          <w:sz w:val="22"/>
          <w:szCs w:val="22"/>
        </w:rPr>
        <w:t>111 to provide additional assessment and support for agreed groups of patients. Plans are in place to expand the service after 1 April 2022.</w:t>
      </w:r>
    </w:p>
    <w:p w14:paraId="059FECA7" w14:textId="11BE21F6" w:rsidR="006F7A17" w:rsidRPr="00D326D4" w:rsidRDefault="006F7A17" w:rsidP="0062761B">
      <w:pPr>
        <w:pStyle w:val="Default"/>
        <w:numPr>
          <w:ilvl w:val="0"/>
          <w:numId w:val="10"/>
        </w:numPr>
        <w:tabs>
          <w:tab w:val="clear" w:pos="2835"/>
          <w:tab w:val="clear" w:pos="5670"/>
          <w:tab w:val="clear" w:pos="9016"/>
        </w:tabs>
        <w:adjustRightInd w:val="0"/>
        <w:spacing w:before="0" w:after="30" w:line="276" w:lineRule="auto"/>
        <w:rPr>
          <w:sz w:val="22"/>
          <w:szCs w:val="22"/>
        </w:rPr>
      </w:pPr>
      <w:r w:rsidRPr="00D326D4">
        <w:rPr>
          <w:sz w:val="22"/>
          <w:szCs w:val="22"/>
        </w:rPr>
        <w:t>We continue to ensure that alternative community pathways are shown on the DOS (Directory of Services)</w:t>
      </w:r>
      <w:r w:rsidR="00701823" w:rsidRPr="00D326D4">
        <w:rPr>
          <w:sz w:val="22"/>
          <w:szCs w:val="22"/>
        </w:rPr>
        <w:t>.</w:t>
      </w:r>
      <w:r w:rsidRPr="00D326D4">
        <w:rPr>
          <w:sz w:val="22"/>
          <w:szCs w:val="22"/>
        </w:rPr>
        <w:t xml:space="preserve"> </w:t>
      </w:r>
    </w:p>
    <w:p w14:paraId="418E3D52" w14:textId="2C0693A8" w:rsidR="00091DDE" w:rsidRPr="00D326D4" w:rsidRDefault="006F7A17" w:rsidP="0062761B">
      <w:pPr>
        <w:pStyle w:val="Default"/>
        <w:numPr>
          <w:ilvl w:val="0"/>
          <w:numId w:val="10"/>
        </w:numPr>
        <w:tabs>
          <w:tab w:val="clear" w:pos="2835"/>
          <w:tab w:val="clear" w:pos="5670"/>
          <w:tab w:val="clear" w:pos="9016"/>
        </w:tabs>
        <w:adjustRightInd w:val="0"/>
        <w:spacing w:before="0" w:after="30" w:line="276" w:lineRule="auto"/>
        <w:rPr>
          <w:sz w:val="22"/>
          <w:szCs w:val="22"/>
        </w:rPr>
      </w:pPr>
      <w:r w:rsidRPr="00D326D4">
        <w:rPr>
          <w:sz w:val="22"/>
          <w:szCs w:val="22"/>
        </w:rPr>
        <w:t>YAS continue to deliver hear &amp; treat and see &amp; treat</w:t>
      </w:r>
      <w:r w:rsidRPr="00D326D4" w:rsidDel="00403086">
        <w:rPr>
          <w:sz w:val="22"/>
          <w:szCs w:val="22"/>
        </w:rPr>
        <w:t xml:space="preserve"> </w:t>
      </w:r>
      <w:r w:rsidRPr="00D326D4">
        <w:rPr>
          <w:sz w:val="22"/>
          <w:szCs w:val="22"/>
        </w:rPr>
        <w:t>to reduce the need for individuals to be transported to hospital</w:t>
      </w:r>
      <w:r w:rsidR="00FD2932" w:rsidRPr="00D326D4">
        <w:rPr>
          <w:sz w:val="22"/>
          <w:szCs w:val="22"/>
        </w:rPr>
        <w:t>,</w:t>
      </w:r>
      <w:r w:rsidRPr="00D326D4">
        <w:rPr>
          <w:sz w:val="22"/>
          <w:szCs w:val="22"/>
        </w:rPr>
        <w:t xml:space="preserve"> where clinically appropriate.</w:t>
      </w:r>
    </w:p>
    <w:p w14:paraId="2BED9CA5" w14:textId="02E07939" w:rsidR="00091DDE" w:rsidRPr="00D326D4" w:rsidRDefault="00091DDE" w:rsidP="00091DDE">
      <w:pPr>
        <w:pStyle w:val="Default"/>
        <w:spacing w:line="276" w:lineRule="auto"/>
        <w:rPr>
          <w:b/>
          <w:bCs/>
          <w:sz w:val="22"/>
          <w:szCs w:val="22"/>
        </w:rPr>
      </w:pPr>
      <w:r w:rsidRPr="00D326D4">
        <w:rPr>
          <w:b/>
          <w:bCs/>
          <w:sz w:val="22"/>
          <w:szCs w:val="22"/>
        </w:rPr>
        <w:t>Impact of actions in 20</w:t>
      </w:r>
      <w:r w:rsidR="00FD2932" w:rsidRPr="00D326D4">
        <w:rPr>
          <w:b/>
          <w:bCs/>
          <w:sz w:val="22"/>
          <w:szCs w:val="22"/>
        </w:rPr>
        <w:t>20 and 20</w:t>
      </w:r>
      <w:r w:rsidRPr="00D326D4">
        <w:rPr>
          <w:b/>
          <w:bCs/>
          <w:sz w:val="22"/>
          <w:szCs w:val="22"/>
        </w:rPr>
        <w:t xml:space="preserve">21 </w:t>
      </w:r>
    </w:p>
    <w:p w14:paraId="597B6C09" w14:textId="4DF3AF22" w:rsidR="00091DDE" w:rsidRPr="00D326D4" w:rsidRDefault="00091DDE" w:rsidP="00FD2932">
      <w:pPr>
        <w:pStyle w:val="Default"/>
        <w:spacing w:line="276" w:lineRule="auto"/>
        <w:rPr>
          <w:sz w:val="22"/>
          <w:szCs w:val="22"/>
        </w:rPr>
      </w:pPr>
      <w:r w:rsidRPr="00D326D4">
        <w:rPr>
          <w:sz w:val="22"/>
          <w:szCs w:val="22"/>
        </w:rPr>
        <w:t>In 2021 usage of urgent care services initially reduced, however</w:t>
      </w:r>
      <w:r w:rsidR="00FD2932" w:rsidRPr="00D326D4">
        <w:rPr>
          <w:sz w:val="22"/>
          <w:szCs w:val="22"/>
        </w:rPr>
        <w:t>,</w:t>
      </w:r>
      <w:r w:rsidRPr="00D326D4">
        <w:rPr>
          <w:sz w:val="22"/>
          <w:szCs w:val="22"/>
        </w:rPr>
        <w:t xml:space="preserve"> from January 2022 this position has changed with some services seeing </w:t>
      </w:r>
      <w:r w:rsidR="00701823" w:rsidRPr="00D326D4">
        <w:rPr>
          <w:sz w:val="22"/>
          <w:szCs w:val="22"/>
        </w:rPr>
        <w:t xml:space="preserve">an </w:t>
      </w:r>
      <w:r w:rsidRPr="00D326D4">
        <w:rPr>
          <w:sz w:val="22"/>
          <w:szCs w:val="22"/>
        </w:rPr>
        <w:t>increase in attendance that exceed</w:t>
      </w:r>
      <w:r w:rsidR="00FD2932" w:rsidRPr="00D326D4">
        <w:rPr>
          <w:sz w:val="22"/>
          <w:szCs w:val="22"/>
        </w:rPr>
        <w:t>s</w:t>
      </w:r>
      <w:r w:rsidRPr="00D326D4">
        <w:rPr>
          <w:sz w:val="22"/>
          <w:szCs w:val="22"/>
        </w:rPr>
        <w:t xml:space="preserve"> pre-pandemic levels. Whilst some of these changes may be attributed to COVID19, the service changes that have been put in place supporting individuals to access a wider range of services will have driven </w:t>
      </w:r>
      <w:r w:rsidR="00FD2932" w:rsidRPr="00D326D4">
        <w:rPr>
          <w:sz w:val="22"/>
          <w:szCs w:val="22"/>
        </w:rPr>
        <w:t xml:space="preserve">a </w:t>
      </w:r>
      <w:r w:rsidRPr="00D326D4">
        <w:rPr>
          <w:sz w:val="22"/>
          <w:szCs w:val="22"/>
        </w:rPr>
        <w:t>change in demand for different services. The impact of this work is shown below:</w:t>
      </w:r>
    </w:p>
    <w:p w14:paraId="6EEC6BCF" w14:textId="09D73F45" w:rsidR="00091DDE" w:rsidRPr="00D326D4" w:rsidRDefault="00091DDE" w:rsidP="0062761B">
      <w:pPr>
        <w:pStyle w:val="Default"/>
        <w:numPr>
          <w:ilvl w:val="0"/>
          <w:numId w:val="11"/>
        </w:numPr>
        <w:tabs>
          <w:tab w:val="clear" w:pos="2835"/>
          <w:tab w:val="clear" w:pos="5670"/>
          <w:tab w:val="clear" w:pos="9016"/>
        </w:tabs>
        <w:adjustRightInd w:val="0"/>
        <w:spacing w:before="0" w:after="30" w:line="276" w:lineRule="auto"/>
        <w:rPr>
          <w:sz w:val="22"/>
          <w:szCs w:val="22"/>
        </w:rPr>
      </w:pPr>
      <w:bookmarkStart w:id="21" w:name="_Hlk99106189"/>
      <w:r w:rsidRPr="00D326D4">
        <w:rPr>
          <w:sz w:val="22"/>
          <w:szCs w:val="22"/>
        </w:rPr>
        <w:t>The percentage of individuals identified by NHS 111</w:t>
      </w:r>
      <w:bookmarkEnd w:id="21"/>
      <w:r w:rsidRPr="00D326D4">
        <w:rPr>
          <w:sz w:val="22"/>
          <w:szCs w:val="22"/>
        </w:rPr>
        <w:t xml:space="preserve"> as needing to attend a UTC has increased from 6% of all attendances in 2020 to 10% in 2021.</w:t>
      </w:r>
    </w:p>
    <w:p w14:paraId="7EF0DC88" w14:textId="77777777" w:rsidR="00091DDE" w:rsidRPr="00D326D4" w:rsidRDefault="00091DDE" w:rsidP="0062761B">
      <w:pPr>
        <w:pStyle w:val="Default"/>
        <w:numPr>
          <w:ilvl w:val="0"/>
          <w:numId w:val="11"/>
        </w:numPr>
        <w:tabs>
          <w:tab w:val="clear" w:pos="2835"/>
          <w:tab w:val="clear" w:pos="5670"/>
          <w:tab w:val="clear" w:pos="9016"/>
        </w:tabs>
        <w:adjustRightInd w:val="0"/>
        <w:spacing w:before="0" w:after="30" w:line="276" w:lineRule="auto"/>
        <w:rPr>
          <w:sz w:val="22"/>
          <w:szCs w:val="22"/>
        </w:rPr>
      </w:pPr>
      <w:r w:rsidRPr="00D326D4">
        <w:rPr>
          <w:sz w:val="22"/>
          <w:szCs w:val="22"/>
        </w:rPr>
        <w:lastRenderedPageBreak/>
        <w:t xml:space="preserve">For a range of other pathways, the percentage of individuals identified by NHS 111 as needing to be treated via those pathways rose from 17% of attendances in 2020 to 19% of attendances in 2021. </w:t>
      </w:r>
    </w:p>
    <w:p w14:paraId="0A953E0C" w14:textId="19151E3C" w:rsidR="00091DDE" w:rsidRPr="00D326D4" w:rsidRDefault="00091DDE" w:rsidP="0062761B">
      <w:pPr>
        <w:pStyle w:val="Default"/>
        <w:numPr>
          <w:ilvl w:val="0"/>
          <w:numId w:val="11"/>
        </w:numPr>
        <w:tabs>
          <w:tab w:val="clear" w:pos="2835"/>
          <w:tab w:val="clear" w:pos="5670"/>
          <w:tab w:val="clear" w:pos="9016"/>
        </w:tabs>
        <w:adjustRightInd w:val="0"/>
        <w:spacing w:before="0" w:after="30" w:line="276" w:lineRule="auto"/>
        <w:rPr>
          <w:sz w:val="22"/>
          <w:szCs w:val="22"/>
        </w:rPr>
      </w:pPr>
      <w:r w:rsidRPr="00D326D4">
        <w:rPr>
          <w:sz w:val="22"/>
          <w:szCs w:val="22"/>
        </w:rPr>
        <w:t>Of all calls made to NHS 111 in 2020</w:t>
      </w:r>
      <w:r w:rsidR="00FD2932" w:rsidRPr="00D326D4">
        <w:rPr>
          <w:sz w:val="22"/>
          <w:szCs w:val="22"/>
        </w:rPr>
        <w:t>,</w:t>
      </w:r>
      <w:r w:rsidRPr="00D326D4">
        <w:rPr>
          <w:sz w:val="22"/>
          <w:szCs w:val="22"/>
        </w:rPr>
        <w:t xml:space="preserve"> 80% of individuals were directed to A&amp;E, in 2021 only 25% of individuals were directed there. The work to support improved clinical assessment and advice by the local Clinical Assessment Service at NHS 111</w:t>
      </w:r>
      <w:r w:rsidR="00FD2932" w:rsidRPr="00D326D4">
        <w:rPr>
          <w:sz w:val="22"/>
          <w:szCs w:val="22"/>
        </w:rPr>
        <w:t>,</w:t>
      </w:r>
      <w:r w:rsidRPr="00D326D4">
        <w:rPr>
          <w:sz w:val="22"/>
          <w:szCs w:val="22"/>
        </w:rPr>
        <w:t xml:space="preserve"> and the review of services available to NHS 111 has enabled </w:t>
      </w:r>
      <w:r w:rsidR="00DE0F99" w:rsidRPr="00D326D4">
        <w:rPr>
          <w:sz w:val="22"/>
          <w:szCs w:val="22"/>
        </w:rPr>
        <w:t>more people</w:t>
      </w:r>
      <w:r w:rsidRPr="00D326D4">
        <w:rPr>
          <w:sz w:val="22"/>
          <w:szCs w:val="22"/>
        </w:rPr>
        <w:t xml:space="preserve"> to access the right care, </w:t>
      </w:r>
      <w:r w:rsidR="00DE0F99" w:rsidRPr="00D326D4">
        <w:rPr>
          <w:sz w:val="22"/>
          <w:szCs w:val="22"/>
        </w:rPr>
        <w:t xml:space="preserve">in the </w:t>
      </w:r>
      <w:r w:rsidRPr="00D326D4">
        <w:rPr>
          <w:sz w:val="22"/>
          <w:szCs w:val="22"/>
        </w:rPr>
        <w:t>right place</w:t>
      </w:r>
      <w:r w:rsidR="00DE0F99" w:rsidRPr="00D326D4">
        <w:rPr>
          <w:sz w:val="22"/>
          <w:szCs w:val="22"/>
        </w:rPr>
        <w:t xml:space="preserve"> at the</w:t>
      </w:r>
      <w:r w:rsidRPr="00D326D4">
        <w:rPr>
          <w:sz w:val="22"/>
          <w:szCs w:val="22"/>
        </w:rPr>
        <w:t xml:space="preserve"> right time.</w:t>
      </w:r>
    </w:p>
    <w:p w14:paraId="1A79F80D" w14:textId="7F119481" w:rsidR="00091DDE" w:rsidRPr="00D326D4" w:rsidRDefault="00091DDE" w:rsidP="00091DDE">
      <w:pPr>
        <w:rPr>
          <w:rFonts w:cs="Arial"/>
        </w:rPr>
      </w:pPr>
      <w:r w:rsidRPr="00D326D4">
        <w:rPr>
          <w:rFonts w:cs="Arial"/>
        </w:rPr>
        <w:t xml:space="preserve">Bransholme Urgent Treatment Centre (UTC) </w:t>
      </w:r>
      <w:r w:rsidR="00DE0F99" w:rsidRPr="00D326D4">
        <w:rPr>
          <w:rFonts w:cs="Arial"/>
        </w:rPr>
        <w:t xml:space="preserve">has seen </w:t>
      </w:r>
      <w:r w:rsidRPr="00D326D4">
        <w:rPr>
          <w:rFonts w:cs="Arial"/>
        </w:rPr>
        <w:t xml:space="preserve">many more people choosing to attend for treatment and advice on minor injuries and minor ailments. </w:t>
      </w:r>
    </w:p>
    <w:tbl>
      <w:tblPr>
        <w:tblpPr w:leftFromText="180" w:rightFromText="180" w:bottomFromText="70" w:vertAnchor="text"/>
        <w:tblW w:w="10055" w:type="dxa"/>
        <w:tblCellMar>
          <w:left w:w="0" w:type="dxa"/>
          <w:right w:w="0" w:type="dxa"/>
        </w:tblCellMar>
        <w:tblLook w:val="04A0" w:firstRow="1" w:lastRow="0" w:firstColumn="1" w:lastColumn="0" w:noHBand="0" w:noVBand="1"/>
      </w:tblPr>
      <w:tblGrid>
        <w:gridCol w:w="3799"/>
        <w:gridCol w:w="1548"/>
        <w:gridCol w:w="1347"/>
        <w:gridCol w:w="1518"/>
        <w:gridCol w:w="1843"/>
      </w:tblGrid>
      <w:tr w:rsidR="00DE0F99" w:rsidRPr="00D326D4" w14:paraId="6B7B681B" w14:textId="77777777" w:rsidTr="00282671">
        <w:trPr>
          <w:trHeight w:val="870"/>
        </w:trPr>
        <w:tc>
          <w:tcPr>
            <w:tcW w:w="3799" w:type="dxa"/>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hideMark/>
          </w:tcPr>
          <w:p w14:paraId="542DCC36" w14:textId="77777777" w:rsidR="00091DDE" w:rsidRPr="00D326D4" w:rsidRDefault="00091DDE" w:rsidP="00DD4B58">
            <w:pPr>
              <w:tabs>
                <w:tab w:val="clear" w:pos="2835"/>
                <w:tab w:val="clear" w:pos="5670"/>
                <w:tab w:val="clear" w:pos="9016"/>
              </w:tabs>
              <w:spacing w:before="0" w:after="0" w:line="240" w:lineRule="auto"/>
              <w:rPr>
                <w:rFonts w:eastAsia="Calibri" w:cs="Arial"/>
                <w:b/>
                <w:bCs/>
                <w:noProof w:val="0"/>
                <w:color w:val="000000"/>
                <w:sz w:val="18"/>
                <w:szCs w:val="18"/>
                <w:lang w:eastAsia="en-US"/>
              </w:rPr>
            </w:pPr>
            <w:r w:rsidRPr="00D326D4">
              <w:rPr>
                <w:rFonts w:eastAsia="Calibri" w:cs="Arial"/>
                <w:b/>
                <w:bCs/>
                <w:noProof w:val="0"/>
                <w:color w:val="000000"/>
                <w:sz w:val="18"/>
                <w:szCs w:val="18"/>
                <w:lang w:eastAsia="en-US"/>
              </w:rPr>
              <w:t>Urgent Treatment Centre performance</w:t>
            </w:r>
          </w:p>
        </w:tc>
        <w:tc>
          <w:tcPr>
            <w:tcW w:w="1548"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hideMark/>
          </w:tcPr>
          <w:p w14:paraId="7C000403" w14:textId="77777777" w:rsidR="00091DDE" w:rsidRPr="00D326D4" w:rsidRDefault="00091DDE" w:rsidP="00DD4B58">
            <w:pPr>
              <w:tabs>
                <w:tab w:val="clear" w:pos="2835"/>
                <w:tab w:val="clear" w:pos="5670"/>
                <w:tab w:val="clear" w:pos="9016"/>
              </w:tabs>
              <w:spacing w:before="0" w:after="0" w:line="240" w:lineRule="auto"/>
              <w:rPr>
                <w:rFonts w:eastAsia="Calibri" w:cs="Arial"/>
                <w:b/>
                <w:bCs/>
                <w:noProof w:val="0"/>
                <w:color w:val="000000"/>
                <w:sz w:val="18"/>
                <w:szCs w:val="18"/>
                <w:lang w:eastAsia="en-US"/>
              </w:rPr>
            </w:pPr>
            <w:r w:rsidRPr="00D326D4">
              <w:rPr>
                <w:rFonts w:eastAsia="Calibri" w:cs="Arial"/>
                <w:b/>
                <w:bCs/>
                <w:noProof w:val="0"/>
                <w:color w:val="000000"/>
                <w:sz w:val="18"/>
                <w:szCs w:val="18"/>
                <w:lang w:eastAsia="en-US"/>
              </w:rPr>
              <w:t xml:space="preserve">April 2018 to March 2019                   </w:t>
            </w:r>
          </w:p>
          <w:p w14:paraId="27A6E379" w14:textId="77777777" w:rsidR="00091DDE" w:rsidRPr="00D326D4" w:rsidRDefault="00091DDE" w:rsidP="00DD4B58">
            <w:pPr>
              <w:tabs>
                <w:tab w:val="clear" w:pos="2835"/>
                <w:tab w:val="clear" w:pos="5670"/>
                <w:tab w:val="clear" w:pos="9016"/>
              </w:tabs>
              <w:spacing w:before="0" w:after="0" w:line="240" w:lineRule="auto"/>
              <w:rPr>
                <w:rFonts w:eastAsia="Calibri" w:cs="Arial"/>
                <w:b/>
                <w:bCs/>
                <w:noProof w:val="0"/>
                <w:color w:val="000000"/>
                <w:sz w:val="18"/>
                <w:szCs w:val="18"/>
                <w:lang w:eastAsia="en-US"/>
              </w:rPr>
            </w:pPr>
            <w:r w:rsidRPr="00D326D4">
              <w:rPr>
                <w:rFonts w:eastAsia="Calibri" w:cs="Arial"/>
                <w:b/>
                <w:bCs/>
                <w:noProof w:val="0"/>
                <w:color w:val="000000"/>
                <w:sz w:val="18"/>
                <w:szCs w:val="18"/>
                <w:lang w:eastAsia="en-US"/>
              </w:rPr>
              <w:t>(Q1 – Q4)</w:t>
            </w:r>
          </w:p>
        </w:tc>
        <w:tc>
          <w:tcPr>
            <w:tcW w:w="1347"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hideMark/>
          </w:tcPr>
          <w:p w14:paraId="48716083" w14:textId="77777777" w:rsidR="00091DDE" w:rsidRPr="00D326D4" w:rsidRDefault="00091DDE" w:rsidP="00DD4B58">
            <w:pPr>
              <w:tabs>
                <w:tab w:val="clear" w:pos="2835"/>
                <w:tab w:val="clear" w:pos="5670"/>
                <w:tab w:val="clear" w:pos="9016"/>
              </w:tabs>
              <w:spacing w:before="0" w:after="0" w:line="240" w:lineRule="auto"/>
              <w:rPr>
                <w:rFonts w:eastAsia="Calibri" w:cs="Arial"/>
                <w:b/>
                <w:bCs/>
                <w:noProof w:val="0"/>
                <w:color w:val="000000"/>
                <w:sz w:val="18"/>
                <w:szCs w:val="18"/>
                <w:lang w:eastAsia="en-US"/>
              </w:rPr>
            </w:pPr>
            <w:r w:rsidRPr="00D326D4">
              <w:rPr>
                <w:rFonts w:eastAsia="Calibri" w:cs="Arial"/>
                <w:b/>
                <w:bCs/>
                <w:noProof w:val="0"/>
                <w:color w:val="000000"/>
                <w:sz w:val="18"/>
                <w:szCs w:val="18"/>
                <w:lang w:eastAsia="en-US"/>
              </w:rPr>
              <w:t xml:space="preserve">April 2019 to March 2020 </w:t>
            </w:r>
            <w:r w:rsidRPr="00D326D4">
              <w:rPr>
                <w:rFonts w:eastAsia="Calibri" w:cs="Arial"/>
                <w:b/>
                <w:bCs/>
                <w:noProof w:val="0"/>
                <w:color w:val="000000"/>
                <w:sz w:val="18"/>
                <w:szCs w:val="18"/>
                <w:lang w:eastAsia="en-US"/>
              </w:rPr>
              <w:br/>
              <w:t>(Q1 – Q4)</w:t>
            </w:r>
          </w:p>
        </w:tc>
        <w:tc>
          <w:tcPr>
            <w:tcW w:w="1518"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hideMark/>
          </w:tcPr>
          <w:p w14:paraId="40906D56" w14:textId="77777777" w:rsidR="00091DDE" w:rsidRPr="00D326D4" w:rsidRDefault="00091DDE" w:rsidP="00DD4B58">
            <w:pPr>
              <w:tabs>
                <w:tab w:val="clear" w:pos="2835"/>
                <w:tab w:val="clear" w:pos="5670"/>
                <w:tab w:val="clear" w:pos="9016"/>
              </w:tabs>
              <w:spacing w:before="0" w:after="0" w:line="240" w:lineRule="auto"/>
              <w:rPr>
                <w:rFonts w:eastAsia="Calibri" w:cs="Arial"/>
                <w:b/>
                <w:bCs/>
                <w:noProof w:val="0"/>
                <w:color w:val="000000"/>
                <w:sz w:val="18"/>
                <w:szCs w:val="18"/>
                <w:lang w:eastAsia="en-US"/>
              </w:rPr>
            </w:pPr>
            <w:r w:rsidRPr="00D326D4">
              <w:rPr>
                <w:rFonts w:eastAsia="Calibri" w:cs="Arial"/>
                <w:b/>
                <w:bCs/>
                <w:noProof w:val="0"/>
                <w:color w:val="000000"/>
                <w:sz w:val="18"/>
                <w:szCs w:val="18"/>
                <w:lang w:eastAsia="en-US"/>
              </w:rPr>
              <w:t>April 2020 to March 2021 (Q1 – Q4)</w:t>
            </w:r>
          </w:p>
        </w:tc>
        <w:tc>
          <w:tcPr>
            <w:tcW w:w="1843" w:type="dxa"/>
            <w:tcBorders>
              <w:top w:val="single" w:sz="8" w:space="0" w:color="auto"/>
              <w:left w:val="nil"/>
              <w:bottom w:val="single" w:sz="8" w:space="0" w:color="auto"/>
              <w:right w:val="single" w:sz="8" w:space="0" w:color="auto"/>
            </w:tcBorders>
            <w:shd w:val="clear" w:color="auto" w:fill="95B3D7"/>
            <w:hideMark/>
          </w:tcPr>
          <w:p w14:paraId="7FBF5DB8" w14:textId="77777777" w:rsidR="00091DDE" w:rsidRPr="00D326D4" w:rsidRDefault="00091DDE" w:rsidP="00DD4B58">
            <w:pPr>
              <w:tabs>
                <w:tab w:val="clear" w:pos="2835"/>
                <w:tab w:val="clear" w:pos="5670"/>
                <w:tab w:val="clear" w:pos="9016"/>
              </w:tabs>
              <w:spacing w:before="0" w:after="0" w:line="240" w:lineRule="auto"/>
              <w:rPr>
                <w:rFonts w:eastAsia="Calibri" w:cs="Arial"/>
                <w:b/>
                <w:bCs/>
                <w:noProof w:val="0"/>
                <w:color w:val="000000"/>
                <w:sz w:val="18"/>
                <w:szCs w:val="18"/>
                <w:lang w:eastAsia="en-US"/>
              </w:rPr>
            </w:pPr>
            <w:r w:rsidRPr="00D326D4">
              <w:rPr>
                <w:rFonts w:eastAsia="Calibri" w:cs="Arial"/>
                <w:b/>
                <w:bCs/>
                <w:noProof w:val="0"/>
                <w:color w:val="000000"/>
                <w:sz w:val="18"/>
                <w:szCs w:val="18"/>
                <w:lang w:eastAsia="en-US"/>
              </w:rPr>
              <w:t xml:space="preserve">April 2021 to January 2022           </w:t>
            </w:r>
          </w:p>
        </w:tc>
      </w:tr>
      <w:tr w:rsidR="00DE0F99" w:rsidRPr="00D326D4" w14:paraId="39DEC5DC" w14:textId="77777777" w:rsidTr="00282671">
        <w:trPr>
          <w:trHeight w:val="615"/>
        </w:trPr>
        <w:tc>
          <w:tcPr>
            <w:tcW w:w="37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5D535" w14:textId="77777777" w:rsidR="00091DDE" w:rsidRPr="00D326D4" w:rsidRDefault="00091DDE" w:rsidP="00DD4B58">
            <w:pPr>
              <w:tabs>
                <w:tab w:val="clear" w:pos="2835"/>
                <w:tab w:val="clear" w:pos="5670"/>
                <w:tab w:val="clear" w:pos="9016"/>
              </w:tabs>
              <w:spacing w:before="0" w:after="0" w:line="240" w:lineRule="auto"/>
              <w:rPr>
                <w:rFonts w:eastAsia="Calibri" w:cs="Arial"/>
                <w:noProof w:val="0"/>
                <w:color w:val="000000"/>
                <w:sz w:val="18"/>
                <w:szCs w:val="18"/>
                <w:lang w:eastAsia="en-US"/>
              </w:rPr>
            </w:pPr>
            <w:r w:rsidRPr="00D326D4">
              <w:rPr>
                <w:rFonts w:eastAsia="Calibri" w:cs="Arial"/>
                <w:noProof w:val="0"/>
                <w:color w:val="000000"/>
                <w:sz w:val="18"/>
                <w:szCs w:val="18"/>
                <w:lang w:eastAsia="en-US"/>
              </w:rPr>
              <w:t>Percentage of service users who receive treatment within four hours of referral to the service</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14:paraId="0FE146C5" w14:textId="77777777" w:rsidR="00091DDE" w:rsidRPr="00D326D4" w:rsidRDefault="00091DDE" w:rsidP="00DD4B58">
            <w:pPr>
              <w:tabs>
                <w:tab w:val="clear" w:pos="2835"/>
                <w:tab w:val="clear" w:pos="5670"/>
                <w:tab w:val="clear" w:pos="9016"/>
              </w:tabs>
              <w:spacing w:before="0" w:after="0" w:line="240" w:lineRule="auto"/>
              <w:rPr>
                <w:rFonts w:eastAsia="Calibri" w:cs="Arial"/>
                <w:noProof w:val="0"/>
                <w:color w:val="000000"/>
                <w:sz w:val="18"/>
                <w:szCs w:val="18"/>
                <w:lang w:eastAsia="en-US"/>
              </w:rPr>
            </w:pPr>
            <w:r w:rsidRPr="00D326D4">
              <w:rPr>
                <w:rFonts w:eastAsia="Calibri" w:cs="Arial"/>
                <w:noProof w:val="0"/>
                <w:color w:val="000000"/>
                <w:sz w:val="18"/>
                <w:szCs w:val="18"/>
                <w:lang w:eastAsia="en-US"/>
              </w:rPr>
              <w:t>99.50%</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5064B86D" w14:textId="77777777" w:rsidR="00091DDE" w:rsidRPr="00D326D4" w:rsidRDefault="00091DDE" w:rsidP="00DD4B58">
            <w:pPr>
              <w:tabs>
                <w:tab w:val="clear" w:pos="2835"/>
                <w:tab w:val="clear" w:pos="5670"/>
                <w:tab w:val="clear" w:pos="9016"/>
              </w:tabs>
              <w:spacing w:before="0" w:after="0" w:line="240" w:lineRule="auto"/>
              <w:rPr>
                <w:rFonts w:eastAsia="Calibri" w:cs="Arial"/>
                <w:noProof w:val="0"/>
                <w:color w:val="000000"/>
                <w:sz w:val="18"/>
                <w:szCs w:val="18"/>
                <w:lang w:eastAsia="en-US"/>
              </w:rPr>
            </w:pPr>
            <w:r w:rsidRPr="00D326D4">
              <w:rPr>
                <w:rFonts w:eastAsia="Calibri" w:cs="Arial"/>
                <w:noProof w:val="0"/>
                <w:sz w:val="18"/>
                <w:szCs w:val="18"/>
                <w:lang w:eastAsia="en-US"/>
              </w:rPr>
              <w:t>99.0%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430404AA" w14:textId="1AC21F5B" w:rsidR="00091DDE" w:rsidRPr="00D326D4" w:rsidRDefault="00091DDE" w:rsidP="00DD4B58">
            <w:pPr>
              <w:tabs>
                <w:tab w:val="clear" w:pos="2835"/>
                <w:tab w:val="clear" w:pos="5670"/>
                <w:tab w:val="clear" w:pos="9016"/>
              </w:tabs>
              <w:spacing w:before="0" w:after="0" w:line="240" w:lineRule="auto"/>
              <w:rPr>
                <w:rFonts w:eastAsia="Calibri" w:cs="Arial"/>
                <w:noProof w:val="0"/>
                <w:color w:val="000000"/>
                <w:sz w:val="18"/>
                <w:szCs w:val="18"/>
                <w:lang w:eastAsia="en-US"/>
              </w:rPr>
            </w:pPr>
            <w:r w:rsidRPr="00D326D4">
              <w:rPr>
                <w:rFonts w:eastAsia="Calibri" w:cs="Arial"/>
                <w:noProof w:val="0"/>
                <w:color w:val="000000"/>
                <w:sz w:val="18"/>
                <w:szCs w:val="18"/>
                <w:lang w:eastAsia="en-US"/>
              </w:rPr>
              <w:t>99.5%</w:t>
            </w:r>
            <w:r w:rsidR="00DE0F99" w:rsidRPr="00D326D4">
              <w:rPr>
                <w:rFonts w:eastAsia="Calibri" w:cs="Arial"/>
                <w:noProof w:val="0"/>
                <w:color w:val="000000"/>
                <w:sz w:val="18"/>
                <w:szCs w:val="18"/>
                <w:lang w:eastAsia="en-US"/>
              </w:rPr>
              <w:t>*</w:t>
            </w:r>
          </w:p>
        </w:tc>
        <w:tc>
          <w:tcPr>
            <w:tcW w:w="1843" w:type="dxa"/>
            <w:tcBorders>
              <w:top w:val="nil"/>
              <w:left w:val="nil"/>
              <w:bottom w:val="single" w:sz="8" w:space="0" w:color="auto"/>
              <w:right w:val="single" w:sz="8" w:space="0" w:color="auto"/>
            </w:tcBorders>
            <w:hideMark/>
          </w:tcPr>
          <w:p w14:paraId="0C33CA26" w14:textId="77777777" w:rsidR="00091DDE" w:rsidRPr="00D326D4" w:rsidRDefault="00091DDE" w:rsidP="00DD4B58">
            <w:pPr>
              <w:tabs>
                <w:tab w:val="clear" w:pos="2835"/>
                <w:tab w:val="clear" w:pos="5670"/>
                <w:tab w:val="clear" w:pos="9016"/>
              </w:tabs>
              <w:spacing w:before="0" w:after="0" w:line="240" w:lineRule="auto"/>
              <w:jc w:val="both"/>
              <w:rPr>
                <w:rFonts w:eastAsia="Calibri" w:cs="Arial"/>
                <w:b/>
                <w:bCs/>
                <w:noProof w:val="0"/>
                <w:color w:val="000000"/>
                <w:sz w:val="18"/>
                <w:szCs w:val="18"/>
                <w:lang w:eastAsia="en-US"/>
              </w:rPr>
            </w:pPr>
            <w:r w:rsidRPr="00D326D4">
              <w:rPr>
                <w:rFonts w:eastAsia="Calibri" w:cs="Arial"/>
                <w:b/>
                <w:bCs/>
                <w:noProof w:val="0"/>
                <w:color w:val="000000"/>
                <w:sz w:val="18"/>
                <w:szCs w:val="18"/>
                <w:lang w:eastAsia="en-US"/>
              </w:rPr>
              <w:t>93.4%</w:t>
            </w:r>
          </w:p>
        </w:tc>
      </w:tr>
      <w:tr w:rsidR="00DE0F99" w:rsidRPr="00D326D4" w14:paraId="1A5CBB58" w14:textId="77777777" w:rsidTr="00282671">
        <w:trPr>
          <w:trHeight w:val="615"/>
        </w:trPr>
        <w:tc>
          <w:tcPr>
            <w:tcW w:w="37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94949" w14:textId="77777777" w:rsidR="00091DDE" w:rsidRPr="00D326D4" w:rsidRDefault="00091DDE" w:rsidP="00DD4B58">
            <w:pPr>
              <w:tabs>
                <w:tab w:val="clear" w:pos="2835"/>
                <w:tab w:val="clear" w:pos="5670"/>
                <w:tab w:val="clear" w:pos="9016"/>
              </w:tabs>
              <w:spacing w:before="0" w:after="0" w:line="240" w:lineRule="auto"/>
              <w:rPr>
                <w:rFonts w:eastAsia="Calibri" w:cs="Arial"/>
                <w:noProof w:val="0"/>
                <w:color w:val="000000"/>
                <w:sz w:val="18"/>
                <w:szCs w:val="18"/>
                <w:lang w:eastAsia="en-US"/>
              </w:rPr>
            </w:pPr>
            <w:r w:rsidRPr="00D326D4">
              <w:rPr>
                <w:rFonts w:eastAsia="Calibri" w:cs="Arial"/>
                <w:noProof w:val="0"/>
                <w:color w:val="000000"/>
                <w:sz w:val="18"/>
                <w:szCs w:val="18"/>
                <w:lang w:eastAsia="en-US"/>
              </w:rPr>
              <w:t>Number of telephone consultations only (defined as cases closed with only a telephone consultation)</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14:paraId="265D507C" w14:textId="2439A453" w:rsidR="00091DDE" w:rsidRPr="00D326D4" w:rsidRDefault="00091DDE" w:rsidP="00DD4B58">
            <w:pPr>
              <w:tabs>
                <w:tab w:val="clear" w:pos="2835"/>
                <w:tab w:val="clear" w:pos="5670"/>
                <w:tab w:val="clear" w:pos="9016"/>
              </w:tabs>
              <w:spacing w:before="0" w:after="0" w:line="240" w:lineRule="auto"/>
              <w:rPr>
                <w:rFonts w:eastAsia="Calibri" w:cs="Arial"/>
                <w:noProof w:val="0"/>
                <w:color w:val="000000"/>
                <w:sz w:val="18"/>
                <w:szCs w:val="18"/>
                <w:lang w:eastAsia="en-US"/>
              </w:rPr>
            </w:pPr>
            <w:r w:rsidRPr="00D326D4">
              <w:rPr>
                <w:rFonts w:eastAsia="Calibri" w:cs="Arial"/>
                <w:noProof w:val="0"/>
                <w:color w:val="000000"/>
                <w:sz w:val="18"/>
                <w:szCs w:val="18"/>
                <w:lang w:eastAsia="en-US"/>
              </w:rPr>
              <w:t>16,231</w:t>
            </w:r>
            <w:r w:rsidR="00DE0F99" w:rsidRPr="00D326D4">
              <w:rPr>
                <w:rFonts w:eastAsia="Calibri" w:cs="Arial"/>
                <w:noProof w:val="0"/>
                <w:color w:val="000000"/>
                <w:sz w:val="18"/>
                <w:szCs w:val="18"/>
                <w:lang w:eastAsia="en-US"/>
              </w:rPr>
              <w:t>*</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64E56C27" w14:textId="5261DBD1" w:rsidR="00091DDE" w:rsidRPr="00D326D4" w:rsidRDefault="00091DDE" w:rsidP="00DD4B58">
            <w:pPr>
              <w:tabs>
                <w:tab w:val="clear" w:pos="2835"/>
                <w:tab w:val="clear" w:pos="5670"/>
                <w:tab w:val="clear" w:pos="9016"/>
              </w:tabs>
              <w:spacing w:before="0" w:after="0" w:line="240" w:lineRule="auto"/>
              <w:rPr>
                <w:rFonts w:eastAsia="Calibri" w:cs="Arial"/>
                <w:noProof w:val="0"/>
                <w:sz w:val="18"/>
                <w:szCs w:val="18"/>
                <w:lang w:eastAsia="en-US"/>
              </w:rPr>
            </w:pPr>
            <w:r w:rsidRPr="00D326D4">
              <w:rPr>
                <w:rFonts w:eastAsia="Calibri" w:cs="Arial"/>
                <w:noProof w:val="0"/>
                <w:sz w:val="18"/>
                <w:szCs w:val="18"/>
                <w:lang w:eastAsia="en-US"/>
              </w:rPr>
              <w:t>17,209</w:t>
            </w:r>
            <w:r w:rsidR="00DE0F99" w:rsidRPr="00D326D4">
              <w:rPr>
                <w:rFonts w:eastAsia="Calibri" w:cs="Arial"/>
                <w:noProof w:val="0"/>
                <w:sz w:val="18"/>
                <w:szCs w:val="18"/>
                <w:lang w:eastAsia="en-US"/>
              </w:rPr>
              <w:t>*</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5072FC78" w14:textId="0F3ACEB3" w:rsidR="00091DDE" w:rsidRPr="00D326D4" w:rsidRDefault="00091DDE" w:rsidP="00DD4B58">
            <w:pPr>
              <w:tabs>
                <w:tab w:val="clear" w:pos="2835"/>
                <w:tab w:val="clear" w:pos="5670"/>
                <w:tab w:val="clear" w:pos="9016"/>
              </w:tabs>
              <w:spacing w:before="0" w:after="0" w:line="240" w:lineRule="auto"/>
              <w:rPr>
                <w:rFonts w:eastAsia="Calibri" w:cs="Arial"/>
                <w:noProof w:val="0"/>
                <w:sz w:val="18"/>
                <w:szCs w:val="18"/>
                <w:lang w:eastAsia="en-US"/>
              </w:rPr>
            </w:pPr>
            <w:r w:rsidRPr="00D326D4">
              <w:rPr>
                <w:rFonts w:eastAsia="Calibri" w:cs="Arial"/>
                <w:noProof w:val="0"/>
                <w:sz w:val="18"/>
                <w:szCs w:val="18"/>
                <w:lang w:eastAsia="en-US"/>
              </w:rPr>
              <w:t>29,601</w:t>
            </w:r>
            <w:r w:rsidR="00DE0F99" w:rsidRPr="00D326D4">
              <w:rPr>
                <w:rFonts w:eastAsia="Calibri" w:cs="Arial"/>
                <w:noProof w:val="0"/>
                <w:sz w:val="18"/>
                <w:szCs w:val="18"/>
                <w:lang w:eastAsia="en-US"/>
              </w:rPr>
              <w:t>*</w:t>
            </w:r>
          </w:p>
        </w:tc>
        <w:tc>
          <w:tcPr>
            <w:tcW w:w="1843" w:type="dxa"/>
            <w:tcBorders>
              <w:top w:val="nil"/>
              <w:left w:val="nil"/>
              <w:bottom w:val="single" w:sz="8" w:space="0" w:color="auto"/>
              <w:right w:val="single" w:sz="8" w:space="0" w:color="auto"/>
            </w:tcBorders>
            <w:hideMark/>
          </w:tcPr>
          <w:p w14:paraId="664C5B70" w14:textId="77777777" w:rsidR="00091DDE" w:rsidRPr="00D326D4" w:rsidRDefault="00091DDE" w:rsidP="00DD4B58">
            <w:pPr>
              <w:tabs>
                <w:tab w:val="clear" w:pos="2835"/>
                <w:tab w:val="clear" w:pos="5670"/>
                <w:tab w:val="clear" w:pos="9016"/>
              </w:tabs>
              <w:spacing w:before="0" w:after="0" w:line="240" w:lineRule="auto"/>
              <w:jc w:val="both"/>
              <w:rPr>
                <w:rFonts w:eastAsia="Calibri" w:cs="Arial"/>
                <w:b/>
                <w:bCs/>
                <w:noProof w:val="0"/>
                <w:sz w:val="18"/>
                <w:szCs w:val="18"/>
                <w:lang w:eastAsia="en-US"/>
              </w:rPr>
            </w:pPr>
            <w:r w:rsidRPr="00D326D4">
              <w:rPr>
                <w:rFonts w:eastAsia="Calibri" w:cs="Arial"/>
                <w:b/>
                <w:bCs/>
                <w:noProof w:val="0"/>
                <w:sz w:val="18"/>
                <w:szCs w:val="18"/>
                <w:lang w:eastAsia="en-US"/>
              </w:rPr>
              <w:t>24,932</w:t>
            </w:r>
          </w:p>
        </w:tc>
      </w:tr>
      <w:tr w:rsidR="00DE0F99" w:rsidRPr="00D326D4" w14:paraId="4825CCB4" w14:textId="77777777" w:rsidTr="00282671">
        <w:trPr>
          <w:trHeight w:val="315"/>
        </w:trPr>
        <w:tc>
          <w:tcPr>
            <w:tcW w:w="3799"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14:paraId="728BE8C5" w14:textId="77777777" w:rsidR="00091DDE" w:rsidRPr="00D326D4" w:rsidRDefault="00091DDE" w:rsidP="00DD4B58">
            <w:pPr>
              <w:tabs>
                <w:tab w:val="clear" w:pos="2835"/>
                <w:tab w:val="clear" w:pos="5670"/>
                <w:tab w:val="clear" w:pos="9016"/>
              </w:tabs>
              <w:spacing w:before="0" w:after="0" w:line="240" w:lineRule="auto"/>
              <w:rPr>
                <w:rFonts w:eastAsia="Calibri" w:cs="Arial"/>
                <w:noProof w:val="0"/>
                <w:color w:val="000000"/>
                <w:sz w:val="18"/>
                <w:szCs w:val="18"/>
                <w:lang w:eastAsia="en-US"/>
              </w:rPr>
            </w:pPr>
            <w:r w:rsidRPr="00D326D4">
              <w:rPr>
                <w:rFonts w:cs="Arial"/>
                <w:sz w:val="18"/>
                <w:szCs w:val="18"/>
              </w:rPr>
              <w:t xml:space="preserve">Number of diagnostics </w:t>
            </w:r>
          </w:p>
        </w:tc>
        <w:tc>
          <w:tcPr>
            <w:tcW w:w="1548" w:type="dxa"/>
            <w:tcBorders>
              <w:top w:val="nil"/>
              <w:left w:val="nil"/>
              <w:bottom w:val="single" w:sz="12" w:space="0" w:color="auto"/>
              <w:right w:val="single" w:sz="8" w:space="0" w:color="auto"/>
            </w:tcBorders>
            <w:tcMar>
              <w:top w:w="0" w:type="dxa"/>
              <w:left w:w="108" w:type="dxa"/>
              <w:bottom w:w="0" w:type="dxa"/>
              <w:right w:w="108" w:type="dxa"/>
            </w:tcMar>
            <w:hideMark/>
          </w:tcPr>
          <w:p w14:paraId="7C6DCA8B" w14:textId="77777777" w:rsidR="00091DDE" w:rsidRPr="00D326D4" w:rsidRDefault="00091DDE" w:rsidP="00DD4B58">
            <w:pPr>
              <w:tabs>
                <w:tab w:val="clear" w:pos="2835"/>
                <w:tab w:val="clear" w:pos="5670"/>
                <w:tab w:val="clear" w:pos="9016"/>
              </w:tabs>
              <w:spacing w:before="0" w:after="0" w:line="240" w:lineRule="auto"/>
              <w:rPr>
                <w:rFonts w:eastAsia="Calibri" w:cs="Arial"/>
                <w:noProof w:val="0"/>
                <w:color w:val="000000"/>
                <w:sz w:val="18"/>
                <w:szCs w:val="18"/>
                <w:lang w:eastAsia="en-US"/>
              </w:rPr>
            </w:pPr>
            <w:r w:rsidRPr="00D326D4">
              <w:rPr>
                <w:rFonts w:eastAsia="Calibri" w:cs="Arial"/>
                <w:noProof w:val="0"/>
                <w:color w:val="000000"/>
                <w:sz w:val="18"/>
                <w:szCs w:val="18"/>
                <w:lang w:eastAsia="en-US"/>
              </w:rPr>
              <w:t>5,140</w:t>
            </w:r>
          </w:p>
        </w:tc>
        <w:tc>
          <w:tcPr>
            <w:tcW w:w="1347" w:type="dxa"/>
            <w:tcBorders>
              <w:top w:val="nil"/>
              <w:left w:val="nil"/>
              <w:bottom w:val="single" w:sz="12" w:space="0" w:color="auto"/>
              <w:right w:val="single" w:sz="8" w:space="0" w:color="auto"/>
            </w:tcBorders>
            <w:tcMar>
              <w:top w:w="0" w:type="dxa"/>
              <w:left w:w="108" w:type="dxa"/>
              <w:bottom w:w="0" w:type="dxa"/>
              <w:right w:w="108" w:type="dxa"/>
            </w:tcMar>
            <w:hideMark/>
          </w:tcPr>
          <w:p w14:paraId="1B0035CD" w14:textId="77777777" w:rsidR="00091DDE" w:rsidRPr="00D326D4" w:rsidRDefault="00091DDE" w:rsidP="00DD4B58">
            <w:pPr>
              <w:tabs>
                <w:tab w:val="clear" w:pos="2835"/>
                <w:tab w:val="clear" w:pos="5670"/>
                <w:tab w:val="clear" w:pos="9016"/>
              </w:tabs>
              <w:spacing w:before="0" w:after="0" w:line="240" w:lineRule="auto"/>
              <w:rPr>
                <w:rFonts w:eastAsia="Calibri" w:cs="Arial"/>
                <w:noProof w:val="0"/>
                <w:color w:val="000000"/>
                <w:sz w:val="18"/>
                <w:szCs w:val="18"/>
                <w:lang w:eastAsia="en-US"/>
              </w:rPr>
            </w:pPr>
            <w:r w:rsidRPr="00D326D4">
              <w:rPr>
                <w:rFonts w:eastAsia="Calibri" w:cs="Arial"/>
                <w:noProof w:val="0"/>
                <w:sz w:val="18"/>
                <w:szCs w:val="18"/>
                <w:lang w:eastAsia="en-US"/>
              </w:rPr>
              <w:t>4,896</w:t>
            </w:r>
          </w:p>
        </w:tc>
        <w:tc>
          <w:tcPr>
            <w:tcW w:w="1518" w:type="dxa"/>
            <w:tcBorders>
              <w:top w:val="nil"/>
              <w:left w:val="nil"/>
              <w:bottom w:val="single" w:sz="12" w:space="0" w:color="auto"/>
              <w:right w:val="single" w:sz="8" w:space="0" w:color="auto"/>
            </w:tcBorders>
            <w:tcMar>
              <w:top w:w="0" w:type="dxa"/>
              <w:left w:w="108" w:type="dxa"/>
              <w:bottom w:w="0" w:type="dxa"/>
              <w:right w:w="108" w:type="dxa"/>
            </w:tcMar>
            <w:hideMark/>
          </w:tcPr>
          <w:p w14:paraId="721CC453" w14:textId="5E186079" w:rsidR="00091DDE" w:rsidRPr="00D326D4" w:rsidRDefault="00091DDE" w:rsidP="00DD4B58">
            <w:pPr>
              <w:tabs>
                <w:tab w:val="clear" w:pos="2835"/>
                <w:tab w:val="clear" w:pos="5670"/>
                <w:tab w:val="clear" w:pos="9016"/>
              </w:tabs>
              <w:spacing w:before="0" w:after="0" w:line="240" w:lineRule="auto"/>
              <w:rPr>
                <w:rFonts w:eastAsia="Calibri" w:cs="Arial"/>
                <w:noProof w:val="0"/>
                <w:color w:val="000000"/>
                <w:sz w:val="18"/>
                <w:szCs w:val="18"/>
                <w:lang w:eastAsia="en-US"/>
              </w:rPr>
            </w:pPr>
            <w:r w:rsidRPr="00D326D4">
              <w:rPr>
                <w:rFonts w:eastAsia="Calibri" w:cs="Arial"/>
                <w:noProof w:val="0"/>
                <w:color w:val="000000"/>
                <w:sz w:val="18"/>
                <w:szCs w:val="18"/>
                <w:lang w:eastAsia="en-US"/>
              </w:rPr>
              <w:t>4,070</w:t>
            </w:r>
            <w:r w:rsidR="00DE0F99" w:rsidRPr="00D326D4">
              <w:rPr>
                <w:rFonts w:eastAsia="Calibri" w:cs="Arial"/>
                <w:noProof w:val="0"/>
                <w:color w:val="000000"/>
                <w:sz w:val="18"/>
                <w:szCs w:val="18"/>
                <w:lang w:eastAsia="en-US"/>
              </w:rPr>
              <w:t>*</w:t>
            </w:r>
          </w:p>
        </w:tc>
        <w:tc>
          <w:tcPr>
            <w:tcW w:w="1843" w:type="dxa"/>
            <w:tcBorders>
              <w:top w:val="nil"/>
              <w:left w:val="nil"/>
              <w:bottom w:val="single" w:sz="12" w:space="0" w:color="auto"/>
              <w:right w:val="single" w:sz="8" w:space="0" w:color="auto"/>
            </w:tcBorders>
            <w:hideMark/>
          </w:tcPr>
          <w:p w14:paraId="54A48F99" w14:textId="77777777" w:rsidR="00091DDE" w:rsidRPr="00D326D4" w:rsidRDefault="00091DDE" w:rsidP="00DD4B58">
            <w:pPr>
              <w:tabs>
                <w:tab w:val="clear" w:pos="2835"/>
                <w:tab w:val="clear" w:pos="5670"/>
                <w:tab w:val="clear" w:pos="9016"/>
              </w:tabs>
              <w:spacing w:before="0" w:after="0" w:line="240" w:lineRule="auto"/>
              <w:jc w:val="both"/>
              <w:rPr>
                <w:rFonts w:eastAsia="Calibri" w:cs="Arial"/>
                <w:b/>
                <w:bCs/>
                <w:noProof w:val="0"/>
                <w:color w:val="000000"/>
                <w:sz w:val="18"/>
                <w:szCs w:val="18"/>
                <w:lang w:eastAsia="en-US"/>
              </w:rPr>
            </w:pPr>
            <w:r w:rsidRPr="00D326D4">
              <w:rPr>
                <w:rFonts w:eastAsia="Calibri" w:cs="Arial"/>
                <w:b/>
                <w:bCs/>
                <w:noProof w:val="0"/>
                <w:color w:val="000000"/>
                <w:sz w:val="18"/>
                <w:szCs w:val="18"/>
                <w:lang w:eastAsia="en-US"/>
              </w:rPr>
              <w:t>5,076</w:t>
            </w:r>
          </w:p>
        </w:tc>
      </w:tr>
    </w:tbl>
    <w:p w14:paraId="6D2AF359" w14:textId="1113575E" w:rsidR="00091DDE" w:rsidRPr="00D326D4" w:rsidRDefault="00DE0F99" w:rsidP="00091DDE">
      <w:pPr>
        <w:spacing w:line="240" w:lineRule="auto"/>
        <w:rPr>
          <w:rFonts w:cs="Arial"/>
          <w:sz w:val="16"/>
          <w:szCs w:val="16"/>
        </w:rPr>
      </w:pPr>
      <w:r w:rsidRPr="00D326D4">
        <w:rPr>
          <w:rFonts w:cs="Arial"/>
          <w:sz w:val="16"/>
          <w:szCs w:val="16"/>
        </w:rPr>
        <w:t>*</w:t>
      </w:r>
      <w:r w:rsidR="00091DDE" w:rsidRPr="00D326D4">
        <w:rPr>
          <w:rFonts w:cs="Arial"/>
          <w:sz w:val="16"/>
          <w:szCs w:val="16"/>
        </w:rPr>
        <w:t xml:space="preserve"> amended figures from the previous years report following an audit.</w:t>
      </w:r>
    </w:p>
    <w:p w14:paraId="23C694FF" w14:textId="70DD5FE2" w:rsidR="00091DDE" w:rsidRPr="00D326D4" w:rsidRDefault="00091DDE" w:rsidP="00091DDE">
      <w:pPr>
        <w:spacing w:line="240" w:lineRule="auto"/>
        <w:rPr>
          <w:rFonts w:cs="Arial"/>
        </w:rPr>
      </w:pPr>
      <w:r w:rsidRPr="00D326D4">
        <w:rPr>
          <w:rFonts w:cs="Arial"/>
        </w:rPr>
        <w:t>Similarly we have seen improving performance across our wider urgent care services between 2020</w:t>
      </w:r>
      <w:r w:rsidR="00D849A9" w:rsidRPr="00D326D4">
        <w:rPr>
          <w:rFonts w:cs="Arial"/>
        </w:rPr>
        <w:t>-</w:t>
      </w:r>
      <w:r w:rsidRPr="00D326D4">
        <w:rPr>
          <w:rFonts w:cs="Arial"/>
        </w:rPr>
        <w:t>21 and 2021</w:t>
      </w:r>
      <w:r w:rsidR="00D849A9" w:rsidRPr="00D326D4">
        <w:rPr>
          <w:rFonts w:cs="Arial"/>
        </w:rPr>
        <w:t>-</w:t>
      </w:r>
      <w:r w:rsidRPr="00D326D4">
        <w:rPr>
          <w:rFonts w:cs="Arial"/>
        </w:rPr>
        <w:t>22</w:t>
      </w:r>
      <w:r w:rsidR="00D849A9" w:rsidRPr="00D326D4">
        <w:rPr>
          <w:rFonts w:cs="Arial"/>
        </w:rPr>
        <w:t>:</w:t>
      </w:r>
    </w:p>
    <w:tbl>
      <w:tblPr>
        <w:tblpPr w:leftFromText="180" w:rightFromText="180" w:bottomFromText="70" w:vertAnchor="text"/>
        <w:tblW w:w="10055" w:type="dxa"/>
        <w:tblCellMar>
          <w:left w:w="0" w:type="dxa"/>
          <w:right w:w="0" w:type="dxa"/>
        </w:tblCellMar>
        <w:tblLook w:val="04A0" w:firstRow="1" w:lastRow="0" w:firstColumn="1" w:lastColumn="0" w:noHBand="0" w:noVBand="1"/>
      </w:tblPr>
      <w:tblGrid>
        <w:gridCol w:w="3648"/>
        <w:gridCol w:w="1622"/>
        <w:gridCol w:w="1324"/>
        <w:gridCol w:w="1618"/>
        <w:gridCol w:w="1843"/>
      </w:tblGrid>
      <w:tr w:rsidR="00D849A9" w:rsidRPr="00D326D4" w14:paraId="33FEF37F" w14:textId="77777777" w:rsidTr="00282671">
        <w:trPr>
          <w:trHeight w:val="870"/>
        </w:trPr>
        <w:tc>
          <w:tcPr>
            <w:tcW w:w="3648" w:type="dxa"/>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hideMark/>
          </w:tcPr>
          <w:p w14:paraId="144EB143" w14:textId="6D52C484" w:rsidR="00091DDE" w:rsidRPr="00D326D4" w:rsidRDefault="00091DDE" w:rsidP="00DD4B58">
            <w:pPr>
              <w:tabs>
                <w:tab w:val="clear" w:pos="2835"/>
                <w:tab w:val="clear" w:pos="5670"/>
                <w:tab w:val="clear" w:pos="9016"/>
              </w:tabs>
              <w:spacing w:before="0" w:after="0" w:line="240" w:lineRule="auto"/>
              <w:rPr>
                <w:rFonts w:eastAsia="Calibri" w:cs="Arial"/>
                <w:b/>
                <w:bCs/>
                <w:noProof w:val="0"/>
                <w:color w:val="000000"/>
                <w:sz w:val="18"/>
                <w:szCs w:val="18"/>
                <w:lang w:eastAsia="en-US"/>
              </w:rPr>
            </w:pPr>
            <w:r w:rsidRPr="00D326D4">
              <w:rPr>
                <w:rFonts w:eastAsia="Calibri" w:cs="Arial"/>
                <w:b/>
                <w:bCs/>
                <w:noProof w:val="0"/>
                <w:color w:val="000000"/>
                <w:sz w:val="18"/>
                <w:szCs w:val="18"/>
                <w:lang w:eastAsia="en-US"/>
              </w:rPr>
              <w:t xml:space="preserve">General community </w:t>
            </w:r>
            <w:r w:rsidR="000E7A75" w:rsidRPr="00D326D4">
              <w:rPr>
                <w:rFonts w:eastAsia="Calibri" w:cs="Arial"/>
                <w:b/>
                <w:bCs/>
                <w:noProof w:val="0"/>
                <w:color w:val="000000"/>
                <w:sz w:val="18"/>
                <w:szCs w:val="18"/>
                <w:lang w:eastAsia="en-US"/>
              </w:rPr>
              <w:t>based unplanned</w:t>
            </w:r>
            <w:r w:rsidRPr="00D326D4">
              <w:rPr>
                <w:rFonts w:eastAsia="Calibri" w:cs="Arial"/>
                <w:b/>
                <w:bCs/>
                <w:noProof w:val="0"/>
                <w:color w:val="000000"/>
                <w:sz w:val="18"/>
                <w:szCs w:val="18"/>
                <w:lang w:eastAsia="en-US"/>
              </w:rPr>
              <w:t xml:space="preserve"> care performance (Urgent Treatment Centre, Rapid Response, Out of Hours service)</w:t>
            </w:r>
          </w:p>
        </w:tc>
        <w:tc>
          <w:tcPr>
            <w:tcW w:w="1622"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hideMark/>
          </w:tcPr>
          <w:p w14:paraId="29F31AC7" w14:textId="77777777" w:rsidR="00091DDE" w:rsidRPr="00D326D4" w:rsidRDefault="00091DDE" w:rsidP="00DD4B58">
            <w:pPr>
              <w:tabs>
                <w:tab w:val="clear" w:pos="2835"/>
                <w:tab w:val="clear" w:pos="5670"/>
                <w:tab w:val="clear" w:pos="9016"/>
              </w:tabs>
              <w:spacing w:before="0" w:after="0" w:line="240" w:lineRule="auto"/>
              <w:rPr>
                <w:rFonts w:eastAsia="Calibri" w:cs="Arial"/>
                <w:b/>
                <w:bCs/>
                <w:noProof w:val="0"/>
                <w:color w:val="000000"/>
                <w:sz w:val="18"/>
                <w:szCs w:val="18"/>
                <w:lang w:eastAsia="en-US"/>
              </w:rPr>
            </w:pPr>
            <w:r w:rsidRPr="00D326D4">
              <w:rPr>
                <w:rFonts w:eastAsia="Calibri" w:cs="Arial"/>
                <w:b/>
                <w:bCs/>
                <w:noProof w:val="0"/>
                <w:color w:val="000000"/>
                <w:sz w:val="18"/>
                <w:szCs w:val="18"/>
                <w:lang w:eastAsia="en-US"/>
              </w:rPr>
              <w:t xml:space="preserve">April 2018 to March 2019                   </w:t>
            </w:r>
          </w:p>
          <w:p w14:paraId="6E570A0C" w14:textId="77777777" w:rsidR="00091DDE" w:rsidRPr="00D326D4" w:rsidRDefault="00091DDE" w:rsidP="00DD4B58">
            <w:pPr>
              <w:tabs>
                <w:tab w:val="clear" w:pos="2835"/>
                <w:tab w:val="clear" w:pos="5670"/>
                <w:tab w:val="clear" w:pos="9016"/>
              </w:tabs>
              <w:spacing w:before="0" w:after="0" w:line="240" w:lineRule="auto"/>
              <w:rPr>
                <w:rFonts w:eastAsia="Calibri" w:cs="Arial"/>
                <w:b/>
                <w:bCs/>
                <w:noProof w:val="0"/>
                <w:color w:val="000000"/>
                <w:sz w:val="18"/>
                <w:szCs w:val="18"/>
                <w:lang w:eastAsia="en-US"/>
              </w:rPr>
            </w:pPr>
            <w:r w:rsidRPr="00D326D4">
              <w:rPr>
                <w:rFonts w:eastAsia="Calibri" w:cs="Arial"/>
                <w:b/>
                <w:bCs/>
                <w:noProof w:val="0"/>
                <w:color w:val="000000"/>
                <w:sz w:val="18"/>
                <w:szCs w:val="18"/>
                <w:lang w:eastAsia="en-US"/>
              </w:rPr>
              <w:t>(Q1 – Q4)</w:t>
            </w:r>
          </w:p>
        </w:tc>
        <w:tc>
          <w:tcPr>
            <w:tcW w:w="1324"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hideMark/>
          </w:tcPr>
          <w:p w14:paraId="1C2972AF" w14:textId="77777777" w:rsidR="00091DDE" w:rsidRPr="00D326D4" w:rsidRDefault="00091DDE" w:rsidP="00DD4B58">
            <w:pPr>
              <w:tabs>
                <w:tab w:val="clear" w:pos="2835"/>
                <w:tab w:val="clear" w:pos="5670"/>
                <w:tab w:val="clear" w:pos="9016"/>
              </w:tabs>
              <w:spacing w:before="0" w:after="0" w:line="240" w:lineRule="auto"/>
              <w:rPr>
                <w:rFonts w:eastAsia="Calibri" w:cs="Arial"/>
                <w:b/>
                <w:bCs/>
                <w:noProof w:val="0"/>
                <w:color w:val="000000"/>
                <w:sz w:val="18"/>
                <w:szCs w:val="18"/>
                <w:lang w:eastAsia="en-US"/>
              </w:rPr>
            </w:pPr>
            <w:r w:rsidRPr="00D326D4">
              <w:rPr>
                <w:rFonts w:eastAsia="Calibri" w:cs="Arial"/>
                <w:b/>
                <w:bCs/>
                <w:noProof w:val="0"/>
                <w:color w:val="000000"/>
                <w:sz w:val="18"/>
                <w:szCs w:val="18"/>
                <w:lang w:eastAsia="en-US"/>
              </w:rPr>
              <w:t xml:space="preserve">April 2019 to March 2020 </w:t>
            </w:r>
            <w:r w:rsidRPr="00D326D4">
              <w:rPr>
                <w:rFonts w:eastAsia="Calibri" w:cs="Arial"/>
                <w:b/>
                <w:bCs/>
                <w:noProof w:val="0"/>
                <w:color w:val="000000"/>
                <w:sz w:val="18"/>
                <w:szCs w:val="18"/>
                <w:lang w:eastAsia="en-US"/>
              </w:rPr>
              <w:br/>
              <w:t>(Q1 – Q4)</w:t>
            </w:r>
          </w:p>
        </w:tc>
        <w:tc>
          <w:tcPr>
            <w:tcW w:w="1618"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hideMark/>
          </w:tcPr>
          <w:p w14:paraId="7D217505" w14:textId="77777777" w:rsidR="00091DDE" w:rsidRPr="00D326D4" w:rsidRDefault="00091DDE" w:rsidP="00DD4B58">
            <w:pPr>
              <w:tabs>
                <w:tab w:val="clear" w:pos="2835"/>
                <w:tab w:val="clear" w:pos="5670"/>
                <w:tab w:val="clear" w:pos="9016"/>
              </w:tabs>
              <w:spacing w:before="0" w:after="0" w:line="240" w:lineRule="auto"/>
              <w:rPr>
                <w:rFonts w:eastAsia="Calibri" w:cs="Arial"/>
                <w:b/>
                <w:bCs/>
                <w:noProof w:val="0"/>
                <w:color w:val="000000"/>
                <w:sz w:val="18"/>
                <w:szCs w:val="18"/>
                <w:lang w:eastAsia="en-US"/>
              </w:rPr>
            </w:pPr>
            <w:r w:rsidRPr="00D326D4">
              <w:rPr>
                <w:rFonts w:eastAsia="Calibri" w:cs="Arial"/>
                <w:b/>
                <w:bCs/>
                <w:noProof w:val="0"/>
                <w:color w:val="000000"/>
                <w:sz w:val="18"/>
                <w:szCs w:val="18"/>
                <w:lang w:eastAsia="en-US"/>
              </w:rPr>
              <w:t>April 2020 to March 2021 (Q1 – Q4)</w:t>
            </w:r>
          </w:p>
        </w:tc>
        <w:tc>
          <w:tcPr>
            <w:tcW w:w="1843" w:type="dxa"/>
            <w:tcBorders>
              <w:top w:val="single" w:sz="8" w:space="0" w:color="auto"/>
              <w:left w:val="nil"/>
              <w:bottom w:val="single" w:sz="8" w:space="0" w:color="auto"/>
              <w:right w:val="single" w:sz="8" w:space="0" w:color="auto"/>
            </w:tcBorders>
            <w:shd w:val="clear" w:color="auto" w:fill="95B3D7"/>
            <w:hideMark/>
          </w:tcPr>
          <w:p w14:paraId="07932BAB" w14:textId="77777777" w:rsidR="00091DDE" w:rsidRPr="00D326D4" w:rsidRDefault="00091DDE" w:rsidP="00DD4B58">
            <w:pPr>
              <w:tabs>
                <w:tab w:val="clear" w:pos="2835"/>
                <w:tab w:val="clear" w:pos="5670"/>
                <w:tab w:val="clear" w:pos="9016"/>
              </w:tabs>
              <w:spacing w:before="0" w:after="0" w:line="240" w:lineRule="auto"/>
              <w:rPr>
                <w:rFonts w:eastAsia="Calibri" w:cs="Arial"/>
                <w:b/>
                <w:bCs/>
                <w:noProof w:val="0"/>
                <w:color w:val="000000"/>
                <w:sz w:val="18"/>
                <w:szCs w:val="18"/>
                <w:lang w:eastAsia="en-US"/>
              </w:rPr>
            </w:pPr>
            <w:r w:rsidRPr="00D326D4">
              <w:rPr>
                <w:rFonts w:eastAsia="Calibri" w:cs="Arial"/>
                <w:b/>
                <w:bCs/>
                <w:noProof w:val="0"/>
                <w:color w:val="000000"/>
                <w:sz w:val="18"/>
                <w:szCs w:val="18"/>
                <w:lang w:eastAsia="en-US"/>
              </w:rPr>
              <w:t xml:space="preserve">April 2021 to January 2022           </w:t>
            </w:r>
          </w:p>
        </w:tc>
      </w:tr>
      <w:tr w:rsidR="00D849A9" w:rsidRPr="00D326D4" w14:paraId="1F4B0B31" w14:textId="77777777" w:rsidTr="00282671">
        <w:trPr>
          <w:trHeight w:val="615"/>
        </w:trPr>
        <w:tc>
          <w:tcPr>
            <w:tcW w:w="3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027B3" w14:textId="77777777" w:rsidR="00091DDE" w:rsidRPr="00D326D4" w:rsidRDefault="00091DDE" w:rsidP="00DD4B58">
            <w:pPr>
              <w:tabs>
                <w:tab w:val="clear" w:pos="2835"/>
                <w:tab w:val="clear" w:pos="5670"/>
                <w:tab w:val="clear" w:pos="9016"/>
              </w:tabs>
              <w:spacing w:before="0" w:after="0" w:line="240" w:lineRule="auto"/>
              <w:rPr>
                <w:rFonts w:eastAsia="Calibri" w:cs="Arial"/>
                <w:noProof w:val="0"/>
                <w:color w:val="000000"/>
                <w:sz w:val="18"/>
                <w:szCs w:val="18"/>
                <w:lang w:eastAsia="en-US"/>
              </w:rPr>
            </w:pPr>
            <w:r w:rsidRPr="00D326D4">
              <w:rPr>
                <w:rFonts w:eastAsia="Calibri" w:cs="Arial"/>
                <w:noProof w:val="0"/>
                <w:color w:val="000000"/>
                <w:sz w:val="18"/>
                <w:szCs w:val="18"/>
                <w:lang w:eastAsia="en-US"/>
              </w:rPr>
              <w:t>Percentage of service users defined as ‘urgent’, who receive treatment within two hours of referral to the service</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A8FF2B2" w14:textId="77777777" w:rsidR="00091DDE" w:rsidRPr="00D326D4" w:rsidRDefault="00091DDE" w:rsidP="00DD4B58">
            <w:pPr>
              <w:tabs>
                <w:tab w:val="clear" w:pos="2835"/>
                <w:tab w:val="clear" w:pos="5670"/>
                <w:tab w:val="clear" w:pos="9016"/>
              </w:tabs>
              <w:spacing w:before="0" w:after="0" w:line="240" w:lineRule="auto"/>
              <w:rPr>
                <w:rFonts w:eastAsia="Calibri" w:cs="Arial"/>
                <w:noProof w:val="0"/>
                <w:color w:val="000000"/>
                <w:sz w:val="18"/>
                <w:szCs w:val="18"/>
                <w:lang w:eastAsia="en-US"/>
              </w:rPr>
            </w:pPr>
            <w:r w:rsidRPr="00D326D4">
              <w:rPr>
                <w:rFonts w:eastAsia="Calibri" w:cs="Arial"/>
                <w:noProof w:val="0"/>
                <w:color w:val="000000"/>
                <w:sz w:val="18"/>
                <w:szCs w:val="18"/>
                <w:lang w:eastAsia="en-US"/>
              </w:rPr>
              <w:t>99.42%</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14:paraId="4F5E4305" w14:textId="77777777" w:rsidR="00091DDE" w:rsidRPr="00D326D4" w:rsidRDefault="00091DDE" w:rsidP="00DD4B58">
            <w:pPr>
              <w:tabs>
                <w:tab w:val="clear" w:pos="2835"/>
                <w:tab w:val="clear" w:pos="5670"/>
                <w:tab w:val="clear" w:pos="9016"/>
              </w:tabs>
              <w:spacing w:before="0" w:after="0" w:line="240" w:lineRule="auto"/>
              <w:rPr>
                <w:rFonts w:eastAsia="Calibri" w:cs="Arial"/>
                <w:noProof w:val="0"/>
                <w:color w:val="000000"/>
                <w:sz w:val="18"/>
                <w:szCs w:val="18"/>
                <w:lang w:eastAsia="en-US"/>
              </w:rPr>
            </w:pPr>
            <w:r w:rsidRPr="00D326D4">
              <w:rPr>
                <w:rFonts w:eastAsia="Calibri" w:cs="Arial"/>
                <w:noProof w:val="0"/>
                <w:sz w:val="18"/>
                <w:szCs w:val="18"/>
                <w:lang w:eastAsia="en-US"/>
              </w:rPr>
              <w:t>99.1%</w:t>
            </w:r>
          </w:p>
        </w:tc>
        <w:tc>
          <w:tcPr>
            <w:tcW w:w="1618" w:type="dxa"/>
            <w:tcBorders>
              <w:top w:val="nil"/>
              <w:left w:val="nil"/>
              <w:bottom w:val="single" w:sz="8" w:space="0" w:color="auto"/>
              <w:right w:val="single" w:sz="8" w:space="0" w:color="auto"/>
            </w:tcBorders>
            <w:tcMar>
              <w:top w:w="0" w:type="dxa"/>
              <w:left w:w="108" w:type="dxa"/>
              <w:bottom w:w="0" w:type="dxa"/>
              <w:right w:w="108" w:type="dxa"/>
            </w:tcMar>
            <w:hideMark/>
          </w:tcPr>
          <w:p w14:paraId="6E3E0509" w14:textId="77777777" w:rsidR="00091DDE" w:rsidRPr="00D326D4" w:rsidRDefault="00091DDE" w:rsidP="00DD4B58">
            <w:pPr>
              <w:tabs>
                <w:tab w:val="clear" w:pos="2835"/>
                <w:tab w:val="clear" w:pos="5670"/>
                <w:tab w:val="clear" w:pos="9016"/>
              </w:tabs>
              <w:spacing w:before="0" w:after="0" w:line="240" w:lineRule="auto"/>
              <w:rPr>
                <w:rFonts w:eastAsia="Calibri" w:cs="Arial"/>
                <w:noProof w:val="0"/>
                <w:color w:val="000000"/>
                <w:sz w:val="18"/>
                <w:szCs w:val="18"/>
                <w:lang w:eastAsia="en-US"/>
              </w:rPr>
            </w:pPr>
            <w:r w:rsidRPr="00D326D4">
              <w:rPr>
                <w:rFonts w:eastAsia="Calibri" w:cs="Arial"/>
                <w:noProof w:val="0"/>
                <w:color w:val="000000"/>
                <w:sz w:val="18"/>
                <w:szCs w:val="18"/>
                <w:lang w:eastAsia="en-US"/>
              </w:rPr>
              <w:t>97.4%</w:t>
            </w:r>
          </w:p>
        </w:tc>
        <w:tc>
          <w:tcPr>
            <w:tcW w:w="1843" w:type="dxa"/>
            <w:tcBorders>
              <w:top w:val="nil"/>
              <w:left w:val="nil"/>
              <w:bottom w:val="single" w:sz="8" w:space="0" w:color="auto"/>
              <w:right w:val="single" w:sz="8" w:space="0" w:color="auto"/>
            </w:tcBorders>
            <w:hideMark/>
          </w:tcPr>
          <w:p w14:paraId="5C540B86" w14:textId="77777777" w:rsidR="00091DDE" w:rsidRPr="00D326D4" w:rsidRDefault="00091DDE" w:rsidP="00DD4B58">
            <w:pPr>
              <w:tabs>
                <w:tab w:val="clear" w:pos="2835"/>
                <w:tab w:val="clear" w:pos="5670"/>
                <w:tab w:val="clear" w:pos="9016"/>
              </w:tabs>
              <w:spacing w:before="0" w:after="0" w:line="240" w:lineRule="auto"/>
              <w:jc w:val="both"/>
              <w:rPr>
                <w:rFonts w:eastAsia="Calibri" w:cs="Arial"/>
                <w:b/>
                <w:bCs/>
                <w:noProof w:val="0"/>
                <w:color w:val="000000"/>
                <w:sz w:val="18"/>
                <w:szCs w:val="18"/>
                <w:lang w:eastAsia="en-US"/>
              </w:rPr>
            </w:pPr>
            <w:r w:rsidRPr="00D326D4">
              <w:rPr>
                <w:rFonts w:eastAsia="Calibri" w:cs="Arial"/>
                <w:b/>
                <w:bCs/>
                <w:noProof w:val="0"/>
                <w:color w:val="000000"/>
                <w:sz w:val="18"/>
                <w:szCs w:val="18"/>
                <w:lang w:eastAsia="en-US"/>
              </w:rPr>
              <w:t>98.1%</w:t>
            </w:r>
          </w:p>
        </w:tc>
      </w:tr>
      <w:tr w:rsidR="00D849A9" w:rsidRPr="00D326D4" w14:paraId="6152878C" w14:textId="77777777" w:rsidTr="00282671">
        <w:trPr>
          <w:trHeight w:val="615"/>
        </w:trPr>
        <w:tc>
          <w:tcPr>
            <w:tcW w:w="3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925C7" w14:textId="4AC9DAEB" w:rsidR="00091DDE" w:rsidRPr="00D326D4" w:rsidRDefault="00091DDE" w:rsidP="00DD4B58">
            <w:pPr>
              <w:tabs>
                <w:tab w:val="clear" w:pos="2835"/>
                <w:tab w:val="clear" w:pos="5670"/>
                <w:tab w:val="clear" w:pos="9016"/>
              </w:tabs>
              <w:spacing w:before="0" w:after="0" w:line="240" w:lineRule="auto"/>
              <w:rPr>
                <w:rFonts w:eastAsia="Calibri" w:cs="Arial"/>
                <w:noProof w:val="0"/>
                <w:color w:val="000000"/>
                <w:sz w:val="18"/>
                <w:szCs w:val="18"/>
                <w:lang w:eastAsia="en-US"/>
              </w:rPr>
            </w:pPr>
            <w:r w:rsidRPr="00D326D4">
              <w:rPr>
                <w:rFonts w:eastAsia="Calibri" w:cs="Arial"/>
                <w:noProof w:val="0"/>
                <w:color w:val="000000"/>
                <w:sz w:val="18"/>
                <w:szCs w:val="18"/>
                <w:lang w:eastAsia="en-US"/>
              </w:rPr>
              <w:t xml:space="preserve">Number of </w:t>
            </w:r>
            <w:r w:rsidR="00701823" w:rsidRPr="00D326D4">
              <w:rPr>
                <w:rFonts w:eastAsia="Calibri" w:cs="Arial"/>
                <w:noProof w:val="0"/>
                <w:color w:val="000000"/>
                <w:sz w:val="18"/>
                <w:szCs w:val="18"/>
                <w:lang w:eastAsia="en-US"/>
              </w:rPr>
              <w:t>f</w:t>
            </w:r>
            <w:r w:rsidR="000E7A75" w:rsidRPr="00D326D4">
              <w:rPr>
                <w:rFonts w:eastAsia="Calibri" w:cs="Arial"/>
                <w:noProof w:val="0"/>
                <w:color w:val="000000"/>
                <w:sz w:val="18"/>
                <w:szCs w:val="18"/>
                <w:lang w:eastAsia="en-US"/>
              </w:rPr>
              <w:t>ace-to-face</w:t>
            </w:r>
            <w:r w:rsidRPr="00D326D4">
              <w:rPr>
                <w:rFonts w:eastAsia="Calibri" w:cs="Arial"/>
                <w:noProof w:val="0"/>
                <w:color w:val="000000"/>
                <w:sz w:val="18"/>
                <w:szCs w:val="18"/>
                <w:lang w:eastAsia="en-US"/>
              </w:rPr>
              <w:t xml:space="preserve"> contacts</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1D2B0801" w14:textId="77777777" w:rsidR="00091DDE" w:rsidRPr="00D326D4" w:rsidRDefault="00091DDE" w:rsidP="00DD4B58">
            <w:pPr>
              <w:tabs>
                <w:tab w:val="clear" w:pos="2835"/>
                <w:tab w:val="clear" w:pos="5670"/>
                <w:tab w:val="clear" w:pos="9016"/>
              </w:tabs>
              <w:spacing w:before="0" w:after="0" w:line="240" w:lineRule="auto"/>
              <w:rPr>
                <w:rFonts w:eastAsia="Calibri" w:cs="Arial"/>
                <w:noProof w:val="0"/>
                <w:color w:val="000000"/>
                <w:sz w:val="18"/>
                <w:szCs w:val="18"/>
                <w:lang w:eastAsia="en-US"/>
              </w:rPr>
            </w:pPr>
            <w:r w:rsidRPr="00D326D4">
              <w:rPr>
                <w:rFonts w:eastAsia="Calibri" w:cs="Arial"/>
                <w:noProof w:val="0"/>
                <w:color w:val="000000"/>
                <w:sz w:val="18"/>
                <w:szCs w:val="18"/>
                <w:lang w:eastAsia="en-US"/>
              </w:rPr>
              <w:t>58,464</w:t>
            </w:r>
          </w:p>
        </w:tc>
        <w:tc>
          <w:tcPr>
            <w:tcW w:w="1324" w:type="dxa"/>
            <w:tcBorders>
              <w:top w:val="nil"/>
              <w:left w:val="nil"/>
              <w:bottom w:val="single" w:sz="8" w:space="0" w:color="auto"/>
              <w:right w:val="single" w:sz="8" w:space="0" w:color="auto"/>
            </w:tcBorders>
            <w:tcMar>
              <w:top w:w="0" w:type="dxa"/>
              <w:left w:w="108" w:type="dxa"/>
              <w:bottom w:w="0" w:type="dxa"/>
              <w:right w:w="108" w:type="dxa"/>
            </w:tcMar>
            <w:hideMark/>
          </w:tcPr>
          <w:p w14:paraId="16DED77F" w14:textId="77777777" w:rsidR="00091DDE" w:rsidRPr="00D326D4" w:rsidRDefault="00091DDE" w:rsidP="00DD4B58">
            <w:pPr>
              <w:tabs>
                <w:tab w:val="clear" w:pos="2835"/>
                <w:tab w:val="clear" w:pos="5670"/>
                <w:tab w:val="clear" w:pos="9016"/>
              </w:tabs>
              <w:spacing w:before="0" w:after="0" w:line="240" w:lineRule="auto"/>
              <w:rPr>
                <w:rFonts w:eastAsia="Calibri" w:cs="Arial"/>
                <w:noProof w:val="0"/>
                <w:sz w:val="18"/>
                <w:szCs w:val="18"/>
                <w:lang w:eastAsia="en-US"/>
              </w:rPr>
            </w:pPr>
            <w:r w:rsidRPr="00D326D4">
              <w:rPr>
                <w:rFonts w:eastAsia="Calibri" w:cs="Arial"/>
                <w:noProof w:val="0"/>
                <w:sz w:val="18"/>
                <w:szCs w:val="18"/>
                <w:lang w:eastAsia="en-US"/>
              </w:rPr>
              <w:t>59,350</w:t>
            </w:r>
          </w:p>
        </w:tc>
        <w:tc>
          <w:tcPr>
            <w:tcW w:w="1618" w:type="dxa"/>
            <w:tcBorders>
              <w:top w:val="nil"/>
              <w:left w:val="nil"/>
              <w:bottom w:val="single" w:sz="8" w:space="0" w:color="auto"/>
              <w:right w:val="single" w:sz="8" w:space="0" w:color="auto"/>
            </w:tcBorders>
            <w:tcMar>
              <w:top w:w="0" w:type="dxa"/>
              <w:left w:w="108" w:type="dxa"/>
              <w:bottom w:w="0" w:type="dxa"/>
              <w:right w:w="108" w:type="dxa"/>
            </w:tcMar>
            <w:hideMark/>
          </w:tcPr>
          <w:p w14:paraId="7DFDE166" w14:textId="77777777" w:rsidR="00091DDE" w:rsidRPr="00D326D4" w:rsidRDefault="00091DDE" w:rsidP="00DD4B58">
            <w:pPr>
              <w:tabs>
                <w:tab w:val="clear" w:pos="2835"/>
                <w:tab w:val="clear" w:pos="5670"/>
                <w:tab w:val="clear" w:pos="9016"/>
              </w:tabs>
              <w:spacing w:before="0" w:after="0" w:line="240" w:lineRule="auto"/>
              <w:rPr>
                <w:rFonts w:eastAsia="Calibri" w:cs="Arial"/>
                <w:noProof w:val="0"/>
                <w:sz w:val="18"/>
                <w:szCs w:val="18"/>
                <w:lang w:eastAsia="en-US"/>
              </w:rPr>
            </w:pPr>
            <w:r w:rsidRPr="00D326D4">
              <w:rPr>
                <w:rFonts w:eastAsia="Calibri" w:cs="Arial"/>
                <w:noProof w:val="0"/>
                <w:sz w:val="18"/>
                <w:szCs w:val="18"/>
                <w:lang w:eastAsia="en-US"/>
              </w:rPr>
              <w:t>30,021</w:t>
            </w:r>
          </w:p>
        </w:tc>
        <w:tc>
          <w:tcPr>
            <w:tcW w:w="1843" w:type="dxa"/>
            <w:tcBorders>
              <w:top w:val="nil"/>
              <w:left w:val="nil"/>
              <w:bottom w:val="single" w:sz="8" w:space="0" w:color="auto"/>
              <w:right w:val="single" w:sz="8" w:space="0" w:color="auto"/>
            </w:tcBorders>
            <w:hideMark/>
          </w:tcPr>
          <w:p w14:paraId="0FBD0416" w14:textId="77777777" w:rsidR="00091DDE" w:rsidRPr="00D326D4" w:rsidRDefault="00091DDE" w:rsidP="00DD4B58">
            <w:pPr>
              <w:tabs>
                <w:tab w:val="clear" w:pos="2835"/>
                <w:tab w:val="clear" w:pos="5670"/>
                <w:tab w:val="clear" w:pos="9016"/>
              </w:tabs>
              <w:spacing w:before="0" w:after="0" w:line="240" w:lineRule="auto"/>
              <w:jc w:val="both"/>
              <w:rPr>
                <w:rFonts w:eastAsia="Calibri" w:cs="Arial"/>
                <w:b/>
                <w:bCs/>
                <w:noProof w:val="0"/>
                <w:sz w:val="18"/>
                <w:szCs w:val="18"/>
                <w:lang w:eastAsia="en-US"/>
              </w:rPr>
            </w:pPr>
            <w:r w:rsidRPr="00D326D4">
              <w:rPr>
                <w:rFonts w:eastAsia="Calibri" w:cs="Arial"/>
                <w:b/>
                <w:bCs/>
                <w:noProof w:val="0"/>
                <w:sz w:val="18"/>
                <w:szCs w:val="18"/>
                <w:lang w:eastAsia="en-US"/>
              </w:rPr>
              <w:t>43,726</w:t>
            </w:r>
          </w:p>
        </w:tc>
      </w:tr>
    </w:tbl>
    <w:p w14:paraId="0F0FA8CB" w14:textId="3097048B" w:rsidR="00091DDE" w:rsidRPr="00D326D4" w:rsidRDefault="00091DDE" w:rsidP="00D1008B">
      <w:pPr>
        <w:rPr>
          <w:rFonts w:cs="Arial"/>
          <w:bCs/>
        </w:rPr>
      </w:pPr>
      <w:r w:rsidRPr="00D326D4">
        <w:rPr>
          <w:rFonts w:cs="Arial"/>
          <w:bCs/>
        </w:rPr>
        <w:t>Performance against the four hour A&amp;E standard (</w:t>
      </w:r>
      <w:r w:rsidR="00701823" w:rsidRPr="00D326D4">
        <w:rPr>
          <w:rFonts w:cs="Arial"/>
          <w:bCs/>
        </w:rPr>
        <w:t>f</w:t>
      </w:r>
      <w:r w:rsidRPr="00D326D4">
        <w:rPr>
          <w:rFonts w:cs="Arial"/>
          <w:bCs/>
        </w:rPr>
        <w:t>our hours from booking into A&amp;E to being admitted, discharged or transferred to another facility) has continued to prove challenging during 2021</w:t>
      </w:r>
      <w:r w:rsidR="00D849A9" w:rsidRPr="00D326D4">
        <w:rPr>
          <w:rFonts w:cs="Arial"/>
          <w:bCs/>
        </w:rPr>
        <w:t>-</w:t>
      </w:r>
      <w:r w:rsidRPr="00D326D4">
        <w:rPr>
          <w:rFonts w:cs="Arial"/>
          <w:bCs/>
        </w:rPr>
        <w:t xml:space="preserve">22 due to </w:t>
      </w:r>
      <w:r w:rsidR="00D849A9" w:rsidRPr="00D326D4">
        <w:rPr>
          <w:rFonts w:cs="Arial"/>
          <w:bCs/>
        </w:rPr>
        <w:t xml:space="preserve">patient discharge </w:t>
      </w:r>
      <w:r w:rsidRPr="00D326D4">
        <w:rPr>
          <w:rFonts w:cs="Arial"/>
          <w:bCs/>
        </w:rPr>
        <w:t>flow</w:t>
      </w:r>
      <w:r w:rsidR="00701823" w:rsidRPr="00D326D4">
        <w:rPr>
          <w:rFonts w:cs="Arial"/>
          <w:bCs/>
        </w:rPr>
        <w:t>s</w:t>
      </w:r>
      <w:r w:rsidRPr="00D326D4">
        <w:rPr>
          <w:rFonts w:cs="Arial"/>
          <w:bCs/>
        </w:rPr>
        <w:t xml:space="preserve"> and COVID admi</w:t>
      </w:r>
      <w:r w:rsidR="00D849A9" w:rsidRPr="00D326D4">
        <w:rPr>
          <w:rFonts w:cs="Arial"/>
          <w:bCs/>
        </w:rPr>
        <w:t>ssion</w:t>
      </w:r>
      <w:r w:rsidR="00701823" w:rsidRPr="00D326D4">
        <w:rPr>
          <w:rFonts w:cs="Arial"/>
          <w:bCs/>
        </w:rPr>
        <w:t>s</w:t>
      </w:r>
      <w:r w:rsidRPr="00D326D4">
        <w:rPr>
          <w:rFonts w:cs="Arial"/>
          <w:bCs/>
        </w:rPr>
        <w:t xml:space="preserve">. </w:t>
      </w:r>
    </w:p>
    <w:p w14:paraId="27DC5E28" w14:textId="3924C7CB" w:rsidR="001813F3" w:rsidRPr="00D326D4" w:rsidRDefault="00091DDE" w:rsidP="00D1008B">
      <w:pPr>
        <w:rPr>
          <w:rFonts w:cs="Arial"/>
        </w:rPr>
      </w:pPr>
      <w:r w:rsidRPr="00D326D4">
        <w:rPr>
          <w:rFonts w:cs="Arial"/>
        </w:rPr>
        <w:t xml:space="preserve">We continue to liaise regularly and support Hull University Teaching Hospital NHS Trust, City Health Care Partnership, Humber Teaching Foundation Trust, Yorkshire Ambulance Service and Hull City Council to specifically oversee/manage system challenges across Hull. </w:t>
      </w:r>
    </w:p>
    <w:p w14:paraId="2AB32D30" w14:textId="0C9AE801" w:rsidR="001813F3" w:rsidRPr="00D326D4" w:rsidRDefault="001813F3" w:rsidP="001813F3">
      <w:pPr>
        <w:pStyle w:val="NoSpacing"/>
        <w:rPr>
          <w:rFonts w:cs="Arial"/>
          <w:bCs/>
        </w:rPr>
      </w:pPr>
      <w:bookmarkStart w:id="22" w:name="_Toc103695020"/>
      <w:r w:rsidRPr="00D326D4">
        <w:rPr>
          <w:rStyle w:val="Heading3Char"/>
          <w:b/>
          <w:bCs w:val="0"/>
        </w:rPr>
        <w:t>Planned Care</w:t>
      </w:r>
      <w:bookmarkEnd w:id="22"/>
      <w:r w:rsidRPr="00D326D4">
        <w:rPr>
          <w:rFonts w:cs="Arial"/>
          <w:bCs/>
          <w:color w:val="4F81BD"/>
        </w:rPr>
        <w:t xml:space="preserve"> </w:t>
      </w:r>
      <w:r w:rsidR="007D46F0" w:rsidRPr="00D326D4">
        <w:rPr>
          <w:rFonts w:cs="Arial"/>
          <w:bCs/>
          <w:color w:val="4F81BD"/>
        </w:rPr>
        <w:t>2021-22</w:t>
      </w:r>
    </w:p>
    <w:p w14:paraId="36D9627B" w14:textId="39EC431D" w:rsidR="001813F3" w:rsidRPr="00D326D4" w:rsidRDefault="00B12394" w:rsidP="001813F3">
      <w:r w:rsidRPr="00D326D4">
        <w:t>The development and commissioning of</w:t>
      </w:r>
      <w:r w:rsidR="001813F3" w:rsidRPr="00D326D4">
        <w:t xml:space="preserve"> </w:t>
      </w:r>
      <w:r w:rsidR="003C4BE6" w:rsidRPr="00D326D4">
        <w:t xml:space="preserve">planned care </w:t>
      </w:r>
      <w:r w:rsidR="001813F3" w:rsidRPr="00D326D4">
        <w:t>pathways has continued to evolve</w:t>
      </w:r>
      <w:r w:rsidRPr="00D326D4">
        <w:t>,</w:t>
      </w:r>
      <w:r w:rsidR="001813F3" w:rsidRPr="00D326D4">
        <w:t xml:space="preserve"> and we have continued to proactively work with partners at a local, Humber</w:t>
      </w:r>
      <w:r w:rsidRPr="00D326D4">
        <w:t>,</w:t>
      </w:r>
      <w:r w:rsidR="001813F3" w:rsidRPr="00D326D4">
        <w:t xml:space="preserve"> and Humber, Coast and Vale Integrated Care System (ICS) level to promote </w:t>
      </w:r>
      <w:r w:rsidRPr="00D326D4">
        <w:t>the best possible</w:t>
      </w:r>
      <w:r w:rsidR="001813F3" w:rsidRPr="00D326D4">
        <w:t xml:space="preserve"> outcomes for local patients.</w:t>
      </w:r>
    </w:p>
    <w:p w14:paraId="4CA3CC91" w14:textId="53A62EF5" w:rsidR="001813F3" w:rsidRPr="00D326D4" w:rsidRDefault="001813F3" w:rsidP="001813F3">
      <w:r w:rsidRPr="00D326D4">
        <w:t>The COVID</w:t>
      </w:r>
      <w:r w:rsidR="00B12394" w:rsidRPr="00D326D4">
        <w:t>-19</w:t>
      </w:r>
      <w:r w:rsidRPr="00D326D4">
        <w:t xml:space="preserve"> </w:t>
      </w:r>
      <w:r w:rsidR="00B12394" w:rsidRPr="00D326D4">
        <w:t>p</w:t>
      </w:r>
      <w:r w:rsidRPr="00D326D4">
        <w:t xml:space="preserve">andemic initially put a </w:t>
      </w:r>
      <w:r w:rsidR="006D763E" w:rsidRPr="00D326D4">
        <w:t>pause</w:t>
      </w:r>
      <w:r w:rsidRPr="00D326D4">
        <w:t xml:space="preserve"> on planned </w:t>
      </w:r>
      <w:r w:rsidR="003C4BE6" w:rsidRPr="00D326D4">
        <w:t>health</w:t>
      </w:r>
      <w:r w:rsidRPr="00D326D4">
        <w:t>care</w:t>
      </w:r>
      <w:r w:rsidR="003C4BE6" w:rsidRPr="00D326D4">
        <w:t xml:space="preserve"> activity</w:t>
      </w:r>
      <w:r w:rsidRPr="00D326D4">
        <w:t xml:space="preserve">, </w:t>
      </w:r>
      <w:r w:rsidR="00015083" w:rsidRPr="00D326D4">
        <w:t>although</w:t>
      </w:r>
      <w:r w:rsidR="003C4BE6" w:rsidRPr="00D326D4">
        <w:t xml:space="preserve">, in following months, it served to </w:t>
      </w:r>
      <w:r w:rsidRPr="00D326D4">
        <w:t xml:space="preserve">stimulate </w:t>
      </w:r>
      <w:r w:rsidR="00015083" w:rsidRPr="00D326D4">
        <w:t xml:space="preserve">the </w:t>
      </w:r>
      <w:r w:rsidRPr="00D326D4">
        <w:t xml:space="preserve">rapid change </w:t>
      </w:r>
      <w:r w:rsidR="00015083" w:rsidRPr="00D326D4">
        <w:t xml:space="preserve">needed </w:t>
      </w:r>
      <w:r w:rsidRPr="00D326D4">
        <w:t xml:space="preserve">to develop and commission safe, effective pathways that recognise </w:t>
      </w:r>
      <w:r w:rsidR="00015083" w:rsidRPr="00D326D4">
        <w:t xml:space="preserve">and balance </w:t>
      </w:r>
      <w:r w:rsidRPr="00D326D4">
        <w:t xml:space="preserve">infection control </w:t>
      </w:r>
      <w:r w:rsidR="003C4BE6" w:rsidRPr="00D326D4">
        <w:t>with the</w:t>
      </w:r>
      <w:r w:rsidRPr="00D326D4">
        <w:t xml:space="preserve"> adoption of </w:t>
      </w:r>
      <w:r w:rsidR="003C4BE6" w:rsidRPr="00D326D4">
        <w:t xml:space="preserve">new </w:t>
      </w:r>
      <w:r w:rsidRPr="00D326D4">
        <w:t xml:space="preserve">clinical prioritisation processes </w:t>
      </w:r>
      <w:r w:rsidR="0046067C" w:rsidRPr="00D326D4">
        <w:t>for</w:t>
      </w:r>
      <w:r w:rsidRPr="00D326D4">
        <w:t xml:space="preserve"> those at highest clinical risk. </w:t>
      </w:r>
      <w:r w:rsidR="00015083" w:rsidRPr="00D326D4">
        <w:t>Regardless of</w:t>
      </w:r>
      <w:r w:rsidRPr="00D326D4">
        <w:t xml:space="preserve"> </w:t>
      </w:r>
      <w:r w:rsidR="00015083" w:rsidRPr="00D326D4">
        <w:t>this focused work,</w:t>
      </w:r>
      <w:r w:rsidRPr="00D326D4">
        <w:t xml:space="preserve"> the level of planned care activity remains </w:t>
      </w:r>
      <w:r w:rsidR="00015083" w:rsidRPr="00D326D4">
        <w:t>lower</w:t>
      </w:r>
      <w:r w:rsidRPr="00D326D4">
        <w:t xml:space="preserve"> than pre-pandemic </w:t>
      </w:r>
      <w:r w:rsidR="00015083" w:rsidRPr="00D326D4">
        <w:t xml:space="preserve">levels </w:t>
      </w:r>
      <w:r w:rsidRPr="00D326D4">
        <w:t>as we continue to work within th</w:t>
      </w:r>
      <w:r w:rsidR="00924315" w:rsidRPr="00D326D4">
        <w:t>is</w:t>
      </w:r>
      <w:r w:rsidRPr="00D326D4">
        <w:t xml:space="preserve"> framework.</w:t>
      </w:r>
    </w:p>
    <w:p w14:paraId="42EBC63F" w14:textId="77777777" w:rsidR="001813F3" w:rsidRPr="00D326D4" w:rsidRDefault="001813F3" w:rsidP="001813F3">
      <w:pPr>
        <w:spacing w:after="0"/>
        <w:rPr>
          <w:b/>
          <w:bCs/>
          <w:i/>
          <w:iCs/>
        </w:rPr>
      </w:pPr>
      <w:r w:rsidRPr="00D326D4">
        <w:rPr>
          <w:b/>
          <w:bCs/>
          <w:i/>
          <w:iCs/>
        </w:rPr>
        <w:lastRenderedPageBreak/>
        <w:t>Pathway redesign</w:t>
      </w:r>
    </w:p>
    <w:p w14:paraId="6A21241E" w14:textId="2B2F1DF3" w:rsidR="001813F3" w:rsidRPr="00D326D4" w:rsidRDefault="001813F3" w:rsidP="001813F3">
      <w:r w:rsidRPr="00D326D4">
        <w:t xml:space="preserve">There has been increased focus across the ICS on </w:t>
      </w:r>
      <w:r w:rsidR="00924315" w:rsidRPr="00D326D4">
        <w:t xml:space="preserve">care </w:t>
      </w:r>
      <w:r w:rsidRPr="00D326D4">
        <w:t xml:space="preserve">pathways around respiratory diseases, to ensure that </w:t>
      </w:r>
      <w:r w:rsidR="00924315" w:rsidRPr="00D326D4">
        <w:t>adults, children and young people</w:t>
      </w:r>
      <w:r w:rsidRPr="00D326D4">
        <w:t xml:space="preserve"> have proactively develop</w:t>
      </w:r>
      <w:r w:rsidR="00924315" w:rsidRPr="00D326D4">
        <w:t>ed</w:t>
      </w:r>
      <w:r w:rsidRPr="00D326D4">
        <w:t xml:space="preserve"> care plans </w:t>
      </w:r>
      <w:r w:rsidR="00924315" w:rsidRPr="00D326D4">
        <w:t>should their</w:t>
      </w:r>
      <w:r w:rsidRPr="00D326D4">
        <w:t xml:space="preserve"> clin</w:t>
      </w:r>
      <w:r w:rsidR="0069334E" w:rsidRPr="00D326D4">
        <w:t>i</w:t>
      </w:r>
      <w:r w:rsidRPr="00D326D4">
        <w:t>cal condition start to deteriorate. In addition, joint work was progressed to support the introduction of telemedicine to minimise face to face contacts unless clinically indicated</w:t>
      </w:r>
      <w:r w:rsidR="004A4DE3" w:rsidRPr="00D326D4">
        <w:t>. In addition,</w:t>
      </w:r>
      <w:r w:rsidRPr="00D326D4">
        <w:t xml:space="preserve"> the development of </w:t>
      </w:r>
      <w:r w:rsidR="004A4DE3" w:rsidRPr="00D326D4">
        <w:t>‘</w:t>
      </w:r>
      <w:r w:rsidRPr="00D326D4">
        <w:t>patient</w:t>
      </w:r>
      <w:r w:rsidR="004A4DE3" w:rsidRPr="00D326D4">
        <w:t>-</w:t>
      </w:r>
      <w:r w:rsidRPr="00D326D4">
        <w:t>initiated</w:t>
      </w:r>
      <w:r w:rsidR="004A4DE3" w:rsidRPr="00D326D4">
        <w:t>’</w:t>
      </w:r>
      <w:r w:rsidRPr="00D326D4">
        <w:t xml:space="preserve"> follow up </w:t>
      </w:r>
      <w:r w:rsidR="004A4DE3" w:rsidRPr="00D326D4">
        <w:t>has been progressed where patients</w:t>
      </w:r>
      <w:r w:rsidRPr="00D326D4">
        <w:t xml:space="preserve"> are empowered to seek follow-up care/support when they need it</w:t>
      </w:r>
      <w:r w:rsidR="004A4DE3" w:rsidRPr="00D326D4">
        <w:t>,</w:t>
      </w:r>
      <w:r w:rsidRPr="00D326D4">
        <w:t xml:space="preserve"> rather than the previous model of routine follow-up appointments </w:t>
      </w:r>
      <w:r w:rsidR="004A4DE3" w:rsidRPr="00D326D4">
        <w:t>whether the patient</w:t>
      </w:r>
      <w:r w:rsidRPr="00D326D4">
        <w:t xml:space="preserve"> felt they needed it or not.</w:t>
      </w:r>
    </w:p>
    <w:p w14:paraId="14738CCF" w14:textId="499CCEEA" w:rsidR="001813F3" w:rsidRPr="00D326D4" w:rsidRDefault="003773B5" w:rsidP="001813F3">
      <w:r w:rsidRPr="00D326D4">
        <w:t>At</w:t>
      </w:r>
      <w:r w:rsidR="001813F3" w:rsidRPr="00D326D4">
        <w:t xml:space="preserve"> a local Hull and East Riding of Yorkshire level a dynamic, virtual pathway redesign group </w:t>
      </w:r>
      <w:r w:rsidRPr="00D326D4">
        <w:t xml:space="preserve">has been </w:t>
      </w:r>
      <w:r w:rsidR="001813F3" w:rsidRPr="00D326D4">
        <w:t xml:space="preserve">initiated to respond </w:t>
      </w:r>
      <w:r w:rsidRPr="00D326D4">
        <w:t>swiftly</w:t>
      </w:r>
      <w:r w:rsidR="001813F3" w:rsidRPr="00D326D4">
        <w:t xml:space="preserve"> to national guidance </w:t>
      </w:r>
      <w:r w:rsidRPr="00D326D4">
        <w:t>around</w:t>
      </w:r>
      <w:r w:rsidR="001813F3" w:rsidRPr="00D326D4">
        <w:t xml:space="preserve"> clinical prioritisation and the recommencement of clinically safe services for both patients and staff. This group has continued to meet regularly to ensure pathways </w:t>
      </w:r>
      <w:r w:rsidRPr="00D326D4">
        <w:t>a</w:t>
      </w:r>
      <w:r w:rsidR="001813F3" w:rsidRPr="00D326D4">
        <w:t xml:space="preserve">re reviewed, adapted, approved and introduced over a much shorter timescale to adapt to changing </w:t>
      </w:r>
      <w:r w:rsidRPr="00D326D4">
        <w:t xml:space="preserve">working </w:t>
      </w:r>
      <w:r w:rsidR="001813F3" w:rsidRPr="00D326D4">
        <w:t>parameters.</w:t>
      </w:r>
    </w:p>
    <w:p w14:paraId="2FEDA8FB" w14:textId="77777777" w:rsidR="001813F3" w:rsidRPr="00D326D4" w:rsidRDefault="001813F3" w:rsidP="001813F3">
      <w:pPr>
        <w:spacing w:after="0" w:line="240" w:lineRule="auto"/>
        <w:rPr>
          <w:rFonts w:cstheme="minorHAnsi"/>
          <w:b/>
          <w:i/>
        </w:rPr>
      </w:pPr>
      <w:r w:rsidRPr="00D326D4">
        <w:rPr>
          <w:rFonts w:cstheme="minorHAnsi"/>
          <w:b/>
          <w:i/>
        </w:rPr>
        <w:t>Alignment of our commissioning policies with those of our partner commissioners</w:t>
      </w:r>
    </w:p>
    <w:p w14:paraId="4B787F79" w14:textId="1FBAC678" w:rsidR="001813F3" w:rsidRPr="00D326D4" w:rsidRDefault="001813F3" w:rsidP="001813F3">
      <w:pPr>
        <w:spacing w:after="0"/>
        <w:rPr>
          <w:rFonts w:eastAsiaTheme="minorHAnsi" w:cs="Arial"/>
          <w:noProof w:val="0"/>
          <w:lang w:eastAsia="en-US"/>
        </w:rPr>
      </w:pPr>
      <w:r w:rsidRPr="00D326D4">
        <w:rPr>
          <w:rFonts w:cstheme="minorHAnsi"/>
          <w:bCs/>
          <w:iCs/>
        </w:rPr>
        <w:t xml:space="preserve">Work has continued through the year along </w:t>
      </w:r>
      <w:r w:rsidRPr="00D326D4">
        <w:rPr>
          <w:rFonts w:cs="Arial"/>
        </w:rPr>
        <w:t>with our partner CCGs</w:t>
      </w:r>
      <w:r w:rsidR="003773B5" w:rsidRPr="00D326D4">
        <w:rPr>
          <w:rFonts w:cs="Arial"/>
        </w:rPr>
        <w:t xml:space="preserve"> in </w:t>
      </w:r>
      <w:r w:rsidRPr="00D326D4">
        <w:rPr>
          <w:rFonts w:cs="Arial"/>
        </w:rPr>
        <w:t xml:space="preserve">North Lincolnshire, North East Lincolnshire and East Riding of Yorkshire and clinicians to develop </w:t>
      </w:r>
      <w:r w:rsidR="003773B5" w:rsidRPr="00D326D4">
        <w:rPr>
          <w:rFonts w:cs="Arial"/>
        </w:rPr>
        <w:t>a</w:t>
      </w:r>
      <w:r w:rsidRPr="00D326D4">
        <w:rPr>
          <w:rFonts w:cs="Arial"/>
        </w:rPr>
        <w:t xml:space="preserve"> consistent approach to how we review and apply NICE Guidance, National Evidence Based Interventions Guidance and other national documents that set out clinical best practice.</w:t>
      </w:r>
    </w:p>
    <w:p w14:paraId="68BF1A13" w14:textId="77777777" w:rsidR="001813F3" w:rsidRPr="00D326D4" w:rsidRDefault="001813F3" w:rsidP="001813F3">
      <w:pPr>
        <w:spacing w:after="0"/>
        <w:rPr>
          <w:rFonts w:cs="Arial"/>
          <w:b/>
          <w:bCs/>
          <w:i/>
          <w:iCs/>
        </w:rPr>
      </w:pPr>
      <w:r w:rsidRPr="00D326D4">
        <w:rPr>
          <w:rFonts w:cs="Arial"/>
          <w:b/>
          <w:bCs/>
          <w:i/>
          <w:iCs/>
        </w:rPr>
        <w:t>Waiting Lists</w:t>
      </w:r>
    </w:p>
    <w:p w14:paraId="065831EF" w14:textId="5BEA6DF3" w:rsidR="001813F3" w:rsidRPr="00D326D4" w:rsidRDefault="001813F3" w:rsidP="001813F3">
      <w:pPr>
        <w:spacing w:after="0"/>
        <w:rPr>
          <w:rFonts w:cs="Arial"/>
        </w:rPr>
      </w:pPr>
      <w:r w:rsidRPr="00D326D4">
        <w:rPr>
          <w:rFonts w:cs="Arial"/>
        </w:rPr>
        <w:t>Regrettably the impact of the COVID-19 has led to an increase in waiting lists</w:t>
      </w:r>
      <w:r w:rsidR="003773B5" w:rsidRPr="00D326D4">
        <w:rPr>
          <w:rFonts w:cs="Arial"/>
        </w:rPr>
        <w:t>,</w:t>
      </w:r>
      <w:r w:rsidRPr="00D326D4">
        <w:rPr>
          <w:rFonts w:cs="Arial"/>
        </w:rPr>
        <w:t xml:space="preserve"> as services </w:t>
      </w:r>
      <w:r w:rsidR="00950D5D" w:rsidRPr="00D326D4">
        <w:rPr>
          <w:rFonts w:cs="Arial"/>
        </w:rPr>
        <w:t>were</w:t>
      </w:r>
      <w:r w:rsidRPr="00D326D4">
        <w:rPr>
          <w:rFonts w:cs="Arial"/>
        </w:rPr>
        <w:t xml:space="preserve"> suspended whilst work focused upon the pandemic. </w:t>
      </w:r>
      <w:r w:rsidR="00950D5D" w:rsidRPr="00D326D4">
        <w:rPr>
          <w:rFonts w:cs="Arial"/>
        </w:rPr>
        <w:t>People on</w:t>
      </w:r>
      <w:r w:rsidRPr="00D326D4">
        <w:rPr>
          <w:rFonts w:cs="Arial"/>
        </w:rPr>
        <w:t xml:space="preserve"> waiting lists have continued to be contacted by their service provider and assessed </w:t>
      </w:r>
      <w:r w:rsidR="00950D5D" w:rsidRPr="00D326D4">
        <w:rPr>
          <w:rFonts w:cs="Arial"/>
        </w:rPr>
        <w:t>on</w:t>
      </w:r>
      <w:r w:rsidRPr="00D326D4">
        <w:rPr>
          <w:rFonts w:cs="Arial"/>
        </w:rPr>
        <w:t xml:space="preserve"> their current condition. Plans are continual</w:t>
      </w:r>
      <w:r w:rsidR="00950D5D" w:rsidRPr="00D326D4">
        <w:rPr>
          <w:rFonts w:cs="Arial"/>
        </w:rPr>
        <w:t>l</w:t>
      </w:r>
      <w:r w:rsidRPr="00D326D4">
        <w:rPr>
          <w:rFonts w:cs="Arial"/>
        </w:rPr>
        <w:t xml:space="preserve">y reviewed to maximise the use of available theatre slots </w:t>
      </w:r>
      <w:r w:rsidR="00950D5D" w:rsidRPr="00D326D4">
        <w:rPr>
          <w:rFonts w:cs="Arial"/>
        </w:rPr>
        <w:t>and</w:t>
      </w:r>
      <w:r w:rsidRPr="00D326D4">
        <w:rPr>
          <w:rFonts w:cs="Arial"/>
        </w:rPr>
        <w:t xml:space="preserve"> increase the number of surgeries</w:t>
      </w:r>
      <w:r w:rsidR="00950D5D" w:rsidRPr="00D326D4">
        <w:rPr>
          <w:rFonts w:cs="Arial"/>
        </w:rPr>
        <w:t>,</w:t>
      </w:r>
      <w:r w:rsidRPr="00D326D4">
        <w:rPr>
          <w:rFonts w:cs="Arial"/>
        </w:rPr>
        <w:t xml:space="preserve"> and to more effectively use the independent sector to support the NHS. </w:t>
      </w:r>
    </w:p>
    <w:p w14:paraId="24EBFE74" w14:textId="32324F85" w:rsidR="008D695B" w:rsidRPr="00D326D4" w:rsidRDefault="00F70C4E" w:rsidP="00B71FAD">
      <w:pPr>
        <w:rPr>
          <w:b/>
          <w:bCs/>
          <w:i/>
          <w:iCs/>
        </w:rPr>
      </w:pPr>
      <w:r w:rsidRPr="00D326D4">
        <w:rPr>
          <w:b/>
          <w:bCs/>
          <w:i/>
          <w:iCs/>
        </w:rPr>
        <w:t xml:space="preserve">Humber </w:t>
      </w:r>
      <w:r w:rsidR="008D695B" w:rsidRPr="00D326D4">
        <w:rPr>
          <w:b/>
          <w:bCs/>
          <w:i/>
          <w:iCs/>
        </w:rPr>
        <w:t>Long C</w:t>
      </w:r>
      <w:r w:rsidRPr="00D326D4">
        <w:rPr>
          <w:b/>
          <w:bCs/>
          <w:i/>
          <w:iCs/>
        </w:rPr>
        <w:t>OVID</w:t>
      </w:r>
      <w:r w:rsidR="008D695B" w:rsidRPr="00D326D4">
        <w:rPr>
          <w:b/>
          <w:bCs/>
          <w:i/>
          <w:iCs/>
        </w:rPr>
        <w:t xml:space="preserve"> pathway</w:t>
      </w:r>
    </w:p>
    <w:p w14:paraId="11FFAE95" w14:textId="6D865C0A" w:rsidR="00F70C4E" w:rsidRPr="00D326D4" w:rsidRDefault="00F70C4E" w:rsidP="00F70C4E">
      <w:pPr>
        <w:shd w:val="clear" w:color="auto" w:fill="FFFFFF"/>
        <w:spacing w:after="300"/>
        <w:textAlignment w:val="baseline"/>
        <w:rPr>
          <w:rFonts w:eastAsia="Times New Roman" w:cs="Arial"/>
        </w:rPr>
      </w:pPr>
      <w:r w:rsidRPr="00D326D4">
        <w:rPr>
          <w:rFonts w:eastAsia="Times New Roman" w:cs="Arial"/>
        </w:rPr>
        <w:t>Most patients with ongoing symptoms following COVID-19 will come under the care of their GPs, where self-management will be encouraged and supported while other causes of the symptoms are explored, and ruled out first, for up to 12 weeks.</w:t>
      </w:r>
    </w:p>
    <w:p w14:paraId="5685EC82" w14:textId="273B6EEA" w:rsidR="00F70C4E" w:rsidRPr="00D326D4" w:rsidRDefault="00F70C4E" w:rsidP="00F70C4E">
      <w:pPr>
        <w:shd w:val="clear" w:color="auto" w:fill="FFFFFF"/>
        <w:spacing w:after="300"/>
        <w:textAlignment w:val="baseline"/>
        <w:rPr>
          <w:rFonts w:eastAsia="Times New Roman" w:cs="Arial"/>
        </w:rPr>
      </w:pPr>
      <w:r w:rsidRPr="00D326D4">
        <w:rPr>
          <w:rFonts w:eastAsia="Times New Roman" w:cs="Arial"/>
        </w:rPr>
        <w:t>A new service launched in March 2021 for patients in Hull visiting their GP with ongoing symptoms consistent with post-COVID syndrome, where their condition has not improved after 12 or more weeks.</w:t>
      </w:r>
    </w:p>
    <w:p w14:paraId="709EF0F1" w14:textId="1C8E4E94" w:rsidR="00F70C4E" w:rsidRPr="00D326D4" w:rsidRDefault="00F70C4E" w:rsidP="00F70C4E">
      <w:pPr>
        <w:shd w:val="clear" w:color="auto" w:fill="FFFFFF"/>
        <w:spacing w:after="0"/>
        <w:textAlignment w:val="baseline"/>
        <w:rPr>
          <w:rFonts w:eastAsia="Times New Roman" w:cs="Arial"/>
        </w:rPr>
      </w:pPr>
      <w:r w:rsidRPr="00D326D4">
        <w:rPr>
          <w:rFonts w:eastAsia="Times New Roman" w:cs="Arial"/>
        </w:rPr>
        <w:t xml:space="preserve">The </w:t>
      </w:r>
      <w:r w:rsidRPr="00D326D4">
        <w:rPr>
          <w:rFonts w:eastAsia="Times New Roman" w:cs="Arial"/>
          <w:b/>
          <w:bCs/>
          <w:bdr w:val="none" w:sz="0" w:space="0" w:color="auto" w:frame="1"/>
        </w:rPr>
        <w:t>Humber Long COVID Triage and Assessment Service</w:t>
      </w:r>
      <w:r w:rsidRPr="00D326D4">
        <w:rPr>
          <w:rFonts w:eastAsia="Times New Roman" w:cs="Arial"/>
        </w:rPr>
        <w:t xml:space="preserve"> brings a range of health professionals together to ensure patients are referred onto the right clinical pathway to support their ongoing rehabilitation and recovery. GPs are able to refer patients, if appropriate, to the new service which is for people with suspected Post-COVID-19 syndrome, when symptoms have not resolved after 12 weeks.</w:t>
      </w:r>
    </w:p>
    <w:p w14:paraId="7A44B61F" w14:textId="77777777" w:rsidR="00F70C4E" w:rsidRPr="00D326D4" w:rsidRDefault="00F70C4E" w:rsidP="00F70C4E">
      <w:pPr>
        <w:shd w:val="clear" w:color="auto" w:fill="FFFFFF"/>
        <w:spacing w:before="0" w:after="0"/>
        <w:textAlignment w:val="baseline"/>
        <w:rPr>
          <w:rFonts w:eastAsia="Times New Roman" w:cs="Arial"/>
        </w:rPr>
      </w:pPr>
    </w:p>
    <w:p w14:paraId="49D8D754" w14:textId="7B1C6770" w:rsidR="00F70C4E" w:rsidRPr="00D326D4" w:rsidRDefault="00F70C4E" w:rsidP="00F70C4E">
      <w:pPr>
        <w:shd w:val="clear" w:color="auto" w:fill="FFFFFF"/>
        <w:spacing w:after="300"/>
        <w:textAlignment w:val="baseline"/>
        <w:rPr>
          <w:rFonts w:eastAsia="Times New Roman" w:cs="Arial"/>
        </w:rPr>
      </w:pPr>
      <w:r w:rsidRPr="00D326D4">
        <w:rPr>
          <w:rFonts w:eastAsia="Times New Roman" w:cs="Arial"/>
        </w:rPr>
        <w:t>The service has specialist clinical input including respiratory, geriatric, rehabilitation, mental health, therapies and others. The clinical team will review each patient’s needs and will follow up with recommendations on the most appropriate support and rehabilitation to manage ongoing care. Patients and their GPs will be informed of the recommendation. By the end of March 2022 the service had received almost 1000 referrals.</w:t>
      </w:r>
    </w:p>
    <w:p w14:paraId="12EC6587" w14:textId="3006DE48" w:rsidR="00F70C4E" w:rsidRPr="00D326D4" w:rsidRDefault="00F70C4E" w:rsidP="00F70C4E">
      <w:pPr>
        <w:shd w:val="clear" w:color="auto" w:fill="FFFFFF"/>
        <w:spacing w:after="0"/>
        <w:textAlignment w:val="baseline"/>
        <w:rPr>
          <w:rFonts w:eastAsia="Times New Roman" w:cs="Arial"/>
        </w:rPr>
      </w:pPr>
      <w:r w:rsidRPr="00D326D4">
        <w:rPr>
          <w:rFonts w:eastAsia="Times New Roman" w:cs="Arial"/>
        </w:rPr>
        <w:t xml:space="preserve">To support recovery, the </w:t>
      </w:r>
      <w:r w:rsidRPr="00D326D4">
        <w:rPr>
          <w:rFonts w:eastAsia="Times New Roman" w:cs="Arial"/>
          <w:b/>
          <w:bCs/>
          <w:bdr w:val="none" w:sz="0" w:space="0" w:color="auto" w:frame="1"/>
        </w:rPr>
        <w:t>Humber Long COVID Triage and Assessment Service</w:t>
      </w:r>
      <w:r w:rsidRPr="00D326D4">
        <w:rPr>
          <w:rFonts w:eastAsia="Times New Roman" w:cs="Arial"/>
        </w:rPr>
        <w:t xml:space="preserve"> has produced a 22-page </w:t>
      </w:r>
      <w:hyperlink r:id="rId23" w:history="1">
        <w:r w:rsidRPr="00D326D4">
          <w:rPr>
            <w:rFonts w:eastAsia="Times New Roman" w:cs="Arial"/>
            <w:b/>
            <w:bCs/>
            <w:bdr w:val="none" w:sz="0" w:space="0" w:color="auto" w:frame="1"/>
          </w:rPr>
          <w:t>Post-COVID Patient Information Pack to help recovery after Covid</w:t>
        </w:r>
      </w:hyperlink>
      <w:r w:rsidRPr="00D326D4">
        <w:rPr>
          <w:rFonts w:eastAsia="Times New Roman" w:cs="Arial"/>
          <w:color w:val="3D3D3D"/>
        </w:rPr>
        <w:t> </w:t>
      </w:r>
      <w:r w:rsidRPr="00D326D4">
        <w:rPr>
          <w:rFonts w:eastAsia="Times New Roman" w:cs="Arial"/>
        </w:rPr>
        <w:t xml:space="preserve">that contains exercises for </w:t>
      </w:r>
      <w:r w:rsidRPr="00D326D4">
        <w:rPr>
          <w:rFonts w:eastAsia="Times New Roman" w:cs="Arial"/>
        </w:rPr>
        <w:lastRenderedPageBreak/>
        <w:t xml:space="preserve">breathing, managing your cough, coping with post COVID-19 fatigue and other impacts of the virus. This can be accessed at </w:t>
      </w:r>
      <w:hyperlink r:id="rId24" w:history="1">
        <w:r w:rsidRPr="00D326D4">
          <w:rPr>
            <w:rStyle w:val="Hyperlink"/>
            <w:rFonts w:eastAsia="Times New Roman" w:cs="Arial"/>
          </w:rPr>
          <w:t>www.hullccg.nhs.uk</w:t>
        </w:r>
      </w:hyperlink>
      <w:r w:rsidRPr="00D326D4">
        <w:rPr>
          <w:rFonts w:eastAsia="Times New Roman" w:cs="Arial"/>
          <w:color w:val="3D3D3D"/>
        </w:rPr>
        <w:t xml:space="preserve"> </w:t>
      </w:r>
      <w:r w:rsidRPr="00D326D4">
        <w:rPr>
          <w:rFonts w:eastAsia="Times New Roman" w:cs="Arial"/>
        </w:rPr>
        <w:t>by searching for Long Covid or getting in touch with us via the details at the front of this report.</w:t>
      </w:r>
    </w:p>
    <w:p w14:paraId="14E352E9" w14:textId="77777777" w:rsidR="00F70C4E" w:rsidRPr="00D326D4" w:rsidRDefault="00F70C4E" w:rsidP="00F70C4E">
      <w:pPr>
        <w:shd w:val="clear" w:color="auto" w:fill="FFFFFF"/>
        <w:spacing w:after="0"/>
        <w:textAlignment w:val="baseline"/>
        <w:rPr>
          <w:rFonts w:eastAsia="Times New Roman" w:cs="Arial"/>
        </w:rPr>
      </w:pPr>
    </w:p>
    <w:p w14:paraId="008047F0" w14:textId="74A2CEFF" w:rsidR="001813F3" w:rsidRPr="00D326D4" w:rsidRDefault="001813F3" w:rsidP="00F70C4E">
      <w:pPr>
        <w:pStyle w:val="Heading3"/>
        <w:spacing w:before="0"/>
        <w:rPr>
          <w:rFonts w:eastAsiaTheme="minorHAnsi"/>
          <w:noProof w:val="0"/>
          <w:lang w:eastAsia="en-US"/>
        </w:rPr>
      </w:pPr>
      <w:bookmarkStart w:id="23" w:name="_Toc103695021"/>
      <w:r w:rsidRPr="00D326D4">
        <w:t>Cancer</w:t>
      </w:r>
      <w:bookmarkEnd w:id="23"/>
      <w:r w:rsidRPr="00D326D4">
        <w:t xml:space="preserve"> </w:t>
      </w:r>
    </w:p>
    <w:p w14:paraId="545478CF" w14:textId="0BCDF369" w:rsidR="001813F3" w:rsidRPr="00D326D4" w:rsidRDefault="00950D5D" w:rsidP="001813F3">
      <w:pPr>
        <w:spacing w:after="0"/>
        <w:rPr>
          <w:rFonts w:cstheme="minorHAnsi"/>
        </w:rPr>
      </w:pPr>
      <w:r w:rsidRPr="00D326D4">
        <w:rPr>
          <w:rFonts w:cstheme="minorHAnsi"/>
        </w:rPr>
        <w:t>NHS Hull</w:t>
      </w:r>
      <w:r w:rsidR="001813F3" w:rsidRPr="00D326D4">
        <w:rPr>
          <w:rFonts w:cstheme="minorHAnsi"/>
        </w:rPr>
        <w:t xml:space="preserve"> CCG continues to be an active member of the Humber, Coast and Vale Cancer Alliance which is leading and supporting work to deliver the NHS Constitution targets around cancer</w:t>
      </w:r>
      <w:r w:rsidR="00D76604" w:rsidRPr="00D326D4">
        <w:rPr>
          <w:rFonts w:cstheme="minorHAnsi"/>
        </w:rPr>
        <w:t>. The Alliance</w:t>
      </w:r>
      <w:r w:rsidR="001813F3" w:rsidRPr="00D326D4">
        <w:rPr>
          <w:rFonts w:cstheme="minorHAnsi"/>
        </w:rPr>
        <w:t xml:space="preserve"> </w:t>
      </w:r>
      <w:r w:rsidR="00D76604" w:rsidRPr="00D326D4">
        <w:rPr>
          <w:rFonts w:cstheme="minorHAnsi"/>
        </w:rPr>
        <w:t>is</w:t>
      </w:r>
      <w:r w:rsidR="001813F3" w:rsidRPr="00D326D4">
        <w:rPr>
          <w:rFonts w:cstheme="minorHAnsi"/>
        </w:rPr>
        <w:t xml:space="preserve"> developing improved pathways and services for early diagnosis of common cancers and increased survivorship.  </w:t>
      </w:r>
    </w:p>
    <w:p w14:paraId="47AB8700" w14:textId="6AE14D45" w:rsidR="001813F3" w:rsidRPr="00D326D4" w:rsidRDefault="001813F3" w:rsidP="001813F3">
      <w:pPr>
        <w:spacing w:after="0"/>
        <w:rPr>
          <w:rFonts w:cstheme="minorHAnsi"/>
        </w:rPr>
      </w:pPr>
      <w:r w:rsidRPr="00D326D4">
        <w:rPr>
          <w:rFonts w:cstheme="minorHAnsi"/>
        </w:rPr>
        <w:t>Work has been focused on maintaining services which support cancer diagnosis and treatment</w:t>
      </w:r>
      <w:r w:rsidR="00D76604" w:rsidRPr="00D326D4">
        <w:rPr>
          <w:rFonts w:cstheme="minorHAnsi"/>
        </w:rPr>
        <w:t>,</w:t>
      </w:r>
      <w:r w:rsidRPr="00D326D4">
        <w:rPr>
          <w:rFonts w:cstheme="minorHAnsi"/>
        </w:rPr>
        <w:t xml:space="preserve"> whilst employing a risk assessment model to support clinical prioritisation</w:t>
      </w:r>
      <w:r w:rsidR="00D76604" w:rsidRPr="00D326D4">
        <w:rPr>
          <w:rFonts w:cstheme="minorHAnsi"/>
        </w:rPr>
        <w:t>,</w:t>
      </w:r>
      <w:r w:rsidRPr="00D326D4">
        <w:rPr>
          <w:rFonts w:cstheme="minorHAnsi"/>
        </w:rPr>
        <w:t xml:space="preserve"> whilst maintaining the level of infection </w:t>
      </w:r>
      <w:r w:rsidR="00D76604" w:rsidRPr="00D326D4">
        <w:rPr>
          <w:rFonts w:cstheme="minorHAnsi"/>
        </w:rPr>
        <w:t xml:space="preserve">prevention and </w:t>
      </w:r>
      <w:r w:rsidRPr="00D326D4">
        <w:rPr>
          <w:rFonts w:cstheme="minorHAnsi"/>
        </w:rPr>
        <w:t xml:space="preserve">control to ensure that risks are minimised to patients and staff. </w:t>
      </w:r>
    </w:p>
    <w:p w14:paraId="1A66DC3A" w14:textId="565EF7F6" w:rsidR="001813F3" w:rsidRPr="00D326D4" w:rsidRDefault="001813F3" w:rsidP="001813F3">
      <w:pPr>
        <w:spacing w:after="0"/>
        <w:rPr>
          <w:rFonts w:eastAsiaTheme="minorHAnsi" w:cstheme="minorHAnsi"/>
          <w:noProof w:val="0"/>
          <w:shd w:val="clear" w:color="auto" w:fill="FFFFFF"/>
          <w:lang w:eastAsia="en-US"/>
        </w:rPr>
      </w:pPr>
      <w:r w:rsidRPr="00D326D4">
        <w:rPr>
          <w:rFonts w:cstheme="minorHAnsi"/>
        </w:rPr>
        <w:t xml:space="preserve">The need for infection control measures continues to negatively impact upon some services more than others, with reduction in the availability of colonoscopy impacting upon colorectal pathways. </w:t>
      </w:r>
      <w:r w:rsidR="000F0C61" w:rsidRPr="00D326D4">
        <w:rPr>
          <w:rFonts w:cstheme="minorHAnsi"/>
        </w:rPr>
        <w:t>This</w:t>
      </w:r>
      <w:r w:rsidRPr="00D326D4">
        <w:rPr>
          <w:rFonts w:cstheme="minorHAnsi"/>
        </w:rPr>
        <w:t xml:space="preserve"> has driven the increased use of photographs with regard to potential skin cancers </w:t>
      </w:r>
      <w:r w:rsidR="000F0C61" w:rsidRPr="00D326D4">
        <w:rPr>
          <w:rFonts w:cstheme="minorHAnsi"/>
        </w:rPr>
        <w:t>and</w:t>
      </w:r>
      <w:r w:rsidRPr="00D326D4">
        <w:rPr>
          <w:rFonts w:cstheme="minorHAnsi"/>
        </w:rPr>
        <w:t xml:space="preserve"> all GP Practices </w:t>
      </w:r>
      <w:r w:rsidR="000F0C61" w:rsidRPr="00D326D4">
        <w:rPr>
          <w:rFonts w:cstheme="minorHAnsi"/>
        </w:rPr>
        <w:t>have the ability to</w:t>
      </w:r>
      <w:r w:rsidRPr="00D326D4">
        <w:rPr>
          <w:rFonts w:cstheme="minorHAnsi"/>
        </w:rPr>
        <w:t xml:space="preserve"> tak</w:t>
      </w:r>
      <w:r w:rsidR="000F0C61" w:rsidRPr="00D326D4">
        <w:rPr>
          <w:rFonts w:cstheme="minorHAnsi"/>
        </w:rPr>
        <w:t>e</w:t>
      </w:r>
      <w:r w:rsidRPr="00D326D4">
        <w:rPr>
          <w:rFonts w:cstheme="minorHAnsi"/>
        </w:rPr>
        <w:t xml:space="preserve"> photographs of any skin lesions both with a digital camera and through a dermatascope </w:t>
      </w:r>
      <w:r w:rsidR="000F0C61" w:rsidRPr="00D326D4">
        <w:rPr>
          <w:rFonts w:cstheme="minorHAnsi"/>
        </w:rPr>
        <w:t>where</w:t>
      </w:r>
      <w:r w:rsidRPr="00D326D4">
        <w:rPr>
          <w:rFonts w:cstheme="minorHAnsi"/>
        </w:rPr>
        <w:t xml:space="preserve"> </w:t>
      </w:r>
      <w:r w:rsidR="00B07F7E" w:rsidRPr="00D326D4">
        <w:rPr>
          <w:rFonts w:cstheme="minorHAnsi"/>
        </w:rPr>
        <w:t>c</w:t>
      </w:r>
      <w:r w:rsidRPr="00D326D4">
        <w:rPr>
          <w:rFonts w:cstheme="minorHAnsi"/>
        </w:rPr>
        <w:t xml:space="preserve">onsultants </w:t>
      </w:r>
      <w:r w:rsidR="000F0C61" w:rsidRPr="00D326D4">
        <w:rPr>
          <w:rFonts w:cstheme="minorHAnsi"/>
        </w:rPr>
        <w:t>can</w:t>
      </w:r>
      <w:r w:rsidRPr="00D326D4">
        <w:rPr>
          <w:rFonts w:cstheme="minorHAnsi"/>
        </w:rPr>
        <w:t xml:space="preserve"> review the photograph and, in some cases, provide rapid assurance that there are no suspicious indicators or invite</w:t>
      </w:r>
      <w:r w:rsidR="000F0C61" w:rsidRPr="00D326D4">
        <w:rPr>
          <w:rFonts w:cstheme="minorHAnsi"/>
        </w:rPr>
        <w:t xml:space="preserve"> patients</w:t>
      </w:r>
      <w:r w:rsidRPr="00D326D4">
        <w:rPr>
          <w:rFonts w:cstheme="minorHAnsi"/>
        </w:rPr>
        <w:t xml:space="preserve"> </w:t>
      </w:r>
      <w:r w:rsidR="000F0C61" w:rsidRPr="00D326D4">
        <w:rPr>
          <w:rFonts w:cstheme="minorHAnsi"/>
        </w:rPr>
        <w:t>for</w:t>
      </w:r>
      <w:r w:rsidRPr="00D326D4">
        <w:rPr>
          <w:rFonts w:cstheme="minorHAnsi"/>
        </w:rPr>
        <w:t xml:space="preserve"> a face to face clinical assessment</w:t>
      </w:r>
      <w:r w:rsidR="000F0C61" w:rsidRPr="00D326D4">
        <w:rPr>
          <w:rFonts w:cstheme="minorHAnsi"/>
        </w:rPr>
        <w:t>.</w:t>
      </w:r>
    </w:p>
    <w:p w14:paraId="7BE29E2E" w14:textId="5AF56368" w:rsidR="00545800" w:rsidRPr="00D326D4" w:rsidRDefault="00545800" w:rsidP="00EF53E6">
      <w:pPr>
        <w:ind w:left="720"/>
        <w:rPr>
          <w:rFonts w:cstheme="minorHAnsi"/>
          <w:b/>
          <w:bCs/>
        </w:rPr>
      </w:pPr>
      <w:r w:rsidRPr="00D326D4">
        <w:rPr>
          <w:rFonts w:cstheme="minorHAnsi"/>
          <w:b/>
          <w:bCs/>
        </w:rPr>
        <w:t>Cancer champions</w:t>
      </w:r>
    </w:p>
    <w:p w14:paraId="28416625" w14:textId="62608025" w:rsidR="00545800" w:rsidRPr="00D326D4" w:rsidRDefault="00545800" w:rsidP="00EF53E6">
      <w:pPr>
        <w:pStyle w:val="NormalWeb"/>
        <w:shd w:val="clear" w:color="auto" w:fill="FFFFFF"/>
        <w:spacing w:before="0" w:line="276" w:lineRule="auto"/>
        <w:ind w:left="720"/>
        <w:textAlignment w:val="baseline"/>
        <w:rPr>
          <w:rFonts w:ascii="Arial" w:hAnsi="Arial" w:cs="Arial"/>
          <w:i/>
          <w:iCs/>
          <w:sz w:val="22"/>
          <w:szCs w:val="22"/>
        </w:rPr>
      </w:pPr>
      <w:r w:rsidRPr="00D326D4">
        <w:rPr>
          <w:rFonts w:ascii="Arial" w:hAnsi="Arial" w:cs="Arial"/>
          <w:i/>
          <w:iCs/>
          <w:sz w:val="22"/>
          <w:szCs w:val="22"/>
        </w:rPr>
        <w:t>Humber, Coast and Vale Cancer Alliance launched its Cancer Champion training sessions in 2018; and trained its 3,000</w:t>
      </w:r>
      <w:r w:rsidRPr="00D326D4">
        <w:rPr>
          <w:rFonts w:ascii="Arial" w:hAnsi="Arial" w:cs="Arial"/>
          <w:i/>
          <w:iCs/>
          <w:sz w:val="22"/>
          <w:szCs w:val="22"/>
          <w:bdr w:val="none" w:sz="0" w:space="0" w:color="auto" w:frame="1"/>
          <w:vertAlign w:val="superscript"/>
        </w:rPr>
        <w:t>th</w:t>
      </w:r>
      <w:r w:rsidRPr="00D326D4">
        <w:rPr>
          <w:rFonts w:ascii="Arial" w:hAnsi="Arial" w:cs="Arial"/>
          <w:i/>
          <w:iCs/>
          <w:sz w:val="22"/>
          <w:szCs w:val="22"/>
        </w:rPr>
        <w:t> Cancer Champion in January 2022.</w:t>
      </w:r>
    </w:p>
    <w:p w14:paraId="7D21FE1C" w14:textId="46D58B5D" w:rsidR="00545800" w:rsidRPr="00D326D4" w:rsidRDefault="00545800" w:rsidP="00155486">
      <w:pPr>
        <w:spacing w:after="0"/>
        <w:ind w:left="720"/>
        <w:rPr>
          <w:rFonts w:cs="Arial"/>
          <w:i/>
          <w:iCs/>
          <w:color w:val="3D3D3D"/>
        </w:rPr>
      </w:pPr>
      <w:r w:rsidRPr="00D326D4">
        <w:rPr>
          <w:rFonts w:cs="Arial"/>
          <w:i/>
          <w:iCs/>
        </w:rPr>
        <w:t xml:space="preserve">The training, which is free of charge and only takes 90 minutes to complete, equips people with the knowledge to talk more openly about cancer with their friends and family to encourage early detection of cancer, when treatment could be simpler and more successful. The aim is to train many more Cancer Champions in our region to help achieve the </w:t>
      </w:r>
      <w:r w:rsidRPr="00D326D4">
        <w:rPr>
          <w:i/>
          <w:iCs/>
        </w:rPr>
        <w:t xml:space="preserve">NHS Long Term Plan’s </w:t>
      </w:r>
      <w:r w:rsidRPr="00D326D4">
        <w:rPr>
          <w:rFonts w:cs="Arial"/>
          <w:i/>
          <w:iCs/>
        </w:rPr>
        <w:t>ambition of diagnosing three out of four people with cancer at an early stage by 2028. Find out more at</w:t>
      </w:r>
      <w:r w:rsidRPr="00D326D4">
        <w:rPr>
          <w:rFonts w:cs="Arial"/>
          <w:i/>
          <w:iCs/>
          <w:color w:val="3D3D3D"/>
        </w:rPr>
        <w:t xml:space="preserve"> </w:t>
      </w:r>
      <w:hyperlink r:id="rId25" w:history="1">
        <w:r w:rsidRPr="00D326D4">
          <w:rPr>
            <w:rStyle w:val="Hyperlink"/>
            <w:rFonts w:cs="Arial"/>
            <w:i/>
            <w:iCs/>
          </w:rPr>
          <w:t>www.hnycanceralliance.org.uk</w:t>
        </w:r>
      </w:hyperlink>
      <w:r w:rsidRPr="00D326D4">
        <w:rPr>
          <w:rFonts w:cs="Arial"/>
          <w:i/>
          <w:iCs/>
          <w:color w:val="3D3D3D"/>
        </w:rPr>
        <w:t xml:space="preserve"> </w:t>
      </w:r>
    </w:p>
    <w:p w14:paraId="0F427F34" w14:textId="4721F788" w:rsidR="00545800" w:rsidRPr="00D326D4" w:rsidRDefault="00545800" w:rsidP="00545800">
      <w:pPr>
        <w:spacing w:after="0"/>
        <w:ind w:left="720"/>
        <w:rPr>
          <w:rFonts w:cs="Arial"/>
          <w:b/>
          <w:bCs/>
          <w:color w:val="3D3D3D"/>
        </w:rPr>
      </w:pPr>
      <w:r w:rsidRPr="00D326D4">
        <w:rPr>
          <w:rFonts w:cs="Arial"/>
          <w:b/>
          <w:bCs/>
          <w:color w:val="3D3D3D"/>
        </w:rPr>
        <w:t>Targeted lung health checks launch in North Hull</w:t>
      </w:r>
    </w:p>
    <w:p w14:paraId="08B99C3A" w14:textId="77777777" w:rsidR="00D26552" w:rsidRPr="00D326D4" w:rsidRDefault="00D26552" w:rsidP="00EF53E6">
      <w:pPr>
        <w:shd w:val="clear" w:color="auto" w:fill="FFFFFF"/>
        <w:spacing w:after="300"/>
        <w:ind w:left="720"/>
        <w:textAlignment w:val="baseline"/>
        <w:rPr>
          <w:rFonts w:eastAsia="Times New Roman" w:cs="Arial"/>
          <w:i/>
          <w:iCs/>
        </w:rPr>
      </w:pPr>
      <w:r w:rsidRPr="00D326D4">
        <w:rPr>
          <w:rFonts w:eastAsia="Times New Roman" w:cs="Arial"/>
          <w:i/>
          <w:iCs/>
        </w:rPr>
        <w:t xml:space="preserve">Since its launch, the NHS lung health check has welcomed over 6,000 people, helped to diagnose more than 40 cases of cancer, identified other respiratory diseases at early stages, and provided opportunities for earlier treatment that has saved people’s lives. In February the programme moved on to North Hull where uptake for the respiratory nurse-led consultations and low dose CT scans for higher risk participants was extremely encouraging. </w:t>
      </w:r>
    </w:p>
    <w:p w14:paraId="53AB133E" w14:textId="77777777" w:rsidR="00D26552" w:rsidRPr="00D326D4" w:rsidRDefault="00D26552" w:rsidP="00EF53E6">
      <w:pPr>
        <w:shd w:val="clear" w:color="auto" w:fill="FFFFFF"/>
        <w:spacing w:after="300"/>
        <w:ind w:left="720"/>
        <w:textAlignment w:val="baseline"/>
        <w:rPr>
          <w:rFonts w:eastAsia="Times New Roman" w:cs="Arial"/>
          <w:i/>
          <w:iCs/>
        </w:rPr>
      </w:pPr>
      <w:r w:rsidRPr="00D326D4">
        <w:rPr>
          <w:rFonts w:eastAsia="Times New Roman" w:cs="Arial"/>
          <w:i/>
          <w:iCs/>
        </w:rPr>
        <w:t>Anyone living in north Hull, who is a former or current smoker aged 55 to 74, is eligible for a lung health check and will receive an invite from their GP over the next few weeks. Detecting lung cancer in the early stages is extremely difficult as often people don’t experience any symptoms and are not diagnosed until stage 3 or 4. A lung health check can help find any problems early, often before someone notices anything is wrong, and at a stage when treatment could be simpler and more successful.</w:t>
      </w:r>
    </w:p>
    <w:p w14:paraId="1B72F70A" w14:textId="77777777" w:rsidR="00EF53E6" w:rsidRPr="00D326D4" w:rsidRDefault="00EF53E6" w:rsidP="00EF53E6">
      <w:pPr>
        <w:spacing w:after="0"/>
        <w:rPr>
          <w:rFonts w:cstheme="minorHAnsi"/>
        </w:rPr>
      </w:pPr>
      <w:r w:rsidRPr="00D326D4">
        <w:rPr>
          <w:rFonts w:cstheme="minorHAnsi"/>
        </w:rPr>
        <w:t>Restricted hospital capacity during the pandemic has inevitably meant some slippage in the delivery of the cancer waiting times targets. To address this, in line with national guidance, cancer diagnosis and surgery has been prioritised over recent months to ensure that we continue to diagnose and treat cancers as early as possible.</w:t>
      </w:r>
    </w:p>
    <w:p w14:paraId="247BF395" w14:textId="77777777" w:rsidR="00EF53E6" w:rsidRPr="00D326D4" w:rsidRDefault="00EF53E6" w:rsidP="00EF53E6">
      <w:pPr>
        <w:spacing w:after="0"/>
        <w:rPr>
          <w:rFonts w:cstheme="minorHAnsi"/>
        </w:rPr>
      </w:pPr>
      <w:r w:rsidRPr="00D326D4">
        <w:rPr>
          <w:rFonts w:cstheme="minorHAnsi"/>
        </w:rPr>
        <w:lastRenderedPageBreak/>
        <w:t>The Cancer Alliance continues to focus on improving access to diagnostics across the whole of our Integrated Care System, together with the delivery of systemised pathways to ensure equality of access to diagnostics and treatment.</w:t>
      </w:r>
    </w:p>
    <w:p w14:paraId="765A6922" w14:textId="7C2EBB83" w:rsidR="00F724B8" w:rsidRPr="00D326D4" w:rsidRDefault="00232DAA" w:rsidP="00B66DE2">
      <w:pPr>
        <w:pStyle w:val="Heading3"/>
        <w:rPr>
          <w:color w:val="FF0000"/>
        </w:rPr>
      </w:pPr>
      <w:bookmarkStart w:id="24" w:name="_Toc103695022"/>
      <w:r w:rsidRPr="00D326D4">
        <w:rPr>
          <w:rStyle w:val="Heading3Char"/>
          <w:b/>
          <w:bCs/>
        </w:rPr>
        <w:t>Maternity, children and young people</w:t>
      </w:r>
      <w:bookmarkEnd w:id="24"/>
      <w:r w:rsidRPr="00D326D4">
        <w:rPr>
          <w:rFonts w:cs="Arial"/>
          <w:b w:val="0"/>
          <w:bCs w:val="0"/>
        </w:rPr>
        <w:t xml:space="preserve"> </w:t>
      </w:r>
    </w:p>
    <w:bookmarkEnd w:id="18"/>
    <w:p w14:paraId="7774E592" w14:textId="77777777" w:rsidR="00C4603C" w:rsidRPr="00D326D4" w:rsidRDefault="00C4603C" w:rsidP="00C4603C">
      <w:pPr>
        <w:spacing w:after="0" w:line="240" w:lineRule="auto"/>
        <w:rPr>
          <w:rFonts w:cs="Arial"/>
          <w:b/>
          <w:color w:val="4F81BD" w:themeColor="accent1"/>
        </w:rPr>
      </w:pPr>
      <w:r w:rsidRPr="00D326D4">
        <w:rPr>
          <w:rFonts w:cs="Arial"/>
          <w:b/>
        </w:rPr>
        <w:t>Maternity</w:t>
      </w:r>
      <w:r w:rsidRPr="00D326D4">
        <w:rPr>
          <w:rFonts w:cs="Arial"/>
          <w:b/>
          <w:color w:val="4F81BD" w:themeColor="accent1"/>
        </w:rPr>
        <w:t xml:space="preserve"> </w:t>
      </w:r>
    </w:p>
    <w:p w14:paraId="157847F7" w14:textId="4C8514F6" w:rsidR="00C4603C" w:rsidRPr="00D326D4" w:rsidRDefault="00C4603C" w:rsidP="00C4603C">
      <w:pPr>
        <w:pStyle w:val="NoSpacing"/>
        <w:spacing w:line="276" w:lineRule="auto"/>
        <w:rPr>
          <w:b w:val="0"/>
          <w:color w:val="auto"/>
          <w:sz w:val="22"/>
        </w:rPr>
      </w:pPr>
      <w:r w:rsidRPr="00D326D4">
        <w:rPr>
          <w:b w:val="0"/>
          <w:color w:val="auto"/>
          <w:sz w:val="22"/>
        </w:rPr>
        <w:t xml:space="preserve">The Hull Maternity Voices Partnership (MVP) continues to promote engagement with women and their families through the various social media platforms, and in the absence of the usual face-to-face events during COVID-19. </w:t>
      </w:r>
      <w:r w:rsidRPr="00D326D4">
        <w:rPr>
          <w:rFonts w:ascii="Helvetica" w:eastAsia="Times New Roman" w:hAnsi="Helvetica" w:cs="Helvetica"/>
          <w:b w:val="0"/>
          <w:color w:val="auto"/>
          <w:sz w:val="22"/>
        </w:rPr>
        <w:t xml:space="preserve">Email has been the predominant channel of communication over the last 12 months and the </w:t>
      </w:r>
      <w:r w:rsidRPr="00D326D4">
        <w:rPr>
          <w:b w:val="0"/>
          <w:color w:val="auto"/>
          <w:sz w:val="22"/>
        </w:rPr>
        <w:t xml:space="preserve">Hull MVP Facebook page now has 735 followers. The Local Maternity System </w:t>
      </w:r>
      <w:r w:rsidR="00A16AE9" w:rsidRPr="00D326D4">
        <w:rPr>
          <w:b w:val="0"/>
          <w:color w:val="auto"/>
          <w:sz w:val="22"/>
        </w:rPr>
        <w:t xml:space="preserve">(LMS) </w:t>
      </w:r>
      <w:r w:rsidRPr="00D326D4">
        <w:rPr>
          <w:b w:val="0"/>
          <w:color w:val="auto"/>
          <w:sz w:val="22"/>
        </w:rPr>
        <w:t xml:space="preserve">has undertaken a number of surveys focused on maternity and post-natal care. </w:t>
      </w:r>
      <w:r w:rsidRPr="00D326D4">
        <w:rPr>
          <w:rFonts w:ascii="Helvetica" w:eastAsia="Times New Roman" w:hAnsi="Helvetica" w:cs="Helvetica"/>
          <w:b w:val="0"/>
          <w:color w:val="auto"/>
          <w:sz w:val="22"/>
        </w:rPr>
        <w:t xml:space="preserve">Feedback over the last year has been dominated by </w:t>
      </w:r>
      <w:r w:rsidRPr="00D326D4">
        <w:rPr>
          <w:b w:val="0"/>
          <w:color w:val="auto"/>
          <w:sz w:val="22"/>
        </w:rPr>
        <w:t>COVID</w:t>
      </w:r>
      <w:r w:rsidRPr="00D326D4">
        <w:rPr>
          <w:rFonts w:ascii="Helvetica" w:eastAsia="Times New Roman" w:hAnsi="Helvetica" w:cs="Helvetica"/>
          <w:b w:val="0"/>
          <w:color w:val="auto"/>
          <w:sz w:val="22"/>
        </w:rPr>
        <w:t>-related issues such as staffing, loneliness and isolation, and the impact on mental health.</w:t>
      </w:r>
      <w:r w:rsidRPr="00D326D4">
        <w:rPr>
          <w:b w:val="0"/>
          <w:color w:val="auto"/>
          <w:sz w:val="22"/>
        </w:rPr>
        <w:t xml:space="preserve"> The MVP is chaired by two local Mums and meets four times each year to monitor and review maternity care provided by a range of partners, making reccomendations for service improvements.   </w:t>
      </w:r>
    </w:p>
    <w:p w14:paraId="7DB8E1F7" w14:textId="41BD611A" w:rsidR="00C4603C" w:rsidRPr="00D326D4" w:rsidRDefault="00C4603C" w:rsidP="00C4603C">
      <w:pPr>
        <w:spacing w:after="0"/>
        <w:rPr>
          <w:rFonts w:eastAsiaTheme="minorHAnsi" w:cs="Arial"/>
          <w:bCs/>
          <w:noProof w:val="0"/>
        </w:rPr>
      </w:pPr>
      <w:bookmarkStart w:id="25" w:name="_Hlk98832269"/>
      <w:r w:rsidRPr="00D326D4">
        <w:rPr>
          <w:rFonts w:eastAsiaTheme="minorHAnsi" w:cs="Arial"/>
          <w:bCs/>
          <w:noProof w:val="0"/>
        </w:rPr>
        <w:t xml:space="preserve">In response to the Ockenden Review of Maternity Services, in June 2021, Hull University Teaching Hospitals Trust </w:t>
      </w:r>
      <w:r w:rsidR="005A42D7" w:rsidRPr="00D326D4">
        <w:rPr>
          <w:rFonts w:eastAsiaTheme="minorHAnsi" w:cs="Arial"/>
          <w:bCs/>
          <w:noProof w:val="0"/>
        </w:rPr>
        <w:t xml:space="preserve">(the Trust) </w:t>
      </w:r>
      <w:r w:rsidRPr="00D326D4">
        <w:rPr>
          <w:rFonts w:eastAsiaTheme="minorHAnsi" w:cs="Arial"/>
          <w:bCs/>
          <w:noProof w:val="0"/>
        </w:rPr>
        <w:t xml:space="preserve">confirmed it was fully/partially compliant with 37 of the 41 immediate and essential actions required. Feedback from </w:t>
      </w:r>
      <w:r w:rsidR="005A42D7" w:rsidRPr="00D326D4">
        <w:rPr>
          <w:rFonts w:eastAsiaTheme="minorHAnsi" w:cs="Arial"/>
          <w:bCs/>
          <w:noProof w:val="0"/>
        </w:rPr>
        <w:t>NHS England and NHS Improvement (NHSE&amp;I)</w:t>
      </w:r>
      <w:r w:rsidRPr="00D326D4">
        <w:rPr>
          <w:rFonts w:eastAsiaTheme="minorHAnsi" w:cs="Arial"/>
          <w:bCs/>
          <w:noProof w:val="0"/>
        </w:rPr>
        <w:t xml:space="preserve"> accepted that the Trust was in a good position compared to </w:t>
      </w:r>
      <w:r w:rsidR="005A42D7" w:rsidRPr="00D326D4">
        <w:rPr>
          <w:rFonts w:eastAsiaTheme="minorHAnsi" w:cs="Arial"/>
          <w:bCs/>
          <w:noProof w:val="0"/>
        </w:rPr>
        <w:t>others</w:t>
      </w:r>
      <w:r w:rsidRPr="00D326D4">
        <w:rPr>
          <w:rFonts w:eastAsiaTheme="minorHAnsi" w:cs="Arial"/>
          <w:bCs/>
          <w:noProof w:val="0"/>
        </w:rPr>
        <w:t xml:space="preserve"> across the </w:t>
      </w:r>
      <w:r w:rsidR="005A42D7" w:rsidRPr="00D326D4">
        <w:rPr>
          <w:rFonts w:eastAsiaTheme="minorHAnsi" w:cs="Arial"/>
          <w:bCs/>
          <w:noProof w:val="0"/>
        </w:rPr>
        <w:t>c</w:t>
      </w:r>
      <w:r w:rsidRPr="00D326D4">
        <w:rPr>
          <w:rFonts w:eastAsiaTheme="minorHAnsi" w:cs="Arial"/>
          <w:bCs/>
          <w:noProof w:val="0"/>
        </w:rPr>
        <w:t xml:space="preserve">ountry. The Trust </w:t>
      </w:r>
      <w:r w:rsidR="005A42D7" w:rsidRPr="00D326D4">
        <w:rPr>
          <w:rFonts w:eastAsiaTheme="minorHAnsi" w:cs="Arial"/>
          <w:bCs/>
          <w:noProof w:val="0"/>
        </w:rPr>
        <w:t>is</w:t>
      </w:r>
      <w:r w:rsidRPr="00D326D4">
        <w:rPr>
          <w:rFonts w:eastAsiaTheme="minorHAnsi" w:cs="Arial"/>
          <w:bCs/>
          <w:noProof w:val="0"/>
        </w:rPr>
        <w:t xml:space="preserve"> working to deliver the NHSE&amp;I approved action plan that will address the partial and outstanding actions that will evidence compliance. Progress on the action plan is monitored closely by the Trust and reported to NHSE&amp;I. </w:t>
      </w:r>
      <w:bookmarkEnd w:id="25"/>
    </w:p>
    <w:p w14:paraId="7D18F6E0" w14:textId="6D37E989" w:rsidR="00C4603C" w:rsidRPr="00D326D4" w:rsidRDefault="00E54EAE" w:rsidP="00C4603C">
      <w:pPr>
        <w:pStyle w:val="NoSpacing"/>
        <w:spacing w:line="276" w:lineRule="auto"/>
        <w:rPr>
          <w:b w:val="0"/>
          <w:bCs/>
          <w:color w:val="auto"/>
          <w:sz w:val="22"/>
          <w:lang w:eastAsia="en-US"/>
        </w:rPr>
      </w:pPr>
      <w:r w:rsidRPr="00D326D4">
        <w:rPr>
          <w:b w:val="0"/>
          <w:bCs/>
          <w:color w:val="auto"/>
          <w:sz w:val="22"/>
          <w:lang w:eastAsia="en-US"/>
        </w:rPr>
        <w:t xml:space="preserve">The </w:t>
      </w:r>
      <w:r w:rsidR="00C4603C" w:rsidRPr="00D326D4">
        <w:rPr>
          <w:b w:val="0"/>
          <w:bCs/>
          <w:color w:val="auto"/>
          <w:sz w:val="22"/>
          <w:lang w:eastAsia="en-US"/>
        </w:rPr>
        <w:t xml:space="preserve">Continuity of </w:t>
      </w:r>
      <w:r w:rsidRPr="00D326D4">
        <w:rPr>
          <w:b w:val="0"/>
          <w:bCs/>
          <w:color w:val="auto"/>
          <w:sz w:val="22"/>
          <w:lang w:eastAsia="en-US"/>
        </w:rPr>
        <w:t>C</w:t>
      </w:r>
      <w:r w:rsidR="00C4603C" w:rsidRPr="00D326D4">
        <w:rPr>
          <w:b w:val="0"/>
          <w:bCs/>
          <w:color w:val="auto"/>
          <w:sz w:val="22"/>
          <w:lang w:eastAsia="en-US"/>
        </w:rPr>
        <w:t xml:space="preserve">arer </w:t>
      </w:r>
      <w:r w:rsidRPr="00D326D4">
        <w:rPr>
          <w:b w:val="0"/>
          <w:bCs/>
          <w:color w:val="auto"/>
          <w:sz w:val="22"/>
          <w:lang w:eastAsia="en-US"/>
        </w:rPr>
        <w:t xml:space="preserve">programme </w:t>
      </w:r>
      <w:r w:rsidR="00C4603C" w:rsidRPr="00D326D4">
        <w:rPr>
          <w:b w:val="0"/>
          <w:bCs/>
          <w:color w:val="auto"/>
          <w:sz w:val="22"/>
          <w:lang w:eastAsia="en-US"/>
        </w:rPr>
        <w:t>has been affected by the pandemic</w:t>
      </w:r>
      <w:r w:rsidRPr="00D326D4">
        <w:rPr>
          <w:b w:val="0"/>
          <w:bCs/>
          <w:color w:val="auto"/>
          <w:sz w:val="22"/>
          <w:lang w:eastAsia="en-US"/>
        </w:rPr>
        <w:t>,</w:t>
      </w:r>
      <w:r w:rsidR="00C4603C" w:rsidRPr="00D326D4">
        <w:rPr>
          <w:b w:val="0"/>
          <w:bCs/>
          <w:color w:val="auto"/>
          <w:sz w:val="22"/>
          <w:lang w:eastAsia="en-US"/>
        </w:rPr>
        <w:t xml:space="preserve"> with growth and rollout of further teams slower than the original plan. However, from January 2022 the </w:t>
      </w:r>
      <w:r w:rsidRPr="00D326D4">
        <w:rPr>
          <w:b w:val="0"/>
          <w:bCs/>
          <w:color w:val="auto"/>
          <w:sz w:val="22"/>
          <w:lang w:eastAsia="en-US"/>
        </w:rPr>
        <w:t>four</w:t>
      </w:r>
      <w:r w:rsidR="00C4603C" w:rsidRPr="00D326D4">
        <w:rPr>
          <w:b w:val="0"/>
          <w:bCs/>
          <w:color w:val="auto"/>
          <w:sz w:val="22"/>
          <w:lang w:eastAsia="en-US"/>
        </w:rPr>
        <w:t xml:space="preserve"> current teams are now fully staffed and </w:t>
      </w:r>
      <w:r w:rsidR="0069334E" w:rsidRPr="00D326D4">
        <w:rPr>
          <w:b w:val="0"/>
          <w:bCs/>
          <w:color w:val="auto"/>
          <w:sz w:val="22"/>
          <w:lang w:eastAsia="en-US"/>
        </w:rPr>
        <w:t xml:space="preserve">those in receipt of </w:t>
      </w:r>
      <w:r w:rsidR="00C4603C" w:rsidRPr="00D326D4">
        <w:rPr>
          <w:b w:val="0"/>
          <w:bCs/>
          <w:color w:val="auto"/>
          <w:sz w:val="22"/>
          <w:lang w:eastAsia="en-US"/>
        </w:rPr>
        <w:t xml:space="preserve">continuity of carer is currently </w:t>
      </w:r>
      <w:r w:rsidR="0069334E" w:rsidRPr="00D326D4">
        <w:rPr>
          <w:b w:val="0"/>
          <w:bCs/>
          <w:color w:val="auto"/>
          <w:sz w:val="22"/>
          <w:lang w:eastAsia="en-US"/>
        </w:rPr>
        <w:t xml:space="preserve">achieving </w:t>
      </w:r>
      <w:r w:rsidR="00C4603C" w:rsidRPr="00D326D4">
        <w:rPr>
          <w:b w:val="0"/>
          <w:bCs/>
          <w:color w:val="auto"/>
          <w:sz w:val="22"/>
          <w:lang w:eastAsia="en-US"/>
        </w:rPr>
        <w:t>84%</w:t>
      </w:r>
      <w:r w:rsidRPr="00D326D4">
        <w:rPr>
          <w:b w:val="0"/>
          <w:bCs/>
          <w:color w:val="auto"/>
          <w:sz w:val="22"/>
          <w:lang w:eastAsia="en-US"/>
        </w:rPr>
        <w:t xml:space="preserve"> - </w:t>
      </w:r>
      <w:r w:rsidR="00C4603C" w:rsidRPr="00D326D4">
        <w:rPr>
          <w:b w:val="0"/>
          <w:bCs/>
          <w:color w:val="auto"/>
          <w:sz w:val="22"/>
          <w:lang w:eastAsia="en-US"/>
        </w:rPr>
        <w:t>exceeding the national target of 70%. The next two teams to be rolled out will be in an area of deprivation and also will address the needs of women of different ethnicity which is a national target by March 2023.</w:t>
      </w:r>
    </w:p>
    <w:p w14:paraId="41C3DF51" w14:textId="15072B1A" w:rsidR="00C4603C" w:rsidRPr="00D326D4" w:rsidRDefault="00C4603C" w:rsidP="00C4603C">
      <w:pPr>
        <w:rPr>
          <w:lang w:eastAsia="en-US"/>
        </w:rPr>
      </w:pPr>
      <w:r w:rsidRPr="00D326D4">
        <w:rPr>
          <w:lang w:eastAsia="en-US"/>
        </w:rPr>
        <w:t xml:space="preserve">Personalised care plans have been distributed in paper format to ensure choice and personalisation is a key component of midwifery care, with an online version available for families preferring digital access. An animated film is available for families to view to ensure they are aware of the personalised care available and assist them in the completion of the plan. </w:t>
      </w:r>
    </w:p>
    <w:p w14:paraId="4A4DE98B" w14:textId="1EBDE0FE" w:rsidR="00C4603C" w:rsidRPr="00D326D4" w:rsidRDefault="00C4603C" w:rsidP="00C4603C">
      <w:pPr>
        <w:pStyle w:val="NoSpacing"/>
        <w:spacing w:line="276" w:lineRule="auto"/>
        <w:rPr>
          <w:b w:val="0"/>
          <w:color w:val="auto"/>
          <w:sz w:val="22"/>
        </w:rPr>
      </w:pPr>
      <w:r w:rsidRPr="00D326D4">
        <w:rPr>
          <w:b w:val="0"/>
          <w:color w:val="auto"/>
          <w:sz w:val="22"/>
        </w:rPr>
        <w:t>The ‘Ask a Midwife’ service, commenced in March 2020 in response to COVID-19, has grown into an excellent ‘front-of-house’ service for the Trust. What started as a response to a pandemic has grown into a multi</w:t>
      </w:r>
      <w:r w:rsidR="00E54EAE" w:rsidRPr="00D326D4">
        <w:rPr>
          <w:b w:val="0"/>
          <w:color w:val="auto"/>
          <w:sz w:val="22"/>
        </w:rPr>
        <w:t>-</w:t>
      </w:r>
      <w:r w:rsidRPr="00D326D4">
        <w:rPr>
          <w:b w:val="0"/>
          <w:color w:val="auto"/>
          <w:sz w:val="22"/>
        </w:rPr>
        <w:t xml:space="preserve">dimensional approach from early pregnancy advice to postnatal enquiries. A recent survey showed over 70% of families using the service rated it as 10/10.  </w:t>
      </w:r>
    </w:p>
    <w:p w14:paraId="2B7183DC" w14:textId="595DF1D3" w:rsidR="00C4603C" w:rsidRPr="00D326D4" w:rsidRDefault="00C4603C" w:rsidP="00C4603C">
      <w:pPr>
        <w:pStyle w:val="NoSpacing"/>
        <w:spacing w:line="276" w:lineRule="auto"/>
        <w:rPr>
          <w:b w:val="0"/>
          <w:color w:val="auto"/>
          <w:sz w:val="22"/>
          <w:lang w:eastAsia="en-US"/>
        </w:rPr>
      </w:pPr>
      <w:r w:rsidRPr="00D326D4">
        <w:rPr>
          <w:b w:val="0"/>
          <w:color w:val="auto"/>
          <w:sz w:val="22"/>
          <w:lang w:eastAsia="en-US"/>
        </w:rPr>
        <w:t>Rates of women who smoke during pregnancy are gradually reducing and we are on track for an all-time lowest rate recorded, of 17% for 2021</w:t>
      </w:r>
      <w:r w:rsidR="00E54EAE" w:rsidRPr="00D326D4">
        <w:rPr>
          <w:b w:val="0"/>
          <w:color w:val="auto"/>
          <w:sz w:val="22"/>
          <w:lang w:eastAsia="en-US"/>
        </w:rPr>
        <w:t>-</w:t>
      </w:r>
      <w:r w:rsidRPr="00D326D4">
        <w:rPr>
          <w:b w:val="0"/>
          <w:color w:val="auto"/>
          <w:sz w:val="22"/>
          <w:lang w:eastAsia="en-US"/>
        </w:rPr>
        <w:t xml:space="preserve">22. </w:t>
      </w:r>
      <w:r w:rsidRPr="00D326D4">
        <w:rPr>
          <w:b w:val="0"/>
          <w:color w:val="auto"/>
          <w:sz w:val="22"/>
        </w:rPr>
        <w:t xml:space="preserve">Carbon Monoxide (CO) monitoring in pregnancy is recorded </w:t>
      </w:r>
      <w:r w:rsidRPr="00D326D4">
        <w:rPr>
          <w:b w:val="0"/>
          <w:color w:val="auto"/>
          <w:sz w:val="22"/>
          <w:lang w:eastAsia="en-US"/>
        </w:rPr>
        <w:t>at every antenatal appointment and gives the opportunity for midwives and midwifery assistants to offer very brief advice. Nicotine replacement therapy is available in all clinical areas and some community teams for trained Midwives to prescribe to women. Mandatory training for all maternity staff has resumed, delivered by the Smoke</w:t>
      </w:r>
      <w:r w:rsidR="00A16AE9" w:rsidRPr="00D326D4">
        <w:rPr>
          <w:b w:val="0"/>
          <w:color w:val="auto"/>
          <w:sz w:val="22"/>
          <w:lang w:eastAsia="en-US"/>
        </w:rPr>
        <w:t>F</w:t>
      </w:r>
      <w:r w:rsidRPr="00D326D4">
        <w:rPr>
          <w:b w:val="0"/>
          <w:color w:val="auto"/>
          <w:sz w:val="22"/>
          <w:lang w:eastAsia="en-US"/>
        </w:rPr>
        <w:t xml:space="preserve">ree </w:t>
      </w:r>
      <w:r w:rsidR="00A16AE9" w:rsidRPr="00D326D4">
        <w:rPr>
          <w:b w:val="0"/>
          <w:color w:val="auto"/>
          <w:sz w:val="22"/>
          <w:lang w:eastAsia="en-US"/>
        </w:rPr>
        <w:t>Hull t</w:t>
      </w:r>
      <w:r w:rsidRPr="00D326D4">
        <w:rPr>
          <w:b w:val="0"/>
          <w:color w:val="auto"/>
          <w:sz w:val="22"/>
          <w:lang w:eastAsia="en-US"/>
        </w:rPr>
        <w:t>eam.</w:t>
      </w:r>
    </w:p>
    <w:p w14:paraId="3CDC6910" w14:textId="59AA95A8" w:rsidR="00C4603C" w:rsidRPr="00D326D4" w:rsidRDefault="00C4603C" w:rsidP="00C4603C">
      <w:pPr>
        <w:pStyle w:val="NoSpacing"/>
        <w:spacing w:line="276" w:lineRule="auto"/>
        <w:rPr>
          <w:b w:val="0"/>
          <w:bCs/>
          <w:color w:val="auto"/>
          <w:sz w:val="22"/>
          <w:lang w:eastAsia="en-US"/>
        </w:rPr>
      </w:pPr>
      <w:r w:rsidRPr="00D326D4">
        <w:rPr>
          <w:b w:val="0"/>
          <w:bCs/>
          <w:color w:val="auto"/>
          <w:sz w:val="22"/>
          <w:lang w:eastAsia="en-US"/>
        </w:rPr>
        <w:t xml:space="preserve">The Trust has supplied additional breast pumps to mothers with babies in </w:t>
      </w:r>
      <w:r w:rsidR="00A16AE9" w:rsidRPr="00D326D4">
        <w:rPr>
          <w:rStyle w:val="Emphasis"/>
          <w:rFonts w:cs="Arial"/>
          <w:b w:val="0"/>
          <w:bCs/>
          <w:i w:val="0"/>
          <w:iCs w:val="0"/>
          <w:color w:val="auto"/>
          <w:sz w:val="22"/>
          <w:shd w:val="clear" w:color="auto" w:fill="FFFFFF"/>
        </w:rPr>
        <w:t>Neonatal</w:t>
      </w:r>
      <w:r w:rsidR="00A16AE9" w:rsidRPr="00D326D4">
        <w:rPr>
          <w:rFonts w:cs="Arial"/>
          <w:b w:val="0"/>
          <w:bCs/>
          <w:color w:val="auto"/>
          <w:sz w:val="22"/>
          <w:shd w:val="clear" w:color="auto" w:fill="FFFFFF"/>
        </w:rPr>
        <w:t> Intensive Care Units (</w:t>
      </w:r>
      <w:r w:rsidR="00A16AE9" w:rsidRPr="00D326D4">
        <w:rPr>
          <w:rStyle w:val="Emphasis"/>
          <w:rFonts w:cs="Arial"/>
          <w:b w:val="0"/>
          <w:bCs/>
          <w:i w:val="0"/>
          <w:iCs w:val="0"/>
          <w:color w:val="auto"/>
          <w:sz w:val="22"/>
          <w:shd w:val="clear" w:color="auto" w:fill="FFFFFF"/>
        </w:rPr>
        <w:t>NICUs</w:t>
      </w:r>
      <w:r w:rsidR="00A16AE9" w:rsidRPr="00D326D4">
        <w:rPr>
          <w:rFonts w:cs="Arial"/>
          <w:b w:val="0"/>
          <w:bCs/>
          <w:color w:val="auto"/>
          <w:sz w:val="22"/>
          <w:shd w:val="clear" w:color="auto" w:fill="FFFFFF"/>
        </w:rPr>
        <w:t>)</w:t>
      </w:r>
      <w:r w:rsidRPr="00D326D4">
        <w:rPr>
          <w:b w:val="0"/>
          <w:bCs/>
          <w:color w:val="auto"/>
          <w:sz w:val="22"/>
          <w:lang w:eastAsia="en-US"/>
        </w:rPr>
        <w:t xml:space="preserve"> to support breastfeeding</w:t>
      </w:r>
      <w:r w:rsidR="00A16AE9" w:rsidRPr="00D326D4">
        <w:rPr>
          <w:b w:val="0"/>
          <w:bCs/>
          <w:color w:val="auto"/>
          <w:sz w:val="22"/>
          <w:lang w:eastAsia="en-US"/>
        </w:rPr>
        <w:t>,</w:t>
      </w:r>
      <w:r w:rsidRPr="00D326D4">
        <w:rPr>
          <w:b w:val="0"/>
          <w:bCs/>
          <w:color w:val="auto"/>
          <w:sz w:val="22"/>
          <w:lang w:eastAsia="en-US"/>
        </w:rPr>
        <w:t xml:space="preserve"> and children’s books featuring breastfeeding have been distributed to local libraries, children’s centres and nurseries to normalise breastfeeding in young children. The frenulotomy </w:t>
      </w:r>
      <w:r w:rsidR="006A2DC7" w:rsidRPr="00D326D4">
        <w:rPr>
          <w:b w:val="0"/>
          <w:bCs/>
          <w:color w:val="auto"/>
          <w:sz w:val="22"/>
          <w:lang w:eastAsia="en-US"/>
        </w:rPr>
        <w:t xml:space="preserve">(tongue-tie) </w:t>
      </w:r>
      <w:r w:rsidRPr="00D326D4">
        <w:rPr>
          <w:b w:val="0"/>
          <w:bCs/>
          <w:color w:val="auto"/>
          <w:sz w:val="22"/>
          <w:lang w:eastAsia="en-US"/>
        </w:rPr>
        <w:t xml:space="preserve">service has been extended </w:t>
      </w:r>
      <w:r w:rsidR="00A16AE9" w:rsidRPr="00D326D4">
        <w:rPr>
          <w:b w:val="0"/>
          <w:bCs/>
          <w:color w:val="auto"/>
          <w:sz w:val="22"/>
          <w:lang w:eastAsia="en-US"/>
        </w:rPr>
        <w:t>with</w:t>
      </w:r>
      <w:r w:rsidRPr="00D326D4">
        <w:rPr>
          <w:b w:val="0"/>
          <w:bCs/>
          <w:color w:val="auto"/>
          <w:sz w:val="22"/>
          <w:lang w:eastAsia="en-US"/>
        </w:rPr>
        <w:t xml:space="preserve"> an increase in the number of trained staff. </w:t>
      </w:r>
    </w:p>
    <w:p w14:paraId="6EB751FE" w14:textId="311D814F" w:rsidR="00C4603C" w:rsidRPr="00D326D4" w:rsidRDefault="00C4603C" w:rsidP="00C4603C">
      <w:pPr>
        <w:pStyle w:val="NoSpacing"/>
        <w:spacing w:line="276" w:lineRule="auto"/>
        <w:rPr>
          <w:b w:val="0"/>
          <w:bCs/>
          <w:color w:val="auto"/>
          <w:sz w:val="22"/>
          <w:lang w:eastAsia="en-US"/>
        </w:rPr>
      </w:pPr>
      <w:r w:rsidRPr="00D326D4">
        <w:rPr>
          <w:b w:val="0"/>
          <w:bCs/>
          <w:color w:val="auto"/>
          <w:sz w:val="22"/>
          <w:lang w:eastAsia="en-US"/>
        </w:rPr>
        <w:lastRenderedPageBreak/>
        <w:t xml:space="preserve">Health promotion has been a key feature this year and uptake of the COVID-19 vaccination in Humber Coast and Vale area was the highest in the region. A local woman produced </w:t>
      </w:r>
      <w:r w:rsidR="001757C6" w:rsidRPr="00D326D4">
        <w:rPr>
          <w:b w:val="0"/>
          <w:bCs/>
          <w:color w:val="auto"/>
          <w:sz w:val="22"/>
          <w:lang w:eastAsia="en-US"/>
        </w:rPr>
        <w:t>her own</w:t>
      </w:r>
      <w:r w:rsidRPr="00D326D4">
        <w:rPr>
          <w:b w:val="0"/>
          <w:bCs/>
          <w:color w:val="auto"/>
          <w:sz w:val="22"/>
          <w:lang w:eastAsia="en-US"/>
        </w:rPr>
        <w:t xml:space="preserve"> video with her baby discussing the vaccination from her perspective and it has been widely shown</w:t>
      </w:r>
      <w:r w:rsidR="001757C6" w:rsidRPr="00D326D4">
        <w:rPr>
          <w:b w:val="0"/>
          <w:bCs/>
          <w:color w:val="auto"/>
          <w:sz w:val="22"/>
          <w:lang w:eastAsia="en-US"/>
        </w:rPr>
        <w:t xml:space="preserve"> by the NHS</w:t>
      </w:r>
      <w:r w:rsidRPr="00D326D4">
        <w:rPr>
          <w:b w:val="0"/>
          <w:bCs/>
          <w:color w:val="auto"/>
          <w:sz w:val="22"/>
          <w:lang w:eastAsia="en-US"/>
        </w:rPr>
        <w:t xml:space="preserve">.  Changes in the issuing of MAT B1 forms have been </w:t>
      </w:r>
      <w:r w:rsidR="00A16AE9" w:rsidRPr="00D326D4">
        <w:rPr>
          <w:b w:val="0"/>
          <w:bCs/>
          <w:color w:val="auto"/>
          <w:sz w:val="22"/>
          <w:lang w:eastAsia="en-US"/>
        </w:rPr>
        <w:t>piloted</w:t>
      </w:r>
      <w:r w:rsidRPr="00D326D4">
        <w:rPr>
          <w:b w:val="0"/>
          <w:bCs/>
          <w:color w:val="auto"/>
          <w:sz w:val="22"/>
          <w:lang w:eastAsia="en-US"/>
        </w:rPr>
        <w:t xml:space="preserve"> in Hull, with women reporting a timelier service </w:t>
      </w:r>
      <w:r w:rsidR="00A16AE9" w:rsidRPr="00D326D4">
        <w:rPr>
          <w:b w:val="0"/>
          <w:bCs/>
          <w:color w:val="auto"/>
          <w:sz w:val="22"/>
          <w:lang w:eastAsia="en-US"/>
        </w:rPr>
        <w:t>that</w:t>
      </w:r>
      <w:r w:rsidRPr="00D326D4">
        <w:rPr>
          <w:b w:val="0"/>
          <w:bCs/>
          <w:color w:val="auto"/>
          <w:sz w:val="22"/>
          <w:lang w:eastAsia="en-US"/>
        </w:rPr>
        <w:t xml:space="preserve"> has reduced the workload for community midwives. Birth Preparation and Parent Education continues with a mix of face-to-face and online sessions for women and their partners. </w:t>
      </w:r>
    </w:p>
    <w:p w14:paraId="09D16C8C" w14:textId="605C659B" w:rsidR="00C4603C" w:rsidRPr="00D326D4" w:rsidRDefault="00C4603C" w:rsidP="00C4603C">
      <w:pPr>
        <w:rPr>
          <w:bCs/>
        </w:rPr>
      </w:pPr>
      <w:r w:rsidRPr="00D326D4">
        <w:rPr>
          <w:bCs/>
          <w:lang w:eastAsia="en-US"/>
        </w:rPr>
        <w:t>A real positive is the procurement of an LMS</w:t>
      </w:r>
      <w:r w:rsidR="00A16AE9" w:rsidRPr="00D326D4">
        <w:rPr>
          <w:bCs/>
          <w:lang w:eastAsia="en-US"/>
        </w:rPr>
        <w:t>-</w:t>
      </w:r>
      <w:r w:rsidRPr="00D326D4">
        <w:rPr>
          <w:bCs/>
          <w:lang w:eastAsia="en-US"/>
        </w:rPr>
        <w:t>wide single IT system on 1</w:t>
      </w:r>
      <w:r w:rsidR="00A16AE9" w:rsidRPr="00D326D4">
        <w:rPr>
          <w:bCs/>
          <w:vertAlign w:val="superscript"/>
          <w:lang w:eastAsia="en-US"/>
        </w:rPr>
        <w:t xml:space="preserve"> </w:t>
      </w:r>
      <w:r w:rsidRPr="00D326D4">
        <w:rPr>
          <w:bCs/>
          <w:lang w:eastAsia="en-US"/>
        </w:rPr>
        <w:t xml:space="preserve">April 2022. This will enable patient-facing apps to contribute to care, and a system that will work across organisational boundaries. </w:t>
      </w:r>
    </w:p>
    <w:p w14:paraId="423DE04B" w14:textId="124BF6D7" w:rsidR="00C4603C" w:rsidRPr="00D326D4" w:rsidRDefault="00C4603C" w:rsidP="00C4603C">
      <w:pPr>
        <w:spacing w:after="0"/>
        <w:rPr>
          <w:rFonts w:cs="Arial"/>
          <w:b/>
        </w:rPr>
      </w:pPr>
      <w:r w:rsidRPr="00D326D4">
        <w:rPr>
          <w:rFonts w:cs="Arial"/>
          <w:b/>
        </w:rPr>
        <w:t xml:space="preserve">Children and </w:t>
      </w:r>
      <w:r w:rsidR="00A16AE9" w:rsidRPr="00D326D4">
        <w:rPr>
          <w:rFonts w:cs="Arial"/>
          <w:b/>
        </w:rPr>
        <w:t>y</w:t>
      </w:r>
      <w:r w:rsidRPr="00D326D4">
        <w:rPr>
          <w:rFonts w:cs="Arial"/>
          <w:b/>
        </w:rPr>
        <w:t xml:space="preserve">oung </w:t>
      </w:r>
      <w:r w:rsidR="00A16AE9" w:rsidRPr="00D326D4">
        <w:rPr>
          <w:rFonts w:cs="Arial"/>
          <w:b/>
        </w:rPr>
        <w:t>p</w:t>
      </w:r>
      <w:r w:rsidRPr="00D326D4">
        <w:rPr>
          <w:rFonts w:cs="Arial"/>
          <w:b/>
        </w:rPr>
        <w:t xml:space="preserve">eople </w:t>
      </w:r>
    </w:p>
    <w:p w14:paraId="5AD2883E" w14:textId="77777777" w:rsidR="00C4603C" w:rsidRPr="00D326D4" w:rsidRDefault="00C4603C" w:rsidP="00A230BE">
      <w:pPr>
        <w:spacing w:before="0" w:after="0"/>
        <w:rPr>
          <w:rFonts w:cs="Arial"/>
          <w:bCs/>
        </w:rPr>
      </w:pPr>
      <w:r w:rsidRPr="00D326D4">
        <w:rPr>
          <w:rFonts w:cs="Arial"/>
          <w:bCs/>
        </w:rPr>
        <w:t xml:space="preserve">COVID has brought about changes in the way health and care services have been provided for children, young people and their families.  All health services have continued to provide face-to-face appointments and support for children and young people, parents and carers. Where appropriate, telephone and virtual consulations have ensured young people and parents receive the information, advice, care and support they require. Many parents have reported a preference for virtual contact that offers a safe and flexible way to access health professionals. </w:t>
      </w:r>
    </w:p>
    <w:p w14:paraId="59C19B0C" w14:textId="074948E9" w:rsidR="00C4603C" w:rsidRPr="00D326D4" w:rsidRDefault="00C4603C" w:rsidP="00C4603C">
      <w:pPr>
        <w:spacing w:after="0"/>
        <w:rPr>
          <w:rFonts w:cs="Arial"/>
          <w:bCs/>
        </w:rPr>
      </w:pPr>
      <w:r w:rsidRPr="00D326D4">
        <w:rPr>
          <w:rFonts w:cs="Arial"/>
          <w:bCs/>
        </w:rPr>
        <w:t xml:space="preserve">Work continues  across the Humber Health and Care Partnership in the development of services for children, young people and their families. </w:t>
      </w:r>
      <w:r w:rsidRPr="00D326D4">
        <w:t xml:space="preserve">This includes the development of system-wide integrated services that support the prevention (of ill health), early help and self-management; and strengthens co-ordinated ‘wrap-around’ community based services in providing practical and emotional support to ill children and their parents/carers, </w:t>
      </w:r>
      <w:r w:rsidRPr="00D326D4">
        <w:rPr>
          <w:rFonts w:cs="Arial"/>
          <w:bCs/>
        </w:rPr>
        <w:t xml:space="preserve">enabling them to be cared for at home wherever possible and/or leave hospital quicker. </w:t>
      </w:r>
    </w:p>
    <w:p w14:paraId="7366041B" w14:textId="2DCC3A8E" w:rsidR="00C4603C" w:rsidRPr="00D326D4" w:rsidRDefault="00C4603C" w:rsidP="00C4603C">
      <w:pPr>
        <w:spacing w:after="0"/>
        <w:rPr>
          <w:rFonts w:cs="Arial"/>
          <w:bCs/>
        </w:rPr>
      </w:pPr>
      <w:r w:rsidRPr="00D326D4">
        <w:rPr>
          <w:rFonts w:cs="Arial"/>
          <w:bCs/>
        </w:rPr>
        <w:t>The Children’s Palliative and End of Life Care (PEoLC) project has delivered a series of co-produced system-wide workshops based on the child/young person’s care journey, informed by the voice and experience of local children, young people, their parents/carers and staff who work to support them.  The workshops have informed the co</w:t>
      </w:r>
      <w:r w:rsidR="006A2DC7" w:rsidRPr="00D326D4">
        <w:rPr>
          <w:rFonts w:cs="Arial"/>
          <w:bCs/>
        </w:rPr>
        <w:t>-</w:t>
      </w:r>
      <w:r w:rsidRPr="00D326D4">
        <w:rPr>
          <w:rFonts w:cs="Arial"/>
          <w:bCs/>
        </w:rPr>
        <w:t xml:space="preserve">production of the </w:t>
      </w:r>
      <w:r w:rsidR="006A2DC7" w:rsidRPr="00D326D4">
        <w:rPr>
          <w:rFonts w:cs="Arial"/>
          <w:bCs/>
        </w:rPr>
        <w:t>three</w:t>
      </w:r>
      <w:r w:rsidRPr="00D326D4">
        <w:rPr>
          <w:rFonts w:cs="Arial"/>
          <w:bCs/>
        </w:rPr>
        <w:t>-year Humber Children’s PEoLC Strategy and Delivery Plan. Part of this work has already commenced, with the development of an integrated care model that will improve End of Life care and support for children and their families.  The Strategy and Delivery Plan aims to improve outcomes and experience for children and young people with PEoLC needs and their families.</w:t>
      </w:r>
    </w:p>
    <w:p w14:paraId="2BB87D77" w14:textId="4DCE3978" w:rsidR="00C4603C" w:rsidRPr="00D326D4" w:rsidRDefault="00C4603C" w:rsidP="00C4603C">
      <w:pPr>
        <w:spacing w:after="0"/>
        <w:rPr>
          <w:rFonts w:cs="Arial"/>
          <w:bCs/>
        </w:rPr>
      </w:pPr>
      <w:bookmarkStart w:id="26" w:name="_Hlk100231732"/>
      <w:r w:rsidRPr="00D326D4">
        <w:rPr>
          <w:rFonts w:cs="Arial"/>
          <w:bCs/>
        </w:rPr>
        <w:t xml:space="preserve">The Hull </w:t>
      </w:r>
      <w:r w:rsidR="00877D4A" w:rsidRPr="00D326D4">
        <w:rPr>
          <w:rFonts w:cs="Arial"/>
          <w:bCs/>
        </w:rPr>
        <w:t>and</w:t>
      </w:r>
      <w:r w:rsidRPr="00D326D4">
        <w:rPr>
          <w:rFonts w:cs="Arial"/>
          <w:bCs/>
        </w:rPr>
        <w:t xml:space="preserve"> East Riding of Yorkshire Children’s Neurodiversity Service launched in March 2022, during national Neurodiversity Week. This service is a true partnership, where the main and other children’s services, work together with parents and their child/young person and family to understand what support is needed and how help, advice and support can improve outcomes for their child/young person and their family. The service has been co-produced with local children, young people, parents, carers, and staff who work to support them. Parents and young people (and staff on their behalf), in Hull and the East Riding will be able to request support, and access early help, information and advice, and a range of coordinated services based on the neurodiverse needs of their child/young person. </w:t>
      </w:r>
    </w:p>
    <w:p w14:paraId="5FB2093B" w14:textId="1D5F4DA2" w:rsidR="00C4603C" w:rsidRPr="00D326D4" w:rsidRDefault="00C4603C" w:rsidP="00C4603C">
      <w:pPr>
        <w:spacing w:after="0"/>
        <w:rPr>
          <w:rFonts w:cs="Arial"/>
          <w:bCs/>
        </w:rPr>
      </w:pPr>
      <w:r w:rsidRPr="00D326D4">
        <w:rPr>
          <w:rFonts w:cs="Arial"/>
          <w:bCs/>
        </w:rPr>
        <w:t xml:space="preserve">This service is not dependent upon a child/young person having a formal diagnosis; however, it will support children and young people to access further assessment if and when needed. Support will be coordinated by the service and/or a Named Worker for children and young people with more complex needs, who will meet with the child/young person and their parents/carer </w:t>
      </w:r>
      <w:r w:rsidR="00877D4A" w:rsidRPr="00D326D4">
        <w:rPr>
          <w:rFonts w:cs="Arial"/>
          <w:bCs/>
        </w:rPr>
        <w:t>for</w:t>
      </w:r>
      <w:r w:rsidRPr="00D326D4">
        <w:rPr>
          <w:rFonts w:cs="Arial"/>
          <w:bCs/>
        </w:rPr>
        <w:t xml:space="preserve"> an individual discussion around the child/young persons’ needs. Based upon this, the service and key partners from across Hull and East Riding of Yorkshire will recommend and provide support designed to empower and meet the individual needs of the child/young person, and their parents/carers. </w:t>
      </w:r>
    </w:p>
    <w:bookmarkEnd w:id="26"/>
    <w:p w14:paraId="4BE406E8" w14:textId="77777777" w:rsidR="00A230BE" w:rsidRPr="00D326D4" w:rsidRDefault="00A230BE" w:rsidP="009B0C88">
      <w:pPr>
        <w:spacing w:after="0"/>
        <w:ind w:left="720"/>
        <w:rPr>
          <w:rFonts w:cs="Arial"/>
          <w:b/>
        </w:rPr>
      </w:pPr>
    </w:p>
    <w:p w14:paraId="7805F360" w14:textId="77777777" w:rsidR="00A230BE" w:rsidRPr="00D326D4" w:rsidRDefault="00A230BE" w:rsidP="009B0C88">
      <w:pPr>
        <w:spacing w:after="0"/>
        <w:ind w:left="720"/>
        <w:rPr>
          <w:rFonts w:cs="Arial"/>
          <w:b/>
        </w:rPr>
      </w:pPr>
    </w:p>
    <w:p w14:paraId="1C2F5119" w14:textId="05E9DE68" w:rsidR="00BB3B03" w:rsidRPr="00D326D4" w:rsidRDefault="00CD60CC" w:rsidP="009B0C88">
      <w:pPr>
        <w:spacing w:after="0"/>
        <w:ind w:left="720"/>
        <w:rPr>
          <w:rFonts w:cs="Arial"/>
          <w:b/>
        </w:rPr>
      </w:pPr>
      <w:r w:rsidRPr="00D326D4">
        <w:rPr>
          <w:rFonts w:cs="Arial"/>
          <w:b/>
        </w:rPr>
        <w:lastRenderedPageBreak/>
        <w:t xml:space="preserve">Patient Safety award </w:t>
      </w:r>
      <w:r w:rsidR="00BB3B03" w:rsidRPr="00D326D4">
        <w:rPr>
          <w:rFonts w:cs="Arial"/>
          <w:b/>
        </w:rPr>
        <w:t>for improving care</w:t>
      </w:r>
    </w:p>
    <w:p w14:paraId="7966D6A7" w14:textId="1DC4A65F" w:rsidR="00C4603C" w:rsidRPr="00D326D4" w:rsidRDefault="00C4603C" w:rsidP="009B0C88">
      <w:pPr>
        <w:spacing w:after="0"/>
        <w:ind w:left="720"/>
        <w:rPr>
          <w:rFonts w:cs="Arial"/>
          <w:bCs/>
          <w:i/>
          <w:iCs/>
        </w:rPr>
      </w:pPr>
      <w:r w:rsidRPr="00D326D4">
        <w:rPr>
          <w:rFonts w:cs="Arial"/>
          <w:bCs/>
          <w:i/>
          <w:iCs/>
        </w:rPr>
        <w:t xml:space="preserve">The Children’s Sensory Processing Service and </w:t>
      </w:r>
      <w:r w:rsidR="00877D4A" w:rsidRPr="00D326D4">
        <w:rPr>
          <w:rFonts w:cs="Arial"/>
          <w:bCs/>
          <w:i/>
          <w:iCs/>
        </w:rPr>
        <w:t xml:space="preserve">NHS </w:t>
      </w:r>
      <w:r w:rsidRPr="00D326D4">
        <w:rPr>
          <w:rFonts w:cs="Arial"/>
          <w:bCs/>
          <w:i/>
          <w:iCs/>
        </w:rPr>
        <w:t>Hull CCG won the HSJ Patient Safety Award for the Improving Care for Children and Young People Initiative of the Year category in September 2021. The Humber Sensory Processing Hub website, provides timely and unlimited access to important resources, which promotes a better understanding of sensory processing difficulties.  The website also provides intervention strategies that can be implemented immediately, which have been developed by qualified therapists to ensure that content is well informed and safe. This website has enabled large number of people, including health professionals, education staff and children, to access information that is helpful to them.</w:t>
      </w:r>
    </w:p>
    <w:p w14:paraId="7945BBCD" w14:textId="77777777" w:rsidR="00C4603C" w:rsidRPr="00D326D4" w:rsidRDefault="00C4603C" w:rsidP="00C4603C">
      <w:pPr>
        <w:spacing w:after="0"/>
        <w:rPr>
          <w:rFonts w:cs="Arial"/>
          <w:b/>
        </w:rPr>
      </w:pPr>
      <w:r w:rsidRPr="00D326D4">
        <w:rPr>
          <w:rFonts w:cs="Arial"/>
          <w:b/>
        </w:rPr>
        <w:t>Special Educational Needs and Disabilities (SEND)</w:t>
      </w:r>
    </w:p>
    <w:p w14:paraId="0342A07C" w14:textId="0EEF1C47" w:rsidR="00C4603C" w:rsidRPr="00D326D4" w:rsidRDefault="00C4603C" w:rsidP="00C4603C">
      <w:pPr>
        <w:spacing w:after="0"/>
      </w:pPr>
      <w:r w:rsidRPr="00D326D4">
        <w:t>The CCG continues to work with the Local Authority and the Hull Parent Carer Forum in the impleme</w:t>
      </w:r>
      <w:r w:rsidR="00877D4A" w:rsidRPr="00D326D4">
        <w:t>n</w:t>
      </w:r>
      <w:r w:rsidRPr="00D326D4">
        <w:t>tation of the completed Hull SEND Joint Commissioning Strategy and Co</w:t>
      </w:r>
      <w:r w:rsidR="00877D4A" w:rsidRPr="00D326D4">
        <w:t>-</w:t>
      </w:r>
      <w:r w:rsidRPr="00D326D4">
        <w:t>production Charter which are key features of SEND Accelerated Progress Plan. There has been continued positive feedback from Department for Education, NHS England and the Hull Children’s Commissioner in respect of progress made towards improvement as well as support for children, young people and their families during the pandemic. Notably</w:t>
      </w:r>
      <w:r w:rsidR="00456C4D" w:rsidRPr="00D326D4">
        <w:t>,</w:t>
      </w:r>
      <w:r w:rsidRPr="00D326D4">
        <w:t xml:space="preserve"> through holding the most recent review in a model of targeted focus group meetings</w:t>
      </w:r>
      <w:r w:rsidR="00456C4D" w:rsidRPr="00D326D4">
        <w:t>,</w:t>
      </w:r>
      <w:r w:rsidRPr="00D326D4">
        <w:t xml:space="preserve"> they were prov</w:t>
      </w:r>
      <w:r w:rsidR="006A2DC7" w:rsidRPr="00D326D4">
        <w:t>i</w:t>
      </w:r>
      <w:r w:rsidRPr="00D326D4">
        <w:t>ded with a more detailed insight into the direct impact of this planning</w:t>
      </w:r>
      <w:r w:rsidR="00456C4D" w:rsidRPr="00D326D4">
        <w:t xml:space="preserve"> upon</w:t>
      </w:r>
      <w:r w:rsidRPr="00D326D4">
        <w:t xml:space="preserve"> individuals with SEND and all those who support them.</w:t>
      </w:r>
    </w:p>
    <w:p w14:paraId="2E137603" w14:textId="40426765" w:rsidR="00C4603C" w:rsidRPr="00D326D4" w:rsidRDefault="00C4603C" w:rsidP="00C4603C">
      <w:pPr>
        <w:spacing w:after="0"/>
      </w:pPr>
      <w:r w:rsidRPr="00D326D4">
        <w:t>The review team highlighted that</w:t>
      </w:r>
      <w:r w:rsidR="00456C4D" w:rsidRPr="00D326D4">
        <w:t>,</w:t>
      </w:r>
      <w:r w:rsidRPr="00D326D4">
        <w:t xml:space="preserve"> despite co-production being easily accessible, reflective and responsive at a strategic level</w:t>
      </w:r>
      <w:r w:rsidR="00456C4D" w:rsidRPr="00D326D4">
        <w:t>,</w:t>
      </w:r>
      <w:r w:rsidRPr="00D326D4">
        <w:t xml:space="preserve"> there was an awareness of the need for all partners to work together in embedding this at a more operational level. The </w:t>
      </w:r>
      <w:r w:rsidR="00456C4D" w:rsidRPr="00D326D4">
        <w:t>Designated Clinical Officer role</w:t>
      </w:r>
      <w:r w:rsidRPr="00D326D4">
        <w:t xml:space="preserve"> across health partners will continue to improve the way health services contribute to the </w:t>
      </w:r>
      <w:r w:rsidR="00456C4D" w:rsidRPr="00D326D4">
        <w:t>e</w:t>
      </w:r>
      <w:r w:rsidRPr="00D326D4">
        <w:t>ducation, health and care assessment, planning and review processes with an emphasis currently on cross-sector workforce development and training.</w:t>
      </w:r>
    </w:p>
    <w:p w14:paraId="2479C654" w14:textId="5165E954" w:rsidR="00232DAA" w:rsidRPr="00D326D4" w:rsidRDefault="00232DAA" w:rsidP="00B66DE2">
      <w:pPr>
        <w:pStyle w:val="Heading3"/>
        <w:rPr>
          <w:color w:val="FF0000"/>
        </w:rPr>
      </w:pPr>
      <w:bookmarkStart w:id="27" w:name="_Toc103695023"/>
      <w:r w:rsidRPr="00D326D4">
        <w:rPr>
          <w:rStyle w:val="Heading3Char"/>
          <w:b/>
          <w:bCs/>
        </w:rPr>
        <w:t>Mental Health</w:t>
      </w:r>
      <w:r w:rsidRPr="00D326D4">
        <w:t xml:space="preserve"> </w:t>
      </w:r>
      <w:r w:rsidR="00DA6824" w:rsidRPr="00D326D4">
        <w:t>2021-22</w:t>
      </w:r>
      <w:bookmarkEnd w:id="27"/>
      <w:r w:rsidRPr="00D326D4">
        <w:t xml:space="preserve"> </w:t>
      </w:r>
    </w:p>
    <w:p w14:paraId="0AA743BC" w14:textId="77777777" w:rsidR="00DA6824" w:rsidRPr="00D326D4" w:rsidRDefault="00DA6824" w:rsidP="00DA6824">
      <w:pPr>
        <w:spacing w:after="0"/>
        <w:rPr>
          <w:rFonts w:cs="Arial"/>
          <w:b/>
          <w:bCs/>
        </w:rPr>
      </w:pPr>
      <w:r w:rsidRPr="00D326D4">
        <w:rPr>
          <w:rFonts w:cs="Arial"/>
          <w:b/>
          <w:bCs/>
        </w:rPr>
        <w:t>Children and young people’s mental health</w:t>
      </w:r>
    </w:p>
    <w:p w14:paraId="4DDE3473" w14:textId="19A112AD" w:rsidR="00DA6824" w:rsidRPr="00D326D4" w:rsidRDefault="00DA6824" w:rsidP="00DA6824">
      <w:pPr>
        <w:spacing w:after="0"/>
        <w:rPr>
          <w:rFonts w:cs="Arial"/>
        </w:rPr>
      </w:pPr>
      <w:r w:rsidRPr="00D326D4">
        <w:rPr>
          <w:rFonts w:cs="Arial"/>
        </w:rPr>
        <w:t xml:space="preserve">Mental Health Support Teams were sucessfully launced in Hull this year.  Over the last 12 months the service has been in development stage, with the team of Eductional Mental Health Practitioners (EMHPs) completing a post graduate diploma qualification, which incorporated placement opportunities at schools and colleges across the city. </w:t>
      </w:r>
    </w:p>
    <w:p w14:paraId="63FD5229" w14:textId="24DD9703" w:rsidR="007D1A04" w:rsidRPr="00D326D4" w:rsidRDefault="00DA6824" w:rsidP="00DA6824">
      <w:pPr>
        <w:spacing w:after="0"/>
        <w:rPr>
          <w:rFonts w:cs="Arial"/>
        </w:rPr>
      </w:pPr>
      <w:r w:rsidRPr="00D326D4">
        <w:rPr>
          <w:rFonts w:cs="Arial"/>
        </w:rPr>
        <w:t xml:space="preserve">The Mental Health Support Teams provide early intervention mental health and wellbeing support for children and young people aged 5-18 with mild to moderate needs, supporting with conditions </w:t>
      </w:r>
      <w:r w:rsidR="007D1A04" w:rsidRPr="00D326D4">
        <w:rPr>
          <w:rFonts w:cs="Arial"/>
        </w:rPr>
        <w:t>ranging across</w:t>
      </w:r>
      <w:r w:rsidRPr="00D326D4">
        <w:rPr>
          <w:rFonts w:cs="Arial"/>
        </w:rPr>
        <w:t xml:space="preserve"> generalised anxiety and low mood. The service delivers support to 35 education settings across Hull and this will continue to expand in years to come.</w:t>
      </w:r>
    </w:p>
    <w:p w14:paraId="0CF0963F" w14:textId="77777777" w:rsidR="006A2DC7" w:rsidRPr="00D326D4" w:rsidRDefault="006A2DC7" w:rsidP="006A2DC7">
      <w:pPr>
        <w:spacing w:before="0" w:after="0"/>
        <w:rPr>
          <w:rFonts w:cs="Arial"/>
        </w:rPr>
      </w:pPr>
    </w:p>
    <w:p w14:paraId="7D43472E" w14:textId="061C763C" w:rsidR="00DA6824" w:rsidRPr="00D326D4" w:rsidRDefault="00DA6824" w:rsidP="00DA6824">
      <w:pPr>
        <w:spacing w:before="0"/>
        <w:rPr>
          <w:rFonts w:cs="Arial"/>
        </w:rPr>
      </w:pPr>
      <w:r w:rsidRPr="00D326D4">
        <w:rPr>
          <w:rFonts w:cs="Arial"/>
        </w:rPr>
        <w:t xml:space="preserve">NHS Hull CCG has worked closely with health and social care providers in the city to ensure that young people with a mental illness have equal access to the most effective care and treatment and we have equally high aspirations for all our population regardless of their primary health care need.   The CCG continues to work closely with Hull City Council on the HeadStart Project which provided invaluable support to statutory services in delivering support to young people.   </w:t>
      </w:r>
    </w:p>
    <w:p w14:paraId="190E9BE9" w14:textId="147380DC" w:rsidR="00DA6824" w:rsidRPr="00D326D4" w:rsidRDefault="00DA6824" w:rsidP="00DA6824">
      <w:pPr>
        <w:rPr>
          <w:rFonts w:cs="Arial"/>
        </w:rPr>
      </w:pPr>
      <w:r w:rsidRPr="00D326D4">
        <w:rPr>
          <w:rFonts w:cs="Arial"/>
        </w:rPr>
        <w:t>The Mental Health Support Teams integrate into our already well established citywide Hull Thrive model and compl</w:t>
      </w:r>
      <w:r w:rsidR="007D1A04" w:rsidRPr="00D326D4">
        <w:rPr>
          <w:rFonts w:cs="Arial"/>
        </w:rPr>
        <w:t>e</w:t>
      </w:r>
      <w:r w:rsidRPr="00D326D4">
        <w:rPr>
          <w:rFonts w:cs="Arial"/>
        </w:rPr>
        <w:t>ment the many excellent teams and services to further enhance the early help and intervention offer.</w:t>
      </w:r>
      <w:r w:rsidR="007D1A04" w:rsidRPr="00D326D4">
        <w:rPr>
          <w:rFonts w:cs="Arial"/>
        </w:rPr>
        <w:t xml:space="preserve"> Find out more about our engagement work with young people on page </w:t>
      </w:r>
      <w:r w:rsidR="009E12C6" w:rsidRPr="00D326D4">
        <w:rPr>
          <w:rFonts w:cs="Arial"/>
        </w:rPr>
        <w:t>26</w:t>
      </w:r>
      <w:r w:rsidR="007D1A04" w:rsidRPr="00D326D4">
        <w:rPr>
          <w:rFonts w:cs="Arial"/>
        </w:rPr>
        <w:t>.</w:t>
      </w:r>
    </w:p>
    <w:p w14:paraId="4EA20BF7" w14:textId="77777777" w:rsidR="00A230BE" w:rsidRPr="00D326D4" w:rsidRDefault="00A230BE" w:rsidP="00DA6824">
      <w:pPr>
        <w:spacing w:after="0"/>
        <w:rPr>
          <w:rFonts w:cs="Arial"/>
          <w:b/>
          <w:bCs/>
        </w:rPr>
      </w:pPr>
    </w:p>
    <w:p w14:paraId="7AC3180A" w14:textId="77777777" w:rsidR="00A230BE" w:rsidRPr="00D326D4" w:rsidRDefault="00A230BE" w:rsidP="00DA6824">
      <w:pPr>
        <w:spacing w:after="0"/>
        <w:rPr>
          <w:rFonts w:cs="Arial"/>
          <w:b/>
          <w:bCs/>
        </w:rPr>
      </w:pPr>
    </w:p>
    <w:p w14:paraId="607FF835" w14:textId="39B1F2F9" w:rsidR="00DA6824" w:rsidRPr="00D326D4" w:rsidRDefault="00DA6824" w:rsidP="00DA6824">
      <w:pPr>
        <w:spacing w:after="0"/>
        <w:rPr>
          <w:rFonts w:cs="Arial"/>
          <w:b/>
          <w:bCs/>
          <w:color w:val="FF0000"/>
        </w:rPr>
      </w:pPr>
      <w:r w:rsidRPr="00D326D4">
        <w:rPr>
          <w:rFonts w:cs="Arial"/>
          <w:b/>
          <w:bCs/>
        </w:rPr>
        <w:t xml:space="preserve">Learning Disabilities </w:t>
      </w:r>
    </w:p>
    <w:p w14:paraId="2861FCCC" w14:textId="76C8AE60" w:rsidR="00DA6824" w:rsidRPr="00D326D4" w:rsidRDefault="00DA6824" w:rsidP="00DA6824">
      <w:pPr>
        <w:rPr>
          <w:rFonts w:cs="Arial"/>
        </w:rPr>
      </w:pPr>
      <w:r w:rsidRPr="00D326D4">
        <w:rPr>
          <w:rFonts w:cs="Arial"/>
        </w:rPr>
        <w:t xml:space="preserve">Hull has invested in, and recruited to, a Profound and Multiple Learning Disabilities Specialist Doctor who will specialise in treating patients under a two year trial. This new role aims to reduce the health inequalities between people with learning disabilities and those without. Throughout the pandemic Hull CCG has been focused on promoting and supporting the delivery of </w:t>
      </w:r>
      <w:r w:rsidR="00573067" w:rsidRPr="00D326D4">
        <w:rPr>
          <w:rFonts w:cs="Arial"/>
        </w:rPr>
        <w:t>A</w:t>
      </w:r>
      <w:r w:rsidRPr="00D326D4">
        <w:rPr>
          <w:rFonts w:cs="Arial"/>
        </w:rPr>
        <w:t xml:space="preserve">nnual </w:t>
      </w:r>
      <w:r w:rsidR="00573067" w:rsidRPr="00D326D4">
        <w:rPr>
          <w:rFonts w:cs="Arial"/>
        </w:rPr>
        <w:t>H</w:t>
      </w:r>
      <w:r w:rsidRPr="00D326D4">
        <w:rPr>
          <w:rFonts w:cs="Arial"/>
        </w:rPr>
        <w:t xml:space="preserve">ealth </w:t>
      </w:r>
      <w:r w:rsidR="00573067" w:rsidRPr="00D326D4">
        <w:rPr>
          <w:rFonts w:cs="Arial"/>
        </w:rPr>
        <w:t>C</w:t>
      </w:r>
      <w:r w:rsidRPr="00D326D4">
        <w:rPr>
          <w:rFonts w:cs="Arial"/>
        </w:rPr>
        <w:t xml:space="preserve">hecks for patients with </w:t>
      </w:r>
      <w:r w:rsidR="00573067" w:rsidRPr="00D326D4">
        <w:rPr>
          <w:rFonts w:cs="Arial"/>
        </w:rPr>
        <w:t>l</w:t>
      </w:r>
      <w:r w:rsidRPr="00D326D4">
        <w:rPr>
          <w:rFonts w:cs="Arial"/>
        </w:rPr>
        <w:t xml:space="preserve">earning </w:t>
      </w:r>
      <w:r w:rsidR="00573067" w:rsidRPr="00D326D4">
        <w:rPr>
          <w:rFonts w:cs="Arial"/>
        </w:rPr>
        <w:t>d</w:t>
      </w:r>
      <w:r w:rsidRPr="00D326D4">
        <w:rPr>
          <w:rFonts w:cs="Arial"/>
        </w:rPr>
        <w:t>isabilities.</w:t>
      </w:r>
    </w:p>
    <w:p w14:paraId="522BD508" w14:textId="77777777" w:rsidR="00DA6824" w:rsidRPr="00D326D4" w:rsidRDefault="00DA6824" w:rsidP="00DA6824">
      <w:pPr>
        <w:rPr>
          <w:rFonts w:cs="Arial"/>
        </w:rPr>
      </w:pPr>
      <w:r w:rsidRPr="00D326D4">
        <w:rPr>
          <w:rFonts w:cs="Arial"/>
        </w:rPr>
        <w:t>City Health Care Partnership CIC has put measures in place to ensure improved access for patients with LD and their carers for the vaccination programme. This includes makaton signs, easy read documents, support people on site specifically to assist people with different abilities, Annual Health Check booklets and communication boards.</w:t>
      </w:r>
    </w:p>
    <w:p w14:paraId="76987336" w14:textId="0C879729" w:rsidR="00DA6824" w:rsidRPr="00D326D4" w:rsidRDefault="00DA6824" w:rsidP="00DA6824">
      <w:pPr>
        <w:spacing w:after="0"/>
        <w:rPr>
          <w:rFonts w:cs="Arial"/>
          <w:b/>
          <w:bCs/>
        </w:rPr>
      </w:pPr>
      <w:r w:rsidRPr="00D326D4">
        <w:rPr>
          <w:rFonts w:cs="Arial"/>
          <w:b/>
          <w:bCs/>
        </w:rPr>
        <w:t xml:space="preserve">Adult </w:t>
      </w:r>
      <w:r w:rsidR="00573067" w:rsidRPr="00D326D4">
        <w:rPr>
          <w:rFonts w:cs="Arial"/>
          <w:b/>
          <w:bCs/>
        </w:rPr>
        <w:t>m</w:t>
      </w:r>
      <w:r w:rsidRPr="00D326D4">
        <w:rPr>
          <w:rFonts w:cs="Arial"/>
          <w:b/>
          <w:bCs/>
        </w:rPr>
        <w:t xml:space="preserve">ental </w:t>
      </w:r>
      <w:r w:rsidR="00573067" w:rsidRPr="00D326D4">
        <w:rPr>
          <w:rFonts w:cs="Arial"/>
          <w:b/>
          <w:bCs/>
        </w:rPr>
        <w:t>h</w:t>
      </w:r>
      <w:r w:rsidRPr="00D326D4">
        <w:rPr>
          <w:rFonts w:cs="Arial"/>
          <w:b/>
          <w:bCs/>
        </w:rPr>
        <w:t xml:space="preserve">ealth </w:t>
      </w:r>
    </w:p>
    <w:p w14:paraId="5188E09E" w14:textId="3A62E6E5" w:rsidR="00DA6824" w:rsidRPr="00D326D4" w:rsidRDefault="00DA6824" w:rsidP="00DA6824">
      <w:pPr>
        <w:pStyle w:val="ListParagraph"/>
        <w:ind w:left="0"/>
        <w:rPr>
          <w:rFonts w:cs="Arial"/>
        </w:rPr>
      </w:pPr>
      <w:r w:rsidRPr="00D326D4">
        <w:rPr>
          <w:rFonts w:cs="Arial"/>
        </w:rPr>
        <w:t xml:space="preserve">Hull and East Riding </w:t>
      </w:r>
      <w:r w:rsidR="00573067" w:rsidRPr="00D326D4">
        <w:rPr>
          <w:rFonts w:cs="Arial"/>
        </w:rPr>
        <w:t xml:space="preserve">of </w:t>
      </w:r>
      <w:r w:rsidRPr="00D326D4">
        <w:rPr>
          <w:rFonts w:cs="Arial"/>
        </w:rPr>
        <w:t>Yorkshire CCG</w:t>
      </w:r>
      <w:r w:rsidR="00573067" w:rsidRPr="00D326D4">
        <w:rPr>
          <w:rFonts w:cs="Arial"/>
        </w:rPr>
        <w:t>s</w:t>
      </w:r>
      <w:r w:rsidRPr="00D326D4">
        <w:rPr>
          <w:rFonts w:cs="Arial"/>
        </w:rPr>
        <w:t xml:space="preserve"> and Humber Teaching NHS Foundation </w:t>
      </w:r>
      <w:r w:rsidR="00DA5999" w:rsidRPr="00D326D4">
        <w:rPr>
          <w:rFonts w:cs="Arial"/>
        </w:rPr>
        <w:t xml:space="preserve">Trust </w:t>
      </w:r>
      <w:r w:rsidRPr="00D326D4">
        <w:rPr>
          <w:rFonts w:cs="Arial"/>
        </w:rPr>
        <w:t>are national leader</w:t>
      </w:r>
      <w:r w:rsidR="00DA5999" w:rsidRPr="00D326D4">
        <w:rPr>
          <w:rFonts w:cs="Arial"/>
        </w:rPr>
        <w:t>s</w:t>
      </w:r>
      <w:r w:rsidRPr="00D326D4">
        <w:rPr>
          <w:rFonts w:cs="Arial"/>
        </w:rPr>
        <w:t xml:space="preserve"> in the transformation of community mental health services, by moving community mental health services closer to primary care and introducing new roles </w:t>
      </w:r>
      <w:r w:rsidR="00DA5999" w:rsidRPr="00D326D4">
        <w:rPr>
          <w:rFonts w:cs="Arial"/>
        </w:rPr>
        <w:t xml:space="preserve">like </w:t>
      </w:r>
      <w:r w:rsidRPr="00D326D4">
        <w:rPr>
          <w:rFonts w:cs="Arial"/>
        </w:rPr>
        <w:t>peer support workers</w:t>
      </w:r>
      <w:r w:rsidR="00DA5999" w:rsidRPr="00D326D4">
        <w:rPr>
          <w:rFonts w:cs="Arial"/>
        </w:rPr>
        <w:t xml:space="preserve"> and </w:t>
      </w:r>
      <w:r w:rsidRPr="00D326D4">
        <w:rPr>
          <w:rFonts w:cs="Arial"/>
        </w:rPr>
        <w:t>wellbeing coaches</w:t>
      </w:r>
      <w:r w:rsidR="00DA5999" w:rsidRPr="00D326D4">
        <w:rPr>
          <w:rFonts w:cs="Arial"/>
        </w:rPr>
        <w:t>, in addition to</w:t>
      </w:r>
      <w:r w:rsidRPr="00D326D4">
        <w:rPr>
          <w:rFonts w:cs="Arial"/>
        </w:rPr>
        <w:t xml:space="preserve"> training new nurse associates to work with primary care networks. Work continues to recruit and integrate services across primary care and improve access for patients.   </w:t>
      </w:r>
    </w:p>
    <w:p w14:paraId="0B1DECF0" w14:textId="77777777" w:rsidR="00DA6824" w:rsidRPr="00D326D4" w:rsidRDefault="00DA6824" w:rsidP="00DA6824">
      <w:pPr>
        <w:pStyle w:val="ListParagraph"/>
        <w:ind w:left="0"/>
        <w:rPr>
          <w:rFonts w:cs="Arial"/>
        </w:rPr>
      </w:pPr>
    </w:p>
    <w:p w14:paraId="16175702" w14:textId="1839DAD4" w:rsidR="00DA6824" w:rsidRPr="00D326D4" w:rsidRDefault="00DA6824" w:rsidP="00DA6824">
      <w:pPr>
        <w:pStyle w:val="ListParagraph"/>
        <w:ind w:left="0"/>
        <w:rPr>
          <w:rFonts w:cs="Arial"/>
        </w:rPr>
      </w:pPr>
      <w:r w:rsidRPr="00D326D4">
        <w:rPr>
          <w:rFonts w:cs="Arial"/>
        </w:rPr>
        <w:t>Hull has focused on promoting and increasing access for annual health check for peo</w:t>
      </w:r>
      <w:r w:rsidR="006A2DC7" w:rsidRPr="00D326D4">
        <w:rPr>
          <w:rFonts w:cs="Arial"/>
        </w:rPr>
        <w:t>p</w:t>
      </w:r>
      <w:r w:rsidRPr="00D326D4">
        <w:rPr>
          <w:rFonts w:cs="Arial"/>
        </w:rPr>
        <w:t xml:space="preserve">le with severe mental ilness and a health action plan to ensure that some of our most vulnerable people have access to care. </w:t>
      </w:r>
    </w:p>
    <w:p w14:paraId="18719476" w14:textId="33F121E3" w:rsidR="00DA6824" w:rsidRPr="00D326D4" w:rsidRDefault="00DA6824" w:rsidP="00DA6824">
      <w:pPr>
        <w:rPr>
          <w:rFonts w:cs="Arial"/>
        </w:rPr>
      </w:pPr>
      <w:r w:rsidRPr="00D326D4">
        <w:rPr>
          <w:rFonts w:cs="Arial"/>
        </w:rPr>
        <w:t>The Let</w:t>
      </w:r>
      <w:r w:rsidR="006A2DC7" w:rsidRPr="00D326D4">
        <w:rPr>
          <w:rFonts w:cs="Arial"/>
        </w:rPr>
        <w:t>’</w:t>
      </w:r>
      <w:r w:rsidRPr="00D326D4">
        <w:rPr>
          <w:rFonts w:cs="Arial"/>
        </w:rPr>
        <w:t>s Talk Service</w:t>
      </w:r>
      <w:r w:rsidR="006A2DC7" w:rsidRPr="00D326D4">
        <w:rPr>
          <w:rFonts w:cs="Arial"/>
        </w:rPr>
        <w:t>,</w:t>
      </w:r>
      <w:r w:rsidRPr="00D326D4">
        <w:rPr>
          <w:rFonts w:cs="Arial"/>
        </w:rPr>
        <w:t xml:space="preserve"> delivered by City Health Care Partnership</w:t>
      </w:r>
      <w:r w:rsidR="006A2DC7" w:rsidRPr="00D326D4">
        <w:rPr>
          <w:rFonts w:cs="Arial"/>
        </w:rPr>
        <w:t>,</w:t>
      </w:r>
      <w:r w:rsidRPr="00D326D4">
        <w:rPr>
          <w:rFonts w:cs="Arial"/>
        </w:rPr>
        <w:t xml:space="preserve"> ha</w:t>
      </w:r>
      <w:r w:rsidR="00DA5999" w:rsidRPr="00D326D4">
        <w:rPr>
          <w:rFonts w:cs="Arial"/>
        </w:rPr>
        <w:t>s</w:t>
      </w:r>
      <w:r w:rsidRPr="00D326D4">
        <w:rPr>
          <w:rFonts w:cs="Arial"/>
        </w:rPr>
        <w:t xml:space="preserve"> continued to offer new ways to access their service</w:t>
      </w:r>
      <w:r w:rsidR="00DA5999" w:rsidRPr="00D326D4">
        <w:rPr>
          <w:rFonts w:cs="Arial"/>
        </w:rPr>
        <w:t>,</w:t>
      </w:r>
      <w:r w:rsidRPr="00D326D4">
        <w:rPr>
          <w:rFonts w:cs="Arial"/>
        </w:rPr>
        <w:t xml:space="preserve"> </w:t>
      </w:r>
      <w:r w:rsidR="00DA5999" w:rsidRPr="00D326D4">
        <w:rPr>
          <w:rFonts w:cs="Arial"/>
        </w:rPr>
        <w:t>including</w:t>
      </w:r>
      <w:r w:rsidRPr="00D326D4">
        <w:rPr>
          <w:rFonts w:cs="Arial"/>
        </w:rPr>
        <w:t xml:space="preserve"> virtual services as well as face to face appointments and online self-help services. </w:t>
      </w:r>
      <w:r w:rsidR="00DA5999" w:rsidRPr="00D326D4">
        <w:rPr>
          <w:rFonts w:cs="Arial"/>
        </w:rPr>
        <w:t>Let’s Talk</w:t>
      </w:r>
      <w:r w:rsidRPr="00D326D4">
        <w:rPr>
          <w:rFonts w:cs="Arial"/>
        </w:rPr>
        <w:t xml:space="preserve"> is working closely with primary care and partner organisations to support service users across the city including </w:t>
      </w:r>
      <w:r w:rsidR="00DA5999" w:rsidRPr="00D326D4">
        <w:rPr>
          <w:rFonts w:cs="Arial"/>
        </w:rPr>
        <w:t>v</w:t>
      </w:r>
      <w:r w:rsidRPr="00D326D4">
        <w:rPr>
          <w:rFonts w:cs="Arial"/>
        </w:rPr>
        <w:t>eterans, members of the LGBT</w:t>
      </w:r>
      <w:r w:rsidR="00DA5999" w:rsidRPr="00D326D4">
        <w:rPr>
          <w:rFonts w:cs="Arial"/>
        </w:rPr>
        <w:t>+</w:t>
      </w:r>
      <w:r w:rsidRPr="00D326D4">
        <w:rPr>
          <w:rFonts w:cs="Arial"/>
        </w:rPr>
        <w:t xml:space="preserve"> community</w:t>
      </w:r>
      <w:r w:rsidR="00DA5999" w:rsidRPr="00D326D4">
        <w:rPr>
          <w:rFonts w:cs="Arial"/>
        </w:rPr>
        <w:t>,</w:t>
      </w:r>
      <w:r w:rsidRPr="00D326D4">
        <w:rPr>
          <w:rFonts w:cs="Arial"/>
        </w:rPr>
        <w:t xml:space="preserve"> older adults and service users with long term conditions. </w:t>
      </w:r>
    </w:p>
    <w:p w14:paraId="58593733" w14:textId="77777777" w:rsidR="00DA6824" w:rsidRPr="00D326D4" w:rsidRDefault="00DA6824" w:rsidP="00DA6824">
      <w:pPr>
        <w:spacing w:after="0"/>
        <w:rPr>
          <w:rFonts w:cs="Arial"/>
          <w:b/>
        </w:rPr>
      </w:pPr>
      <w:r w:rsidRPr="00D326D4">
        <w:rPr>
          <w:rFonts w:cs="Arial"/>
          <w:b/>
        </w:rPr>
        <w:t xml:space="preserve">Dementia </w:t>
      </w:r>
    </w:p>
    <w:p w14:paraId="71A7928A" w14:textId="1EFFEFFB" w:rsidR="00DA6824" w:rsidRPr="00D326D4" w:rsidRDefault="00DA6824" w:rsidP="00DA6824">
      <w:pPr>
        <w:spacing w:before="0"/>
        <w:rPr>
          <w:rFonts w:cs="Arial"/>
        </w:rPr>
      </w:pPr>
      <w:r w:rsidRPr="00D326D4">
        <w:rPr>
          <w:rFonts w:cs="Arial"/>
        </w:rPr>
        <w:t>Humber Teaching NHS Foundation Trust</w:t>
      </w:r>
      <w:r w:rsidR="00DA5999" w:rsidRPr="00D326D4">
        <w:rPr>
          <w:rFonts w:cs="Arial"/>
        </w:rPr>
        <w:t>’s</w:t>
      </w:r>
      <w:r w:rsidRPr="00D326D4">
        <w:rPr>
          <w:rFonts w:cs="Arial"/>
        </w:rPr>
        <w:t xml:space="preserve"> Memory Assessment Service continue</w:t>
      </w:r>
      <w:r w:rsidR="00DA5999" w:rsidRPr="00D326D4">
        <w:rPr>
          <w:rFonts w:cs="Arial"/>
        </w:rPr>
        <w:t>s</w:t>
      </w:r>
      <w:r w:rsidRPr="00D326D4">
        <w:rPr>
          <w:rFonts w:cs="Arial"/>
        </w:rPr>
        <w:t xml:space="preserve"> to work </w:t>
      </w:r>
      <w:r w:rsidR="00DA5999" w:rsidRPr="00D326D4">
        <w:rPr>
          <w:rFonts w:cs="Arial"/>
        </w:rPr>
        <w:t>well</w:t>
      </w:r>
      <w:r w:rsidRPr="00D326D4">
        <w:rPr>
          <w:rFonts w:cs="Arial"/>
        </w:rPr>
        <w:t xml:space="preserve"> in partnership with Alzheimer’s Society, Carers Information Support Service (City Health Care Partnership) and Butterflies Memory Loss Group to support individuals post</w:t>
      </w:r>
      <w:r w:rsidR="00DA5999" w:rsidRPr="00D326D4">
        <w:rPr>
          <w:rFonts w:cs="Arial"/>
        </w:rPr>
        <w:t>-</w:t>
      </w:r>
      <w:r w:rsidRPr="00D326D4">
        <w:rPr>
          <w:rFonts w:cs="Arial"/>
        </w:rPr>
        <w:t>diagnosis.   The dementia diagnosis rate continues to meet the national target of 65%.</w:t>
      </w:r>
      <w:r w:rsidR="00DA5999" w:rsidRPr="00D326D4">
        <w:rPr>
          <w:rFonts w:cs="Arial"/>
        </w:rPr>
        <w:t xml:space="preserve"> </w:t>
      </w:r>
      <w:r w:rsidRPr="00D326D4">
        <w:rPr>
          <w:rFonts w:cs="Arial"/>
        </w:rPr>
        <w:t xml:space="preserve">Primary care </w:t>
      </w:r>
      <w:r w:rsidR="00DA5999" w:rsidRPr="00D326D4">
        <w:rPr>
          <w:rFonts w:cs="Arial"/>
        </w:rPr>
        <w:t xml:space="preserve">clinicians </w:t>
      </w:r>
      <w:r w:rsidRPr="00D326D4">
        <w:rPr>
          <w:rFonts w:cs="Arial"/>
        </w:rPr>
        <w:t xml:space="preserve">continue to review dementia care plans and provide ongoing support.  </w:t>
      </w:r>
      <w:r w:rsidR="00DA5999" w:rsidRPr="00D326D4">
        <w:rPr>
          <w:rFonts w:cs="Arial"/>
        </w:rPr>
        <w:t>The n</w:t>
      </w:r>
      <w:r w:rsidRPr="00D326D4">
        <w:rPr>
          <w:rFonts w:cs="Arial"/>
        </w:rPr>
        <w:t>umber of service users living with dementia continues to increase.</w:t>
      </w:r>
    </w:p>
    <w:p w14:paraId="09210A99" w14:textId="7D6C39CF" w:rsidR="00837C28" w:rsidRPr="00D326D4" w:rsidRDefault="00DA6824" w:rsidP="003536F6">
      <w:pPr>
        <w:rPr>
          <w:rFonts w:cs="Arial"/>
        </w:rPr>
      </w:pPr>
      <w:r w:rsidRPr="00D326D4">
        <w:rPr>
          <w:rFonts w:cs="Arial"/>
        </w:rPr>
        <w:t xml:space="preserve">Hull Dementia Collaborative </w:t>
      </w:r>
      <w:r w:rsidR="00DA5999" w:rsidRPr="00D326D4">
        <w:rPr>
          <w:rFonts w:cs="Arial"/>
        </w:rPr>
        <w:t xml:space="preserve">has </w:t>
      </w:r>
      <w:r w:rsidRPr="00D326D4">
        <w:rPr>
          <w:rFonts w:cs="Arial"/>
        </w:rPr>
        <w:t xml:space="preserve">recommenced </w:t>
      </w:r>
      <w:r w:rsidR="00DA5999" w:rsidRPr="00D326D4">
        <w:rPr>
          <w:rFonts w:cs="Arial"/>
        </w:rPr>
        <w:t xml:space="preserve">during 2021-22 </w:t>
      </w:r>
      <w:r w:rsidRPr="00D326D4">
        <w:rPr>
          <w:rFonts w:cs="Arial"/>
        </w:rPr>
        <w:t>and continues to foster partnership working across the city to support those living with</w:t>
      </w:r>
      <w:r w:rsidR="00DA5999" w:rsidRPr="00D326D4">
        <w:rPr>
          <w:rFonts w:cs="Arial"/>
        </w:rPr>
        <w:t>,</w:t>
      </w:r>
      <w:r w:rsidRPr="00D326D4">
        <w:rPr>
          <w:rFonts w:cs="Arial"/>
        </w:rPr>
        <w:t xml:space="preserve"> or supporting those with</w:t>
      </w:r>
      <w:r w:rsidR="00DA5999" w:rsidRPr="00D326D4">
        <w:rPr>
          <w:rFonts w:cs="Arial"/>
        </w:rPr>
        <w:t>,</w:t>
      </w:r>
      <w:r w:rsidRPr="00D326D4">
        <w:rPr>
          <w:rFonts w:cs="Arial"/>
        </w:rPr>
        <w:t xml:space="preserve"> dementia.   </w:t>
      </w:r>
      <w:bookmarkStart w:id="28" w:name="_Toc512957143"/>
    </w:p>
    <w:p w14:paraId="109E5F17" w14:textId="77777777" w:rsidR="003536F6" w:rsidRPr="00D326D4" w:rsidRDefault="003536F6" w:rsidP="003536F6">
      <w:pPr>
        <w:pStyle w:val="Heading3"/>
      </w:pPr>
      <w:bookmarkStart w:id="29" w:name="_Toc70332341"/>
      <w:bookmarkStart w:id="30" w:name="_Toc103695024"/>
      <w:r w:rsidRPr="00D326D4">
        <w:t>Integrated Delivery 2021-2</w:t>
      </w:r>
      <w:bookmarkEnd w:id="29"/>
      <w:r w:rsidRPr="00D326D4">
        <w:t>2</w:t>
      </w:r>
      <w:bookmarkEnd w:id="30"/>
      <w:r w:rsidRPr="00D326D4">
        <w:t xml:space="preserve"> </w:t>
      </w:r>
    </w:p>
    <w:p w14:paraId="26B2B113" w14:textId="7A74B442" w:rsidR="003536F6" w:rsidRPr="00D326D4" w:rsidRDefault="003536F6" w:rsidP="003536F6">
      <w:pPr>
        <w:rPr>
          <w:rFonts w:cs="Arial"/>
        </w:rPr>
      </w:pPr>
      <w:r w:rsidRPr="00D326D4">
        <w:rPr>
          <w:rFonts w:cs="Arial"/>
        </w:rPr>
        <w:t xml:space="preserve">The Jean Bishop Integrated Care Centre (ICC) has continued to be pivotal in the reactive and responsive care service provided to support the frail members of our community during the COVID-19 pandemic. The Frailty Transformation programme continues to be clinically led by the community geriatricians with support from the CCG and all key stakeholders. </w:t>
      </w:r>
    </w:p>
    <w:p w14:paraId="303FF6D4" w14:textId="77777777" w:rsidR="003536F6" w:rsidRPr="00D326D4" w:rsidRDefault="003536F6" w:rsidP="003536F6">
      <w:pPr>
        <w:rPr>
          <w:rFonts w:cs="Arial"/>
        </w:rPr>
      </w:pPr>
      <w:r w:rsidRPr="00D326D4">
        <w:rPr>
          <w:rFonts w:cs="Arial"/>
        </w:rPr>
        <w:t>The redesigned model, based on the principles of home first, right care, right place, patient choice, was sustained and continued to support risk stratified Integrated Comprehensive Geriatric Assessment (ICGA) and individualised care planning. with a focus on three key areas of focus:</w:t>
      </w:r>
    </w:p>
    <w:p w14:paraId="20ECDD16" w14:textId="46B57277" w:rsidR="003536F6" w:rsidRPr="00D326D4" w:rsidRDefault="003536F6" w:rsidP="0062761B">
      <w:pPr>
        <w:pStyle w:val="ListParagraph"/>
        <w:numPr>
          <w:ilvl w:val="0"/>
          <w:numId w:val="35"/>
        </w:numPr>
        <w:rPr>
          <w:rFonts w:cs="Arial"/>
        </w:rPr>
      </w:pPr>
      <w:r w:rsidRPr="00D326D4">
        <w:rPr>
          <w:rFonts w:cs="Arial"/>
        </w:rPr>
        <w:lastRenderedPageBreak/>
        <w:t>Maint</w:t>
      </w:r>
      <w:r w:rsidR="006A2DC7" w:rsidRPr="00D326D4">
        <w:rPr>
          <w:rFonts w:cs="Arial"/>
        </w:rPr>
        <w:t>ain</w:t>
      </w:r>
      <w:r w:rsidRPr="00D326D4">
        <w:rPr>
          <w:rFonts w:cs="Arial"/>
        </w:rPr>
        <w:t>ing anticipatory care assessments where possible respecting covid restrictions</w:t>
      </w:r>
    </w:p>
    <w:p w14:paraId="39EA6611" w14:textId="1BB61B92" w:rsidR="003536F6" w:rsidRPr="00D326D4" w:rsidRDefault="003536F6" w:rsidP="0062761B">
      <w:pPr>
        <w:pStyle w:val="ListParagraph"/>
        <w:numPr>
          <w:ilvl w:val="0"/>
          <w:numId w:val="35"/>
        </w:numPr>
        <w:rPr>
          <w:rFonts w:cs="Arial"/>
        </w:rPr>
      </w:pPr>
      <w:r w:rsidRPr="00D326D4">
        <w:rPr>
          <w:rFonts w:cs="Arial"/>
        </w:rPr>
        <w:t>Continued support to care homes across Hull and the East Rid</w:t>
      </w:r>
      <w:r w:rsidR="006A2DC7" w:rsidRPr="00D326D4">
        <w:rPr>
          <w:rFonts w:cs="Arial"/>
        </w:rPr>
        <w:t>i</w:t>
      </w:r>
      <w:r w:rsidRPr="00D326D4">
        <w:rPr>
          <w:rFonts w:cs="Arial"/>
        </w:rPr>
        <w:t>ng of Yorkshire to ensure that this population group had access to the level of specialist support needed to maintain health and minimise the need for hospital admissions when care could be supported within a community environment. This included support with covid outbreaks; palliative care support and supp</w:t>
      </w:r>
      <w:r w:rsidR="006A2DC7" w:rsidRPr="00D326D4">
        <w:rPr>
          <w:rFonts w:cs="Arial"/>
        </w:rPr>
        <w:t>o</w:t>
      </w:r>
      <w:r w:rsidRPr="00D326D4">
        <w:rPr>
          <w:rFonts w:cs="Arial"/>
        </w:rPr>
        <w:t>rt to manage indivdiuals discharged from hospital.</w:t>
      </w:r>
    </w:p>
    <w:p w14:paraId="705A622E" w14:textId="77777777" w:rsidR="003536F6" w:rsidRPr="00D326D4" w:rsidRDefault="003536F6" w:rsidP="0062761B">
      <w:pPr>
        <w:pStyle w:val="ListParagraph"/>
        <w:numPr>
          <w:ilvl w:val="0"/>
          <w:numId w:val="34"/>
        </w:numPr>
        <w:tabs>
          <w:tab w:val="clear" w:pos="2835"/>
          <w:tab w:val="clear" w:pos="5670"/>
          <w:tab w:val="clear" w:pos="9016"/>
        </w:tabs>
        <w:spacing w:before="0" w:after="160"/>
        <w:rPr>
          <w:rFonts w:cs="Arial"/>
          <w:bCs/>
        </w:rPr>
      </w:pPr>
      <w:r w:rsidRPr="00D326D4">
        <w:rPr>
          <w:rFonts w:cs="Arial"/>
        </w:rPr>
        <w:t xml:space="preserve">Telephone support line offering specialised advice and guidance supported by a rapid response frailty model including virtual triage/advice/guidance and aligned operational arrangements with </w:t>
      </w:r>
      <w:r w:rsidRPr="00D326D4">
        <w:rPr>
          <w:rFonts w:cs="Arial"/>
          <w:bCs/>
        </w:rPr>
        <w:t>Yorkshire Ambulance Service (YAS), Primary Care (GPs), Hull City Council and City Health Care Partnership CIC.</w:t>
      </w:r>
    </w:p>
    <w:p w14:paraId="56756DE7" w14:textId="344C7E31" w:rsidR="003536F6" w:rsidRPr="00D326D4" w:rsidRDefault="003536F6" w:rsidP="003536F6">
      <w:pPr>
        <w:rPr>
          <w:rFonts w:cs="Arial"/>
        </w:rPr>
      </w:pPr>
      <w:r w:rsidRPr="00D326D4">
        <w:rPr>
          <w:rFonts w:cs="Arial"/>
        </w:rPr>
        <w:t>In addition to the above</w:t>
      </w:r>
      <w:r w:rsidR="006A2DC7" w:rsidRPr="00D326D4">
        <w:rPr>
          <w:rFonts w:cs="Arial"/>
        </w:rPr>
        <w:t>,</w:t>
      </w:r>
      <w:r w:rsidRPr="00D326D4">
        <w:rPr>
          <w:rFonts w:cs="Arial"/>
        </w:rPr>
        <w:t xml:space="preserve"> the integrated frailty team were central to supporting the development and implementation of a two-hour crisis response service. This provides immediate triage of calls to a small response team assessing the individual in their own home or an alternative community based service who were better able to meet their needs. This initial response service is growing and becoming more established with an alternative triage service being put in place to expand the service offer to non-frail</w:t>
      </w:r>
      <w:r w:rsidR="00213923" w:rsidRPr="00D326D4">
        <w:rPr>
          <w:rFonts w:cs="Arial"/>
        </w:rPr>
        <w:t xml:space="preserve"> patients</w:t>
      </w:r>
      <w:r w:rsidRPr="00D326D4">
        <w:rPr>
          <w:rFonts w:cs="Arial"/>
        </w:rPr>
        <w:t>.</w:t>
      </w:r>
    </w:p>
    <w:p w14:paraId="428C04BB" w14:textId="0FEC8B2A" w:rsidR="003536F6" w:rsidRPr="00D326D4" w:rsidRDefault="003536F6" w:rsidP="00213923">
      <w:pPr>
        <w:rPr>
          <w:rFonts w:cs="Arial"/>
          <w:lang w:val="en"/>
        </w:rPr>
      </w:pPr>
      <w:r w:rsidRPr="00D326D4">
        <w:rPr>
          <w:rFonts w:cs="Arial"/>
        </w:rPr>
        <w:t xml:space="preserve">Overall, the system is now working in a better, more integrated way. </w:t>
      </w:r>
      <w:r w:rsidRPr="00D326D4">
        <w:rPr>
          <w:rFonts w:cs="Arial"/>
          <w:lang w:val="en"/>
        </w:rPr>
        <w:t>Indiv</w:t>
      </w:r>
      <w:r w:rsidR="00596663" w:rsidRPr="00D326D4">
        <w:rPr>
          <w:rFonts w:cs="Arial"/>
          <w:lang w:val="en"/>
        </w:rPr>
        <w:t>i</w:t>
      </w:r>
      <w:r w:rsidRPr="00D326D4">
        <w:rPr>
          <w:rFonts w:cs="Arial"/>
          <w:lang w:val="en"/>
        </w:rPr>
        <w:t>duals are being cared for in their preferred place of care as a direct result of the interventions of the frailty team and collaborative working, with evidence of better patient outcomes from closer working with paramedics.</w:t>
      </w:r>
    </w:p>
    <w:p w14:paraId="51BD4543" w14:textId="39FA5F63" w:rsidR="009B0C88" w:rsidRPr="00D326D4" w:rsidRDefault="009B0C88" w:rsidP="00EE78D3">
      <w:pPr>
        <w:shd w:val="clear" w:color="auto" w:fill="FFFFFF"/>
        <w:spacing w:after="0"/>
        <w:ind w:left="720"/>
        <w:textAlignment w:val="baseline"/>
        <w:rPr>
          <w:rFonts w:eastAsia="Times New Roman" w:cs="Arial"/>
          <w:b/>
          <w:bCs/>
        </w:rPr>
      </w:pPr>
      <w:r w:rsidRPr="00D326D4">
        <w:rPr>
          <w:rFonts w:eastAsia="Times New Roman" w:cs="Arial"/>
          <w:b/>
          <w:bCs/>
        </w:rPr>
        <w:t>Hull is centre for Parkinson</w:t>
      </w:r>
      <w:r w:rsidR="00596663" w:rsidRPr="00D326D4">
        <w:rPr>
          <w:rFonts w:eastAsia="Times New Roman" w:cs="Arial"/>
          <w:b/>
          <w:bCs/>
        </w:rPr>
        <w:t>’</w:t>
      </w:r>
      <w:r w:rsidRPr="00D326D4">
        <w:rPr>
          <w:rFonts w:eastAsia="Times New Roman" w:cs="Arial"/>
          <w:b/>
          <w:bCs/>
        </w:rPr>
        <w:t>s excellence</w:t>
      </w:r>
    </w:p>
    <w:p w14:paraId="642C91E3" w14:textId="15D59C14" w:rsidR="009B0C88" w:rsidRPr="00D326D4" w:rsidRDefault="009B0C88" w:rsidP="009B0C88">
      <w:pPr>
        <w:shd w:val="clear" w:color="auto" w:fill="FFFFFF"/>
        <w:spacing w:after="300"/>
        <w:ind w:left="720"/>
        <w:textAlignment w:val="baseline"/>
        <w:rPr>
          <w:rFonts w:eastAsia="Times New Roman" w:cs="Arial"/>
          <w:i/>
          <w:iCs/>
        </w:rPr>
      </w:pPr>
      <w:r w:rsidRPr="00D326D4">
        <w:rPr>
          <w:rFonts w:eastAsia="Times New Roman" w:cs="Arial"/>
          <w:i/>
          <w:iCs/>
        </w:rPr>
        <w:t>Doctors, nurses, therapists and social care staff working together to help people with Parkinson’s disease in Hull won two national awards for outstanding excellence in November 2021.</w:t>
      </w:r>
    </w:p>
    <w:p w14:paraId="1CE59605" w14:textId="20C84E7D" w:rsidR="009B0C88" w:rsidRPr="00D326D4" w:rsidRDefault="009B0C88" w:rsidP="009B0C88">
      <w:pPr>
        <w:shd w:val="clear" w:color="auto" w:fill="FFFFFF"/>
        <w:spacing w:after="300"/>
        <w:ind w:left="720"/>
        <w:textAlignment w:val="baseline"/>
        <w:rPr>
          <w:rFonts w:eastAsia="Times New Roman" w:cs="Arial"/>
          <w:i/>
          <w:iCs/>
        </w:rPr>
      </w:pPr>
      <w:r w:rsidRPr="00D326D4">
        <w:rPr>
          <w:rFonts w:eastAsia="Times New Roman" w:cs="Arial"/>
          <w:i/>
          <w:iCs/>
        </w:rPr>
        <w:t>UK Parkinson’s Excellence Network, supported by Parkinson’s UK,  presented its “Winner of Winners” award to the team from Hull University Teaching Hospitals (HUTH), City Health Care Partnership (CHCP) and Hull Clinical Commissioning Group (CCG) in recognition of their pioneering work.</w:t>
      </w:r>
    </w:p>
    <w:p w14:paraId="2EB90E84" w14:textId="77777777" w:rsidR="009B0C88" w:rsidRPr="00D326D4" w:rsidRDefault="009B0C88" w:rsidP="009B0C88">
      <w:pPr>
        <w:shd w:val="clear" w:color="auto" w:fill="FFFFFF"/>
        <w:spacing w:after="300"/>
        <w:ind w:left="720"/>
        <w:textAlignment w:val="baseline"/>
        <w:rPr>
          <w:rFonts w:eastAsia="Times New Roman" w:cs="Arial"/>
          <w:i/>
          <w:iCs/>
        </w:rPr>
      </w:pPr>
      <w:r w:rsidRPr="00D326D4">
        <w:rPr>
          <w:rFonts w:eastAsia="Times New Roman" w:cs="Arial"/>
          <w:i/>
          <w:iCs/>
        </w:rPr>
        <w:t>The team, based at the Jean Bishop Centre in East Hull, was also named winners of the “Innovation in Practice” by the network, which has 7,000 members and is seen as the driving force behind improvements in the care of people with Parkinson’s and frailty.</w:t>
      </w:r>
    </w:p>
    <w:p w14:paraId="0C6EA97C" w14:textId="3F77E209" w:rsidR="009B0C88" w:rsidRPr="00D326D4" w:rsidRDefault="009B0C88" w:rsidP="009B0C88">
      <w:pPr>
        <w:shd w:val="clear" w:color="auto" w:fill="FFFFFF"/>
        <w:spacing w:after="300"/>
        <w:ind w:left="720"/>
        <w:textAlignment w:val="baseline"/>
        <w:rPr>
          <w:rFonts w:eastAsia="Times New Roman" w:cs="Arial"/>
          <w:i/>
          <w:iCs/>
        </w:rPr>
      </w:pPr>
      <w:r w:rsidRPr="00D326D4">
        <w:rPr>
          <w:rFonts w:eastAsia="Times New Roman" w:cs="Arial"/>
          <w:i/>
          <w:iCs/>
        </w:rPr>
        <w:t>Consultant Geriatrician Dr Tom Mace, who leads the Hull team, said: “It’s testament to the hard work and dedication of everyone involved in creating a unique, innovative hub to help people with Parkinson’s and their families live well.</w:t>
      </w:r>
    </w:p>
    <w:p w14:paraId="2112AABB" w14:textId="232CAFB1" w:rsidR="009B0C88" w:rsidRPr="00D326D4" w:rsidRDefault="009B0C88" w:rsidP="009B0C88">
      <w:pPr>
        <w:shd w:val="clear" w:color="auto" w:fill="FFFFFF"/>
        <w:spacing w:after="300"/>
        <w:ind w:left="720"/>
        <w:textAlignment w:val="baseline"/>
        <w:rPr>
          <w:rFonts w:eastAsia="Times New Roman" w:cs="Arial"/>
          <w:i/>
          <w:iCs/>
        </w:rPr>
      </w:pPr>
      <w:r w:rsidRPr="00D326D4">
        <w:rPr>
          <w:rFonts w:eastAsia="Times New Roman" w:cs="Arial"/>
          <w:i/>
          <w:iCs/>
        </w:rPr>
        <w:t>“The integrated service makes tangible improvements in the quality of life for people and their carers. We work together to help people achieve their goals, ensure they feel supported and knowledgeable about their condition and reduce troubling symptoms and emergency hospital admissions.</w:t>
      </w:r>
    </w:p>
    <w:p w14:paraId="0407791C" w14:textId="6A8B8E4C" w:rsidR="00196831" w:rsidRPr="00D326D4" w:rsidRDefault="00A35113" w:rsidP="00B71FAD">
      <w:pPr>
        <w:pStyle w:val="Heading2"/>
        <w:rPr>
          <w:b w:val="0"/>
          <w:bCs w:val="0"/>
          <w:color w:val="auto"/>
          <w:sz w:val="20"/>
          <w:szCs w:val="20"/>
        </w:rPr>
      </w:pPr>
      <w:bookmarkStart w:id="31" w:name="_Toc103695025"/>
      <w:r w:rsidRPr="00D326D4">
        <w:t xml:space="preserve">Primary care in Hull </w:t>
      </w:r>
      <w:r w:rsidR="001B17E6" w:rsidRPr="00D326D4">
        <w:t>202</w:t>
      </w:r>
      <w:r w:rsidR="00814EAD" w:rsidRPr="00D326D4">
        <w:t>1</w:t>
      </w:r>
      <w:r w:rsidR="001B17E6" w:rsidRPr="00D326D4">
        <w:t>-2</w:t>
      </w:r>
      <w:r w:rsidR="00814EAD" w:rsidRPr="00D326D4">
        <w:t>2</w:t>
      </w:r>
      <w:bookmarkEnd w:id="31"/>
      <w:r w:rsidR="00510074" w:rsidRPr="00D326D4">
        <w:t xml:space="preserve"> </w:t>
      </w:r>
      <w:bookmarkEnd w:id="28"/>
    </w:p>
    <w:p w14:paraId="6D7AD7F5" w14:textId="77777777" w:rsidR="00B71FAD" w:rsidRPr="00D326D4" w:rsidRDefault="00B71FAD" w:rsidP="00B71FAD">
      <w:pPr>
        <w:rPr>
          <w:rFonts w:eastAsia="Times New Roman" w:cs="Arial"/>
        </w:rPr>
      </w:pPr>
      <w:r w:rsidRPr="00D326D4">
        <w:rPr>
          <w:rFonts w:eastAsia="Times New Roman" w:cs="Arial"/>
        </w:rPr>
        <w:t xml:space="preserve">2021-22 has been the third year of the five year framework for the GP contract which implements the commitments set out in the </w:t>
      </w:r>
      <w:r w:rsidRPr="00D326D4">
        <w:rPr>
          <w:rFonts w:eastAsia="Times New Roman" w:cs="Arial"/>
          <w:i/>
          <w:iCs/>
        </w:rPr>
        <w:t>The NHS Long Term Plan.</w:t>
      </w:r>
      <w:r w:rsidRPr="00D326D4">
        <w:rPr>
          <w:rFonts w:eastAsia="Times New Roman" w:cs="Arial"/>
        </w:rPr>
        <w:t xml:space="preserve"> </w:t>
      </w:r>
    </w:p>
    <w:p w14:paraId="1CBBCF70" w14:textId="77777777" w:rsidR="00B71FAD" w:rsidRPr="00D326D4" w:rsidRDefault="00B71FAD" w:rsidP="00B71FAD">
      <w:pPr>
        <w:rPr>
          <w:rFonts w:eastAsia="Times New Roman" w:cs="Arial"/>
        </w:rPr>
      </w:pPr>
      <w:r w:rsidRPr="00D326D4">
        <w:rPr>
          <w:rFonts w:eastAsia="Times New Roman" w:cs="Arial"/>
        </w:rPr>
        <w:t xml:space="preserve">Our 32 general practices have continued to work as part of five Primary Care Networks (PCNs) in Hull. Each PCN has a Clinical Director who provides strategic and clinical leadership to help support change </w:t>
      </w:r>
      <w:r w:rsidRPr="00D326D4">
        <w:rPr>
          <w:rFonts w:eastAsia="Times New Roman" w:cs="Arial"/>
        </w:rPr>
        <w:lastRenderedPageBreak/>
        <w:t xml:space="preserve">across primary and community health services. The Clinical Directors will be key roles within the developing Integrated Care System arrangements at Place in Hull. </w:t>
      </w:r>
    </w:p>
    <w:p w14:paraId="6C11B1DC" w14:textId="77777777" w:rsidR="00B71FAD" w:rsidRPr="00D326D4" w:rsidRDefault="00B71FAD" w:rsidP="00B71FAD">
      <w:pPr>
        <w:spacing w:after="0" w:line="240" w:lineRule="auto"/>
        <w:rPr>
          <w:rFonts w:eastAsia="Times New Roman" w:cs="Arial"/>
          <w:b/>
        </w:rPr>
      </w:pPr>
      <w:r w:rsidRPr="00D326D4">
        <w:rPr>
          <w:rFonts w:eastAsia="Times New Roman" w:cs="Arial"/>
          <w:b/>
        </w:rPr>
        <w:t>Hull Primary Care Networks 2021-22</w:t>
      </w:r>
    </w:p>
    <w:tbl>
      <w:tblPr>
        <w:tblpPr w:leftFromText="180" w:rightFromText="180" w:vertAnchor="text" w:horzAnchor="margin" w:tblpY="325"/>
        <w:tblW w:w="0" w:type="auto"/>
        <w:tblCellMar>
          <w:left w:w="0" w:type="dxa"/>
          <w:right w:w="0" w:type="dxa"/>
        </w:tblCellMar>
        <w:tblLook w:val="04A0" w:firstRow="1" w:lastRow="0" w:firstColumn="1" w:lastColumn="0" w:noHBand="0" w:noVBand="1"/>
      </w:tblPr>
      <w:tblGrid>
        <w:gridCol w:w="2160"/>
        <w:gridCol w:w="1197"/>
        <w:gridCol w:w="2421"/>
        <w:gridCol w:w="4292"/>
      </w:tblGrid>
      <w:tr w:rsidR="00B71FAD" w:rsidRPr="00D326D4" w14:paraId="422A69D1" w14:textId="77777777" w:rsidTr="00FE51A4">
        <w:trPr>
          <w:trHeight w:val="1109"/>
        </w:trPr>
        <w:tc>
          <w:tcPr>
            <w:tcW w:w="2160"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E12B45" w14:textId="77777777" w:rsidR="00B71FAD" w:rsidRPr="00D326D4" w:rsidRDefault="00B71FAD" w:rsidP="00FE51A4">
            <w:pPr>
              <w:spacing w:before="0" w:after="0" w:line="240" w:lineRule="auto"/>
              <w:rPr>
                <w:rFonts w:eastAsia="Times New Roman" w:cs="Arial"/>
                <w:b/>
                <w:bCs/>
              </w:rPr>
            </w:pPr>
            <w:r w:rsidRPr="00D326D4">
              <w:rPr>
                <w:rFonts w:eastAsia="Times New Roman" w:cs="Arial"/>
                <w:b/>
                <w:bCs/>
              </w:rPr>
              <w:t>PCN</w:t>
            </w:r>
          </w:p>
        </w:tc>
        <w:tc>
          <w:tcPr>
            <w:tcW w:w="1197"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tcPr>
          <w:p w14:paraId="4245FB10" w14:textId="77777777" w:rsidR="00B71FAD" w:rsidRPr="00D326D4" w:rsidRDefault="00B71FAD" w:rsidP="00FE51A4">
            <w:pPr>
              <w:spacing w:before="0" w:after="0" w:line="240" w:lineRule="auto"/>
              <w:rPr>
                <w:rFonts w:eastAsia="Calibri" w:cs="Arial"/>
                <w:b/>
                <w:bCs/>
                <w:lang w:eastAsia="en-US"/>
              </w:rPr>
            </w:pPr>
            <w:r w:rsidRPr="00D326D4">
              <w:rPr>
                <w:rFonts w:eastAsia="Times New Roman" w:cs="Arial"/>
                <w:b/>
                <w:bCs/>
              </w:rPr>
              <w:t>Number of practices</w:t>
            </w:r>
          </w:p>
        </w:tc>
        <w:tc>
          <w:tcPr>
            <w:tcW w:w="2421"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tcPr>
          <w:p w14:paraId="11BD7E8A" w14:textId="77777777" w:rsidR="00B71FAD" w:rsidRPr="00D326D4" w:rsidRDefault="00B71FAD" w:rsidP="00FE51A4">
            <w:pPr>
              <w:spacing w:before="0" w:after="0" w:line="240" w:lineRule="auto"/>
              <w:rPr>
                <w:rFonts w:eastAsia="Calibri" w:cs="Arial"/>
                <w:b/>
                <w:bCs/>
                <w:lang w:eastAsia="en-US"/>
              </w:rPr>
            </w:pPr>
            <w:r w:rsidRPr="00D326D4">
              <w:rPr>
                <w:rFonts w:eastAsia="Times New Roman" w:cs="Arial"/>
                <w:b/>
                <w:bCs/>
              </w:rPr>
              <w:t>Total patients (nearest 1,000)</w:t>
            </w:r>
          </w:p>
        </w:tc>
        <w:tc>
          <w:tcPr>
            <w:tcW w:w="4292"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tcPr>
          <w:p w14:paraId="2DAC32ED" w14:textId="77777777" w:rsidR="00B71FAD" w:rsidRPr="00D326D4" w:rsidRDefault="00B71FAD" w:rsidP="00FE51A4">
            <w:pPr>
              <w:spacing w:before="0" w:after="0" w:line="240" w:lineRule="auto"/>
              <w:rPr>
                <w:rFonts w:eastAsia="Calibri" w:cs="Arial"/>
                <w:b/>
                <w:bCs/>
                <w:lang w:eastAsia="en-US"/>
              </w:rPr>
            </w:pPr>
            <w:r w:rsidRPr="00D326D4">
              <w:rPr>
                <w:rFonts w:eastAsia="Times New Roman" w:cs="Arial"/>
                <w:b/>
                <w:bCs/>
              </w:rPr>
              <w:t>Clinical Director</w:t>
            </w:r>
          </w:p>
        </w:tc>
      </w:tr>
      <w:tr w:rsidR="00B71FAD" w:rsidRPr="00D326D4" w14:paraId="6D6167D7" w14:textId="77777777" w:rsidTr="00FE51A4">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A47D9" w14:textId="77777777" w:rsidR="00B71FAD" w:rsidRPr="00D326D4" w:rsidRDefault="00B71FAD" w:rsidP="00FE51A4">
            <w:pPr>
              <w:spacing w:before="0" w:after="0" w:line="240" w:lineRule="auto"/>
              <w:rPr>
                <w:rFonts w:eastAsia="Calibri" w:cs="Arial"/>
                <w:lang w:eastAsia="en-US"/>
              </w:rPr>
            </w:pPr>
            <w:r w:rsidRPr="00D326D4">
              <w:rPr>
                <w:rFonts w:eastAsia="Times New Roman" w:cs="Arial"/>
              </w:rPr>
              <w:t>Bevan Ltd</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14:paraId="21133044" w14:textId="77777777" w:rsidR="00B71FAD" w:rsidRPr="00D326D4" w:rsidRDefault="00B71FAD" w:rsidP="00FE51A4">
            <w:pPr>
              <w:spacing w:before="0" w:after="0" w:line="240" w:lineRule="auto"/>
              <w:rPr>
                <w:rFonts w:eastAsia="Calibri" w:cs="Arial"/>
                <w:lang w:eastAsia="en-US"/>
              </w:rPr>
            </w:pPr>
            <w:r w:rsidRPr="00D326D4">
              <w:rPr>
                <w:rFonts w:eastAsia="Times New Roman" w:cs="Arial"/>
              </w:rPr>
              <w:t>8</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14:paraId="782F71D9" w14:textId="77777777" w:rsidR="00B71FAD" w:rsidRPr="00D326D4" w:rsidRDefault="00B71FAD" w:rsidP="00FE51A4">
            <w:pPr>
              <w:spacing w:before="0" w:after="0" w:line="240" w:lineRule="auto"/>
              <w:rPr>
                <w:rFonts w:eastAsia="Calibri" w:cs="Arial"/>
                <w:lang w:eastAsia="en-US"/>
              </w:rPr>
            </w:pPr>
            <w:r w:rsidRPr="00D326D4">
              <w:rPr>
                <w:rFonts w:eastAsia="Times New Roman" w:cs="Arial"/>
              </w:rPr>
              <w:t>45,000</w:t>
            </w:r>
          </w:p>
        </w:tc>
        <w:tc>
          <w:tcPr>
            <w:tcW w:w="4292" w:type="dxa"/>
            <w:tcBorders>
              <w:top w:val="nil"/>
              <w:left w:val="nil"/>
              <w:bottom w:val="single" w:sz="8" w:space="0" w:color="auto"/>
              <w:right w:val="single" w:sz="8" w:space="0" w:color="auto"/>
            </w:tcBorders>
            <w:tcMar>
              <w:top w:w="0" w:type="dxa"/>
              <w:left w:w="108" w:type="dxa"/>
              <w:bottom w:w="0" w:type="dxa"/>
              <w:right w:w="108" w:type="dxa"/>
            </w:tcMar>
            <w:hideMark/>
          </w:tcPr>
          <w:p w14:paraId="4F2F872B" w14:textId="77777777" w:rsidR="00B71FAD" w:rsidRPr="00D326D4" w:rsidRDefault="00B71FAD" w:rsidP="00FE51A4">
            <w:pPr>
              <w:spacing w:before="0" w:after="0" w:line="240" w:lineRule="auto"/>
              <w:rPr>
                <w:rFonts w:eastAsia="Calibri" w:cs="Arial"/>
                <w:lang w:eastAsia="en-US"/>
              </w:rPr>
            </w:pPr>
            <w:r w:rsidRPr="00D326D4">
              <w:rPr>
                <w:rFonts w:eastAsia="Times New Roman" w:cs="Arial"/>
              </w:rPr>
              <w:t>Dr Scot Richardson</w:t>
            </w:r>
          </w:p>
        </w:tc>
      </w:tr>
      <w:tr w:rsidR="00B71FAD" w:rsidRPr="00D326D4" w14:paraId="7970EAF2" w14:textId="77777777" w:rsidTr="00FE51A4">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9A089" w14:textId="77777777" w:rsidR="00B71FAD" w:rsidRPr="00D326D4" w:rsidRDefault="00B71FAD" w:rsidP="00FE51A4">
            <w:pPr>
              <w:spacing w:before="0" w:after="0" w:line="240" w:lineRule="auto"/>
              <w:rPr>
                <w:rFonts w:eastAsia="Calibri" w:cs="Arial"/>
                <w:lang w:eastAsia="en-US"/>
              </w:rPr>
            </w:pPr>
            <w:r w:rsidRPr="00D326D4">
              <w:rPr>
                <w:rFonts w:eastAsia="Times New Roman" w:cs="Arial"/>
              </w:rPr>
              <w:t>Medicas</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14:paraId="53F0844E" w14:textId="77777777" w:rsidR="00B71FAD" w:rsidRPr="00D326D4" w:rsidRDefault="00B71FAD" w:rsidP="00FE51A4">
            <w:pPr>
              <w:spacing w:before="0" w:after="0" w:line="240" w:lineRule="auto"/>
              <w:rPr>
                <w:rFonts w:eastAsia="Calibri" w:cs="Arial"/>
                <w:lang w:eastAsia="en-US"/>
              </w:rPr>
            </w:pPr>
            <w:r w:rsidRPr="00D326D4">
              <w:rPr>
                <w:rFonts w:eastAsia="Times New Roman" w:cs="Arial"/>
              </w:rPr>
              <w:t>2</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14:paraId="4D108AB0" w14:textId="77777777" w:rsidR="00B71FAD" w:rsidRPr="00D326D4" w:rsidRDefault="00B71FAD" w:rsidP="00FE51A4">
            <w:pPr>
              <w:spacing w:before="0" w:after="0" w:line="240" w:lineRule="auto"/>
              <w:rPr>
                <w:rFonts w:eastAsia="Calibri" w:cs="Arial"/>
                <w:lang w:eastAsia="en-US"/>
              </w:rPr>
            </w:pPr>
            <w:r w:rsidRPr="00D326D4">
              <w:rPr>
                <w:rFonts w:eastAsia="Times New Roman" w:cs="Arial"/>
              </w:rPr>
              <w:t>45,000</w:t>
            </w:r>
          </w:p>
        </w:tc>
        <w:tc>
          <w:tcPr>
            <w:tcW w:w="4292" w:type="dxa"/>
            <w:tcBorders>
              <w:top w:val="nil"/>
              <w:left w:val="nil"/>
              <w:bottom w:val="single" w:sz="8" w:space="0" w:color="auto"/>
              <w:right w:val="single" w:sz="8" w:space="0" w:color="auto"/>
            </w:tcBorders>
            <w:tcMar>
              <w:top w:w="0" w:type="dxa"/>
              <w:left w:w="108" w:type="dxa"/>
              <w:bottom w:w="0" w:type="dxa"/>
              <w:right w:w="108" w:type="dxa"/>
            </w:tcMar>
            <w:hideMark/>
          </w:tcPr>
          <w:p w14:paraId="0EA5606D" w14:textId="77777777" w:rsidR="00B71FAD" w:rsidRPr="00D326D4" w:rsidRDefault="00B71FAD" w:rsidP="00FE51A4">
            <w:pPr>
              <w:spacing w:before="0" w:after="0" w:line="240" w:lineRule="auto"/>
              <w:rPr>
                <w:rFonts w:eastAsia="Calibri" w:cs="Arial"/>
                <w:lang w:eastAsia="en-US"/>
              </w:rPr>
            </w:pPr>
            <w:r w:rsidRPr="00D326D4">
              <w:rPr>
                <w:rFonts w:eastAsia="Times New Roman" w:cs="Arial"/>
              </w:rPr>
              <w:t>Dr Majid Abdulla</w:t>
            </w:r>
          </w:p>
        </w:tc>
      </w:tr>
      <w:tr w:rsidR="00B71FAD" w:rsidRPr="00D326D4" w14:paraId="7786F259" w14:textId="77777777" w:rsidTr="00FE51A4">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22C56" w14:textId="77777777" w:rsidR="00B71FAD" w:rsidRPr="00D326D4" w:rsidRDefault="00B71FAD" w:rsidP="00FE51A4">
            <w:pPr>
              <w:spacing w:before="0" w:after="0" w:line="240" w:lineRule="auto"/>
              <w:rPr>
                <w:rFonts w:eastAsia="Calibri" w:cs="Arial"/>
                <w:lang w:eastAsia="en-US"/>
              </w:rPr>
            </w:pPr>
            <w:r w:rsidRPr="00D326D4">
              <w:rPr>
                <w:rFonts w:eastAsia="Times New Roman" w:cs="Arial"/>
              </w:rPr>
              <w:t>Modality</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14:paraId="149BEB23" w14:textId="77777777" w:rsidR="00B71FAD" w:rsidRPr="00D326D4" w:rsidRDefault="00B71FAD" w:rsidP="00FE51A4">
            <w:pPr>
              <w:spacing w:before="0" w:after="0" w:line="240" w:lineRule="auto"/>
              <w:rPr>
                <w:rFonts w:eastAsia="Calibri" w:cs="Arial"/>
                <w:lang w:eastAsia="en-US"/>
              </w:rPr>
            </w:pPr>
            <w:r w:rsidRPr="00D326D4">
              <w:rPr>
                <w:rFonts w:eastAsia="Times New Roman" w:cs="Arial"/>
              </w:rPr>
              <w:t>5</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14:paraId="3C9855FD" w14:textId="77777777" w:rsidR="00B71FAD" w:rsidRPr="00D326D4" w:rsidRDefault="00B71FAD" w:rsidP="00FE51A4">
            <w:pPr>
              <w:spacing w:before="0" w:after="0" w:line="240" w:lineRule="auto"/>
              <w:rPr>
                <w:rFonts w:eastAsia="Calibri" w:cs="Arial"/>
                <w:lang w:eastAsia="en-US"/>
              </w:rPr>
            </w:pPr>
            <w:r w:rsidRPr="00D326D4">
              <w:rPr>
                <w:rFonts w:eastAsia="Times New Roman" w:cs="Arial"/>
              </w:rPr>
              <w:t>83,000</w:t>
            </w:r>
          </w:p>
        </w:tc>
        <w:tc>
          <w:tcPr>
            <w:tcW w:w="4292" w:type="dxa"/>
            <w:tcBorders>
              <w:top w:val="nil"/>
              <w:left w:val="nil"/>
              <w:bottom w:val="single" w:sz="8" w:space="0" w:color="auto"/>
              <w:right w:val="single" w:sz="8" w:space="0" w:color="auto"/>
            </w:tcBorders>
            <w:tcMar>
              <w:top w:w="0" w:type="dxa"/>
              <w:left w:w="108" w:type="dxa"/>
              <w:bottom w:w="0" w:type="dxa"/>
              <w:right w:w="108" w:type="dxa"/>
            </w:tcMar>
            <w:hideMark/>
          </w:tcPr>
          <w:p w14:paraId="3B278E32" w14:textId="77777777" w:rsidR="00B71FAD" w:rsidRPr="00D326D4" w:rsidRDefault="00B71FAD" w:rsidP="00FE51A4">
            <w:pPr>
              <w:spacing w:before="0" w:after="0" w:line="240" w:lineRule="auto"/>
              <w:rPr>
                <w:rFonts w:eastAsia="Calibri" w:cs="Arial"/>
                <w:lang w:eastAsia="en-US"/>
              </w:rPr>
            </w:pPr>
            <w:r w:rsidRPr="00D326D4">
              <w:rPr>
                <w:rFonts w:eastAsia="Times New Roman" w:cs="Arial"/>
              </w:rPr>
              <w:t>Dr Elizabeth Dobson</w:t>
            </w:r>
          </w:p>
        </w:tc>
      </w:tr>
      <w:tr w:rsidR="00B71FAD" w:rsidRPr="00D326D4" w14:paraId="08E83082" w14:textId="77777777" w:rsidTr="00FE51A4">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C268A" w14:textId="77777777" w:rsidR="00B71FAD" w:rsidRPr="00D326D4" w:rsidRDefault="00B71FAD" w:rsidP="00FE51A4">
            <w:pPr>
              <w:spacing w:before="0" w:after="0" w:line="240" w:lineRule="auto"/>
              <w:rPr>
                <w:rFonts w:eastAsia="Calibri" w:cs="Arial"/>
                <w:lang w:eastAsia="en-US"/>
              </w:rPr>
            </w:pPr>
            <w:r w:rsidRPr="00D326D4">
              <w:rPr>
                <w:rFonts w:eastAsia="Times New Roman" w:cs="Arial"/>
              </w:rPr>
              <w:t>Nexus</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14:paraId="602F2651" w14:textId="77777777" w:rsidR="00B71FAD" w:rsidRPr="00D326D4" w:rsidRDefault="00B71FAD" w:rsidP="00FE51A4">
            <w:pPr>
              <w:spacing w:before="0" w:after="0" w:line="240" w:lineRule="auto"/>
              <w:rPr>
                <w:rFonts w:eastAsia="Calibri" w:cs="Arial"/>
                <w:lang w:eastAsia="en-US"/>
              </w:rPr>
            </w:pPr>
            <w:r w:rsidRPr="00D326D4">
              <w:rPr>
                <w:rFonts w:eastAsia="Times New Roman" w:cs="Arial"/>
              </w:rPr>
              <w:t>9</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14:paraId="0BDDD562" w14:textId="77777777" w:rsidR="00B71FAD" w:rsidRPr="00D326D4" w:rsidRDefault="00B71FAD" w:rsidP="00FE51A4">
            <w:pPr>
              <w:spacing w:before="0" w:after="0" w:line="240" w:lineRule="auto"/>
              <w:rPr>
                <w:rFonts w:eastAsia="Calibri" w:cs="Arial"/>
                <w:lang w:eastAsia="en-US"/>
              </w:rPr>
            </w:pPr>
            <w:r w:rsidRPr="00D326D4">
              <w:rPr>
                <w:rFonts w:eastAsia="Times New Roman" w:cs="Arial"/>
              </w:rPr>
              <w:t>76,000</w:t>
            </w:r>
          </w:p>
        </w:tc>
        <w:tc>
          <w:tcPr>
            <w:tcW w:w="4292" w:type="dxa"/>
            <w:tcBorders>
              <w:top w:val="nil"/>
              <w:left w:val="nil"/>
              <w:bottom w:val="single" w:sz="8" w:space="0" w:color="auto"/>
              <w:right w:val="single" w:sz="8" w:space="0" w:color="auto"/>
            </w:tcBorders>
            <w:tcMar>
              <w:top w:w="0" w:type="dxa"/>
              <w:left w:w="108" w:type="dxa"/>
              <w:bottom w:w="0" w:type="dxa"/>
              <w:right w:w="108" w:type="dxa"/>
            </w:tcMar>
            <w:hideMark/>
          </w:tcPr>
          <w:p w14:paraId="584FCFEA" w14:textId="77777777" w:rsidR="00B71FAD" w:rsidRPr="00D326D4" w:rsidRDefault="00B71FAD" w:rsidP="00FE51A4">
            <w:pPr>
              <w:spacing w:before="0" w:after="0" w:line="240" w:lineRule="auto"/>
              <w:rPr>
                <w:rFonts w:eastAsia="Calibri" w:cs="Arial"/>
                <w:lang w:eastAsia="en-US"/>
              </w:rPr>
            </w:pPr>
            <w:r w:rsidRPr="00D326D4">
              <w:rPr>
                <w:rFonts w:eastAsia="Times New Roman" w:cs="Arial"/>
              </w:rPr>
              <w:t>Dr Laura Balouch/Dr Mark Findley</w:t>
            </w:r>
          </w:p>
        </w:tc>
      </w:tr>
      <w:tr w:rsidR="00B71FAD" w:rsidRPr="000B208F" w14:paraId="6022E679" w14:textId="77777777" w:rsidTr="00FE51A4">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99F4D" w14:textId="77777777" w:rsidR="00B71FAD" w:rsidRPr="00D326D4" w:rsidRDefault="00B71FAD" w:rsidP="00FE51A4">
            <w:pPr>
              <w:spacing w:before="0" w:after="0" w:line="240" w:lineRule="auto"/>
              <w:rPr>
                <w:rFonts w:eastAsia="Calibri" w:cs="Arial"/>
                <w:lang w:eastAsia="en-US"/>
              </w:rPr>
            </w:pPr>
            <w:r w:rsidRPr="00D326D4">
              <w:rPr>
                <w:rFonts w:eastAsia="Times New Roman" w:cs="Arial"/>
              </w:rPr>
              <w:t>Symphonie</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14:paraId="76813006" w14:textId="77777777" w:rsidR="00B71FAD" w:rsidRPr="00D326D4" w:rsidRDefault="00B71FAD" w:rsidP="00FE51A4">
            <w:pPr>
              <w:spacing w:before="0" w:after="0" w:line="240" w:lineRule="auto"/>
              <w:rPr>
                <w:rFonts w:eastAsia="Calibri" w:cs="Arial"/>
                <w:lang w:eastAsia="en-US"/>
              </w:rPr>
            </w:pPr>
            <w:r w:rsidRPr="00D326D4">
              <w:rPr>
                <w:rFonts w:eastAsia="Times New Roman" w:cs="Arial"/>
              </w:rPr>
              <w:t>8</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14:paraId="551C5B54" w14:textId="77777777" w:rsidR="00B71FAD" w:rsidRPr="00D326D4" w:rsidRDefault="00B71FAD" w:rsidP="00FE51A4">
            <w:pPr>
              <w:spacing w:before="0" w:after="0" w:line="240" w:lineRule="auto"/>
              <w:rPr>
                <w:rFonts w:eastAsia="Calibri" w:cs="Arial"/>
                <w:lang w:eastAsia="en-US"/>
              </w:rPr>
            </w:pPr>
            <w:r w:rsidRPr="00D326D4">
              <w:rPr>
                <w:rFonts w:eastAsia="Times New Roman" w:cs="Arial"/>
              </w:rPr>
              <w:t>54,000</w:t>
            </w:r>
          </w:p>
        </w:tc>
        <w:tc>
          <w:tcPr>
            <w:tcW w:w="4292" w:type="dxa"/>
            <w:tcBorders>
              <w:top w:val="nil"/>
              <w:left w:val="nil"/>
              <w:bottom w:val="single" w:sz="8" w:space="0" w:color="auto"/>
              <w:right w:val="single" w:sz="8" w:space="0" w:color="auto"/>
            </w:tcBorders>
            <w:tcMar>
              <w:top w:w="0" w:type="dxa"/>
              <w:left w:w="108" w:type="dxa"/>
              <w:bottom w:w="0" w:type="dxa"/>
              <w:right w:w="108" w:type="dxa"/>
            </w:tcMar>
            <w:hideMark/>
          </w:tcPr>
          <w:p w14:paraId="3BE876D0" w14:textId="77777777" w:rsidR="00B71FAD" w:rsidRPr="000B208F" w:rsidRDefault="00B71FAD" w:rsidP="00FE51A4">
            <w:pPr>
              <w:spacing w:before="0" w:after="0" w:line="240" w:lineRule="auto"/>
              <w:rPr>
                <w:rFonts w:eastAsia="Calibri" w:cs="Arial"/>
                <w:lang w:eastAsia="en-US"/>
              </w:rPr>
            </w:pPr>
            <w:r w:rsidRPr="00D326D4">
              <w:rPr>
                <w:rFonts w:eastAsia="Times New Roman" w:cs="Arial"/>
              </w:rPr>
              <w:t>Dr Kanan Pande</w:t>
            </w:r>
          </w:p>
        </w:tc>
      </w:tr>
    </w:tbl>
    <w:p w14:paraId="35F092CA" w14:textId="77777777" w:rsidR="00B71FAD" w:rsidRDefault="00B71FAD" w:rsidP="00B71FAD">
      <w:pPr>
        <w:spacing w:before="0" w:after="0"/>
        <w:rPr>
          <w:rFonts w:eastAsia="Times New Roman" w:cs="Arial"/>
        </w:rPr>
      </w:pPr>
    </w:p>
    <w:p w14:paraId="693C1943" w14:textId="77777777" w:rsidR="00B71FAD" w:rsidRDefault="00B71FAD" w:rsidP="00B71FAD">
      <w:pPr>
        <w:spacing w:before="0" w:after="0" w:line="240" w:lineRule="auto"/>
        <w:rPr>
          <w:rFonts w:eastAsia="Times New Roman" w:cs="Arial"/>
        </w:rPr>
      </w:pPr>
    </w:p>
    <w:p w14:paraId="41A1FCED" w14:textId="77777777" w:rsidR="00B71FAD" w:rsidRPr="00D614D2" w:rsidRDefault="00B71FAD" w:rsidP="00B71FAD">
      <w:pPr>
        <w:spacing w:before="0" w:after="0"/>
        <w:rPr>
          <w:rFonts w:eastAsia="Times New Roman" w:cs="Arial"/>
          <w:b/>
        </w:rPr>
      </w:pPr>
      <w:r w:rsidRPr="000B208F">
        <w:rPr>
          <w:rFonts w:eastAsia="Times New Roman" w:cs="Arial"/>
          <w:b/>
        </w:rPr>
        <w:t>Hull Primary Care Networks</w:t>
      </w:r>
      <w:r>
        <w:rPr>
          <w:rFonts w:eastAsia="Times New Roman" w:cs="Arial"/>
          <w:b/>
        </w:rPr>
        <w:t xml:space="preserve"> 2022-23</w:t>
      </w:r>
    </w:p>
    <w:p w14:paraId="7E70E4EA" w14:textId="77777777" w:rsidR="00B71FAD" w:rsidRPr="00B71FAD" w:rsidRDefault="00B71FAD" w:rsidP="00B71FAD">
      <w:pPr>
        <w:contextualSpacing/>
        <w:textAlignment w:val="baseline"/>
        <w:rPr>
          <w:rFonts w:ascii="Calibri" w:eastAsiaTheme="minorHAnsi" w:hAnsi="Calibri"/>
          <w:noProof w:val="0"/>
        </w:rPr>
      </w:pPr>
      <w:r w:rsidRPr="00FA67C6">
        <w:rPr>
          <w:color w:val="030303"/>
        </w:rPr>
        <w:t xml:space="preserve">Following lengthy discussions with some PCNs and practices by CCG, NHS England and LMC representatives, and following consideration </w:t>
      </w:r>
      <w:r w:rsidRPr="00B71FAD">
        <w:t>of proposals from three newly forming PCNs, the PCN configuration within Hull will be changing. NHS England has been advised of the changes and the CCG, NHS England and the LMC are providing support for transition and organisational development.</w:t>
      </w:r>
      <w:r w:rsidRPr="00B71FAD">
        <w:rPr>
          <w:rFonts w:ascii="Calibri" w:eastAsiaTheme="minorHAnsi" w:hAnsi="Calibri"/>
          <w:noProof w:val="0"/>
        </w:rPr>
        <w:t xml:space="preserve"> </w:t>
      </w:r>
      <w:r w:rsidRPr="00B71FAD">
        <w:t>There will therefore be seven PCNs in Hull from May 2022. Please see below:</w:t>
      </w:r>
    </w:p>
    <w:tbl>
      <w:tblPr>
        <w:tblpPr w:leftFromText="180" w:rightFromText="180" w:vertAnchor="text" w:horzAnchor="margin" w:tblpY="325"/>
        <w:tblW w:w="0" w:type="auto"/>
        <w:tblCellMar>
          <w:left w:w="0" w:type="dxa"/>
          <w:right w:w="0" w:type="dxa"/>
        </w:tblCellMar>
        <w:tblLook w:val="04A0" w:firstRow="1" w:lastRow="0" w:firstColumn="1" w:lastColumn="0" w:noHBand="0" w:noVBand="1"/>
      </w:tblPr>
      <w:tblGrid>
        <w:gridCol w:w="2160"/>
        <w:gridCol w:w="1197"/>
        <w:gridCol w:w="2421"/>
        <w:gridCol w:w="4292"/>
      </w:tblGrid>
      <w:tr w:rsidR="00B71FAD" w:rsidRPr="00B71FAD" w14:paraId="595995AA" w14:textId="77777777" w:rsidTr="00FE51A4">
        <w:trPr>
          <w:trHeight w:val="1109"/>
        </w:trPr>
        <w:tc>
          <w:tcPr>
            <w:tcW w:w="2160"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C0AD686" w14:textId="77777777" w:rsidR="00B71FAD" w:rsidRPr="00B71FAD" w:rsidRDefault="00B71FAD" w:rsidP="00FE51A4">
            <w:pPr>
              <w:spacing w:before="0" w:after="0" w:line="240" w:lineRule="auto"/>
              <w:rPr>
                <w:rFonts w:eastAsia="Times New Roman" w:cs="Arial"/>
                <w:b/>
                <w:bCs/>
              </w:rPr>
            </w:pPr>
            <w:r w:rsidRPr="00B71FAD">
              <w:rPr>
                <w:rFonts w:eastAsia="Times New Roman" w:cs="Arial"/>
                <w:b/>
                <w:bCs/>
              </w:rPr>
              <w:t>PCN</w:t>
            </w:r>
          </w:p>
        </w:tc>
        <w:tc>
          <w:tcPr>
            <w:tcW w:w="1197"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tcPr>
          <w:p w14:paraId="56D4B3B6" w14:textId="77777777" w:rsidR="00B71FAD" w:rsidRPr="00B71FAD" w:rsidRDefault="00B71FAD" w:rsidP="00FE51A4">
            <w:pPr>
              <w:spacing w:before="0" w:after="0" w:line="240" w:lineRule="auto"/>
              <w:rPr>
                <w:rFonts w:eastAsia="Calibri" w:cs="Arial"/>
                <w:b/>
                <w:bCs/>
                <w:lang w:eastAsia="en-US"/>
              </w:rPr>
            </w:pPr>
            <w:r w:rsidRPr="00B71FAD">
              <w:rPr>
                <w:rFonts w:eastAsia="Times New Roman" w:cs="Arial"/>
                <w:b/>
                <w:bCs/>
              </w:rPr>
              <w:t>Number of practices</w:t>
            </w:r>
          </w:p>
        </w:tc>
        <w:tc>
          <w:tcPr>
            <w:tcW w:w="2421"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tcPr>
          <w:p w14:paraId="38FF2F93" w14:textId="77777777" w:rsidR="00B71FAD" w:rsidRPr="00B71FAD" w:rsidRDefault="00B71FAD" w:rsidP="00FE51A4">
            <w:pPr>
              <w:spacing w:before="0" w:after="0" w:line="240" w:lineRule="auto"/>
              <w:rPr>
                <w:rFonts w:eastAsia="Calibri" w:cs="Arial"/>
                <w:b/>
                <w:bCs/>
                <w:lang w:eastAsia="en-US"/>
              </w:rPr>
            </w:pPr>
            <w:r w:rsidRPr="00B71FAD">
              <w:rPr>
                <w:rFonts w:eastAsia="Times New Roman" w:cs="Arial"/>
                <w:b/>
                <w:bCs/>
              </w:rPr>
              <w:t>Total patients (nearest 1,000)</w:t>
            </w:r>
          </w:p>
        </w:tc>
        <w:tc>
          <w:tcPr>
            <w:tcW w:w="4292"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tcPr>
          <w:p w14:paraId="30D0E7CE" w14:textId="77777777" w:rsidR="00B71FAD" w:rsidRPr="00B71FAD" w:rsidRDefault="00B71FAD" w:rsidP="00FE51A4">
            <w:pPr>
              <w:spacing w:before="0" w:after="0" w:line="240" w:lineRule="auto"/>
              <w:rPr>
                <w:rFonts w:eastAsia="Calibri" w:cs="Arial"/>
                <w:b/>
                <w:bCs/>
                <w:lang w:eastAsia="en-US"/>
              </w:rPr>
            </w:pPr>
            <w:r w:rsidRPr="00B71FAD">
              <w:rPr>
                <w:rFonts w:eastAsia="Times New Roman" w:cs="Arial"/>
                <w:b/>
                <w:bCs/>
              </w:rPr>
              <w:t>Clinical Director</w:t>
            </w:r>
          </w:p>
        </w:tc>
      </w:tr>
      <w:tr w:rsidR="00B71FAD" w:rsidRPr="00B71FAD" w14:paraId="336EA8A9" w14:textId="77777777" w:rsidTr="00FE51A4">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F6DB4" w14:textId="77777777" w:rsidR="00B71FAD" w:rsidRPr="00B71FAD" w:rsidRDefault="00B71FAD" w:rsidP="00FE51A4">
            <w:pPr>
              <w:spacing w:before="0" w:after="0" w:line="240" w:lineRule="auto"/>
              <w:rPr>
                <w:rFonts w:eastAsia="Calibri" w:cs="Arial"/>
                <w:lang w:eastAsia="en-US"/>
              </w:rPr>
            </w:pPr>
            <w:r w:rsidRPr="00B71FAD">
              <w:rPr>
                <w:rFonts w:eastAsia="Times New Roman" w:cs="Arial"/>
              </w:rPr>
              <w:t>Marmot</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14:paraId="1CB06F28" w14:textId="77777777" w:rsidR="00B71FAD" w:rsidRPr="00B71FAD" w:rsidRDefault="00B71FAD" w:rsidP="00FE51A4">
            <w:pPr>
              <w:spacing w:before="0" w:after="0" w:line="240" w:lineRule="auto"/>
              <w:rPr>
                <w:rFonts w:eastAsia="Calibri" w:cs="Arial"/>
                <w:lang w:eastAsia="en-US"/>
              </w:rPr>
            </w:pPr>
            <w:r w:rsidRPr="00B71FAD">
              <w:rPr>
                <w:rFonts w:eastAsia="Calibri" w:cs="Arial"/>
              </w:rPr>
              <w:t>4</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14:paraId="37A50010" w14:textId="77777777" w:rsidR="00B71FAD" w:rsidRPr="00B71FAD" w:rsidRDefault="00B71FAD" w:rsidP="00FE51A4">
            <w:pPr>
              <w:spacing w:before="0" w:after="0" w:line="240" w:lineRule="auto"/>
              <w:rPr>
                <w:rFonts w:eastAsia="Calibri" w:cs="Arial"/>
                <w:lang w:eastAsia="en-US"/>
              </w:rPr>
            </w:pPr>
            <w:r w:rsidRPr="00B71FAD">
              <w:rPr>
                <w:rFonts w:eastAsia="Times New Roman" w:cs="Arial"/>
              </w:rPr>
              <w:t>22,000</w:t>
            </w:r>
          </w:p>
        </w:tc>
        <w:tc>
          <w:tcPr>
            <w:tcW w:w="4292" w:type="dxa"/>
            <w:tcBorders>
              <w:top w:val="nil"/>
              <w:left w:val="nil"/>
              <w:bottom w:val="single" w:sz="8" w:space="0" w:color="auto"/>
              <w:right w:val="single" w:sz="8" w:space="0" w:color="auto"/>
            </w:tcBorders>
            <w:tcMar>
              <w:top w:w="0" w:type="dxa"/>
              <w:left w:w="108" w:type="dxa"/>
              <w:bottom w:w="0" w:type="dxa"/>
              <w:right w:w="108" w:type="dxa"/>
            </w:tcMar>
            <w:hideMark/>
          </w:tcPr>
          <w:p w14:paraId="500037EF" w14:textId="77777777" w:rsidR="00B71FAD" w:rsidRPr="00B71FAD" w:rsidRDefault="00B71FAD" w:rsidP="00FE51A4">
            <w:pPr>
              <w:spacing w:before="0" w:after="0" w:line="240" w:lineRule="auto"/>
              <w:rPr>
                <w:rFonts w:eastAsia="Calibri" w:cs="Arial"/>
                <w:lang w:eastAsia="en-US"/>
              </w:rPr>
            </w:pPr>
            <w:r w:rsidRPr="00B71FAD">
              <w:rPr>
                <w:rFonts w:eastAsia="Times New Roman" w:cs="Arial"/>
              </w:rPr>
              <w:t>Dr Scot Richardson</w:t>
            </w:r>
          </w:p>
        </w:tc>
      </w:tr>
      <w:tr w:rsidR="00B71FAD" w:rsidRPr="00B71FAD" w14:paraId="4FFA9FA5" w14:textId="77777777" w:rsidTr="00FE51A4">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493742" w14:textId="77777777" w:rsidR="00B71FAD" w:rsidRPr="00B71FAD" w:rsidRDefault="00B71FAD" w:rsidP="00FE51A4">
            <w:pPr>
              <w:spacing w:before="0" w:after="0" w:line="240" w:lineRule="auto"/>
              <w:rPr>
                <w:rFonts w:eastAsia="Calibri" w:cs="Arial"/>
                <w:lang w:eastAsia="en-US"/>
              </w:rPr>
            </w:pPr>
            <w:r w:rsidRPr="00B71FAD">
              <w:rPr>
                <w:rFonts w:eastAsia="Times New Roman" w:cs="Arial"/>
              </w:rPr>
              <w:t>HASP*</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14:paraId="0ED9ACFB" w14:textId="77777777" w:rsidR="00B71FAD" w:rsidRPr="00B71FAD" w:rsidRDefault="00B71FAD" w:rsidP="00FE51A4">
            <w:pPr>
              <w:spacing w:before="0" w:after="0" w:line="240" w:lineRule="auto"/>
              <w:rPr>
                <w:rFonts w:eastAsia="Calibri" w:cs="Arial"/>
                <w:lang w:eastAsia="en-US"/>
              </w:rPr>
            </w:pPr>
            <w:r w:rsidRPr="00B71FAD">
              <w:rPr>
                <w:rFonts w:eastAsia="Calibri" w:cs="Arial"/>
              </w:rPr>
              <w:t>5</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14:paraId="4FCDD008" w14:textId="77777777" w:rsidR="00B71FAD" w:rsidRPr="00B71FAD" w:rsidRDefault="00B71FAD" w:rsidP="00FE51A4">
            <w:pPr>
              <w:spacing w:before="0" w:after="0" w:line="240" w:lineRule="auto"/>
              <w:rPr>
                <w:rFonts w:eastAsia="Calibri" w:cs="Arial"/>
                <w:lang w:eastAsia="en-US"/>
              </w:rPr>
            </w:pPr>
            <w:r w:rsidRPr="00B71FAD">
              <w:rPr>
                <w:rFonts w:eastAsia="Times New Roman" w:cs="Arial"/>
              </w:rPr>
              <w:t>27,000</w:t>
            </w:r>
          </w:p>
        </w:tc>
        <w:tc>
          <w:tcPr>
            <w:tcW w:w="4292" w:type="dxa"/>
            <w:tcBorders>
              <w:top w:val="nil"/>
              <w:left w:val="nil"/>
              <w:bottom w:val="single" w:sz="8" w:space="0" w:color="auto"/>
              <w:right w:val="single" w:sz="8" w:space="0" w:color="auto"/>
            </w:tcBorders>
            <w:tcMar>
              <w:top w:w="0" w:type="dxa"/>
              <w:left w:w="108" w:type="dxa"/>
              <w:bottom w:w="0" w:type="dxa"/>
              <w:right w:w="108" w:type="dxa"/>
            </w:tcMar>
            <w:hideMark/>
          </w:tcPr>
          <w:p w14:paraId="25B29B40" w14:textId="77777777" w:rsidR="00B71FAD" w:rsidRPr="00B71FAD" w:rsidRDefault="00B71FAD" w:rsidP="00FE51A4">
            <w:pPr>
              <w:spacing w:before="0" w:after="0" w:line="240" w:lineRule="auto"/>
              <w:rPr>
                <w:rFonts w:eastAsia="Calibri" w:cs="Arial"/>
                <w:lang w:eastAsia="en-US"/>
              </w:rPr>
            </w:pPr>
            <w:r w:rsidRPr="00B71FAD">
              <w:rPr>
                <w:rFonts w:eastAsia="Calibri" w:cs="Arial"/>
                <w:lang w:eastAsia="en-US"/>
              </w:rPr>
              <w:t>Dr Monisha Singh</w:t>
            </w:r>
          </w:p>
        </w:tc>
      </w:tr>
      <w:tr w:rsidR="00B71FAD" w:rsidRPr="00B71FAD" w14:paraId="7F3B8F4F" w14:textId="77777777" w:rsidTr="00FE51A4">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CB5C06" w14:textId="77777777" w:rsidR="00B71FAD" w:rsidRPr="00B71FAD" w:rsidRDefault="00B71FAD" w:rsidP="00FE51A4">
            <w:pPr>
              <w:spacing w:before="0" w:after="0" w:line="240" w:lineRule="auto"/>
              <w:rPr>
                <w:rFonts w:eastAsia="Times New Roman" w:cs="Arial"/>
              </w:rPr>
            </w:pPr>
            <w:r w:rsidRPr="00B71FAD">
              <w:rPr>
                <w:rFonts w:eastAsia="Times New Roman" w:cs="Arial"/>
              </w:rPr>
              <w:t>Medicas</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0963F48" w14:textId="77777777" w:rsidR="00B71FAD" w:rsidRPr="00B71FAD" w:rsidRDefault="00B71FAD" w:rsidP="00FE51A4">
            <w:pPr>
              <w:spacing w:before="0" w:after="0" w:line="240" w:lineRule="auto"/>
              <w:rPr>
                <w:rFonts w:eastAsia="Times New Roman" w:cs="Arial"/>
              </w:rPr>
            </w:pPr>
            <w:r w:rsidRPr="00B71FAD">
              <w:rPr>
                <w:rFonts w:eastAsia="Times New Roman" w:cs="Arial"/>
              </w:rPr>
              <w:t>4</w:t>
            </w:r>
          </w:p>
        </w:tc>
        <w:tc>
          <w:tcPr>
            <w:tcW w:w="2421" w:type="dxa"/>
            <w:tcBorders>
              <w:top w:val="nil"/>
              <w:left w:val="nil"/>
              <w:bottom w:val="single" w:sz="8" w:space="0" w:color="auto"/>
              <w:right w:val="single" w:sz="8" w:space="0" w:color="auto"/>
            </w:tcBorders>
            <w:tcMar>
              <w:top w:w="0" w:type="dxa"/>
              <w:left w:w="108" w:type="dxa"/>
              <w:bottom w:w="0" w:type="dxa"/>
              <w:right w:w="108" w:type="dxa"/>
            </w:tcMar>
          </w:tcPr>
          <w:p w14:paraId="1F064C41" w14:textId="77777777" w:rsidR="00B71FAD" w:rsidRPr="00B71FAD" w:rsidRDefault="00B71FAD" w:rsidP="00FE51A4">
            <w:pPr>
              <w:spacing w:before="0" w:after="0" w:line="240" w:lineRule="auto"/>
              <w:rPr>
                <w:rFonts w:eastAsia="Times New Roman" w:cs="Arial"/>
              </w:rPr>
            </w:pPr>
            <w:r w:rsidRPr="00B71FAD">
              <w:rPr>
                <w:rFonts w:eastAsia="Times New Roman" w:cs="Arial"/>
              </w:rPr>
              <w:t>62,000</w:t>
            </w:r>
          </w:p>
        </w:tc>
        <w:tc>
          <w:tcPr>
            <w:tcW w:w="4292" w:type="dxa"/>
            <w:tcBorders>
              <w:top w:val="nil"/>
              <w:left w:val="nil"/>
              <w:bottom w:val="single" w:sz="8" w:space="0" w:color="auto"/>
              <w:right w:val="single" w:sz="8" w:space="0" w:color="auto"/>
            </w:tcBorders>
            <w:tcMar>
              <w:top w:w="0" w:type="dxa"/>
              <w:left w:w="108" w:type="dxa"/>
              <w:bottom w:w="0" w:type="dxa"/>
              <w:right w:w="108" w:type="dxa"/>
            </w:tcMar>
          </w:tcPr>
          <w:p w14:paraId="4FA81BB3" w14:textId="77777777" w:rsidR="00B71FAD" w:rsidRPr="00B71FAD" w:rsidRDefault="00B71FAD" w:rsidP="00FE51A4">
            <w:pPr>
              <w:spacing w:before="0" w:after="0" w:line="240" w:lineRule="auto"/>
              <w:rPr>
                <w:rFonts w:eastAsia="Times New Roman" w:cs="Arial"/>
              </w:rPr>
            </w:pPr>
            <w:r w:rsidRPr="00B71FAD">
              <w:rPr>
                <w:rFonts w:eastAsia="Times New Roman" w:cs="Arial"/>
              </w:rPr>
              <w:t>Dr Majid Abdulla</w:t>
            </w:r>
          </w:p>
        </w:tc>
      </w:tr>
      <w:tr w:rsidR="00B71FAD" w:rsidRPr="00B71FAD" w14:paraId="4C41E76F" w14:textId="77777777" w:rsidTr="00FE51A4">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5B3CD" w14:textId="77777777" w:rsidR="00B71FAD" w:rsidRPr="00B71FAD" w:rsidRDefault="00B71FAD" w:rsidP="00FE51A4">
            <w:pPr>
              <w:spacing w:before="0" w:after="0" w:line="240" w:lineRule="auto"/>
              <w:rPr>
                <w:rFonts w:eastAsia="Calibri" w:cs="Arial"/>
                <w:lang w:eastAsia="en-US"/>
              </w:rPr>
            </w:pPr>
            <w:r w:rsidRPr="00B71FAD">
              <w:rPr>
                <w:rFonts w:eastAsia="Times New Roman" w:cs="Arial"/>
              </w:rPr>
              <w:t>Modality</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14:paraId="2EFF7ABE" w14:textId="77777777" w:rsidR="00B71FAD" w:rsidRPr="00B71FAD" w:rsidRDefault="00B71FAD" w:rsidP="00FE51A4">
            <w:pPr>
              <w:spacing w:before="0" w:after="0" w:line="240" w:lineRule="auto"/>
              <w:rPr>
                <w:rFonts w:eastAsia="Calibri" w:cs="Arial"/>
                <w:lang w:eastAsia="en-US"/>
              </w:rPr>
            </w:pPr>
            <w:r w:rsidRPr="00B71FAD">
              <w:rPr>
                <w:rFonts w:eastAsia="Times New Roman" w:cs="Arial"/>
              </w:rPr>
              <w:t>1</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14:paraId="1A149880" w14:textId="77777777" w:rsidR="00B71FAD" w:rsidRPr="00B71FAD" w:rsidRDefault="00B71FAD" w:rsidP="00FE51A4">
            <w:pPr>
              <w:spacing w:before="0" w:after="0" w:line="240" w:lineRule="auto"/>
              <w:rPr>
                <w:rFonts w:eastAsia="Calibri" w:cs="Arial"/>
                <w:lang w:eastAsia="en-US"/>
              </w:rPr>
            </w:pPr>
            <w:r w:rsidRPr="00B71FAD">
              <w:rPr>
                <w:rFonts w:eastAsia="Times New Roman" w:cs="Arial"/>
              </w:rPr>
              <w:t>57,000</w:t>
            </w:r>
          </w:p>
        </w:tc>
        <w:tc>
          <w:tcPr>
            <w:tcW w:w="4292" w:type="dxa"/>
            <w:tcBorders>
              <w:top w:val="nil"/>
              <w:left w:val="nil"/>
              <w:bottom w:val="single" w:sz="8" w:space="0" w:color="auto"/>
              <w:right w:val="single" w:sz="8" w:space="0" w:color="auto"/>
            </w:tcBorders>
            <w:tcMar>
              <w:top w:w="0" w:type="dxa"/>
              <w:left w:w="108" w:type="dxa"/>
              <w:bottom w:w="0" w:type="dxa"/>
              <w:right w:w="108" w:type="dxa"/>
            </w:tcMar>
            <w:hideMark/>
          </w:tcPr>
          <w:p w14:paraId="232B394C" w14:textId="77777777" w:rsidR="00B71FAD" w:rsidRPr="00B71FAD" w:rsidRDefault="00B71FAD" w:rsidP="00FE51A4">
            <w:pPr>
              <w:spacing w:before="0" w:after="0" w:line="240" w:lineRule="auto"/>
              <w:rPr>
                <w:rFonts w:eastAsia="Calibri" w:cs="Arial"/>
                <w:lang w:eastAsia="en-US"/>
              </w:rPr>
            </w:pPr>
            <w:r w:rsidRPr="00B71FAD">
              <w:rPr>
                <w:rFonts w:eastAsia="Times New Roman" w:cs="Arial"/>
              </w:rPr>
              <w:t>Dr Elizabeth Dobson</w:t>
            </w:r>
          </w:p>
        </w:tc>
      </w:tr>
      <w:tr w:rsidR="00B71FAD" w:rsidRPr="00B71FAD" w14:paraId="4EE77239" w14:textId="77777777" w:rsidTr="00FE51A4">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86A77" w14:textId="77777777" w:rsidR="00B71FAD" w:rsidRPr="00B71FAD" w:rsidRDefault="00B71FAD" w:rsidP="00FE51A4">
            <w:pPr>
              <w:spacing w:before="0" w:after="0" w:line="240" w:lineRule="auto"/>
              <w:rPr>
                <w:rFonts w:eastAsia="Times New Roman" w:cs="Arial"/>
              </w:rPr>
            </w:pPr>
            <w:r w:rsidRPr="00B71FAD">
              <w:rPr>
                <w:rFonts w:eastAsia="Times New Roman" w:cs="Arial"/>
              </w:rPr>
              <w:t>Venn</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35F9023E" w14:textId="77777777" w:rsidR="00B71FAD" w:rsidRPr="00B71FAD" w:rsidRDefault="00B71FAD" w:rsidP="00FE51A4">
            <w:pPr>
              <w:spacing w:before="0" w:after="0" w:line="240" w:lineRule="auto"/>
              <w:rPr>
                <w:rFonts w:eastAsia="Times New Roman" w:cs="Arial"/>
              </w:rPr>
            </w:pPr>
            <w:r w:rsidRPr="00B71FAD">
              <w:rPr>
                <w:rFonts w:eastAsia="Times New Roman" w:cs="Arial"/>
              </w:rPr>
              <w:t>7</w:t>
            </w:r>
          </w:p>
        </w:tc>
        <w:tc>
          <w:tcPr>
            <w:tcW w:w="2421" w:type="dxa"/>
            <w:tcBorders>
              <w:top w:val="nil"/>
              <w:left w:val="nil"/>
              <w:bottom w:val="single" w:sz="8" w:space="0" w:color="auto"/>
              <w:right w:val="single" w:sz="8" w:space="0" w:color="auto"/>
            </w:tcBorders>
            <w:tcMar>
              <w:top w:w="0" w:type="dxa"/>
              <w:left w:w="108" w:type="dxa"/>
              <w:bottom w:w="0" w:type="dxa"/>
              <w:right w:w="108" w:type="dxa"/>
            </w:tcMar>
          </w:tcPr>
          <w:p w14:paraId="2CD7C20B" w14:textId="77777777" w:rsidR="00B71FAD" w:rsidRPr="00B71FAD" w:rsidRDefault="00B71FAD" w:rsidP="00FE51A4">
            <w:pPr>
              <w:spacing w:before="0" w:after="0" w:line="240" w:lineRule="auto"/>
              <w:rPr>
                <w:rFonts w:eastAsia="Times New Roman" w:cs="Arial"/>
              </w:rPr>
            </w:pPr>
            <w:r w:rsidRPr="00B71FAD">
              <w:rPr>
                <w:rFonts w:eastAsia="Times New Roman" w:cs="Arial"/>
              </w:rPr>
              <w:t>50,000</w:t>
            </w:r>
          </w:p>
        </w:tc>
        <w:tc>
          <w:tcPr>
            <w:tcW w:w="4292" w:type="dxa"/>
            <w:tcBorders>
              <w:top w:val="nil"/>
              <w:left w:val="nil"/>
              <w:bottom w:val="single" w:sz="8" w:space="0" w:color="auto"/>
              <w:right w:val="single" w:sz="8" w:space="0" w:color="auto"/>
            </w:tcBorders>
            <w:tcMar>
              <w:top w:w="0" w:type="dxa"/>
              <w:left w:w="108" w:type="dxa"/>
              <w:bottom w:w="0" w:type="dxa"/>
              <w:right w:w="108" w:type="dxa"/>
            </w:tcMar>
          </w:tcPr>
          <w:p w14:paraId="6C3BD857" w14:textId="77777777" w:rsidR="00B71FAD" w:rsidRPr="00B71FAD" w:rsidRDefault="00B71FAD" w:rsidP="00FE51A4">
            <w:pPr>
              <w:spacing w:before="0" w:after="0" w:line="240" w:lineRule="auto"/>
              <w:rPr>
                <w:rFonts w:eastAsia="Times New Roman" w:cs="Arial"/>
              </w:rPr>
            </w:pPr>
            <w:r w:rsidRPr="00B71FAD">
              <w:rPr>
                <w:rFonts w:eastAsia="Times New Roman" w:cs="Arial"/>
              </w:rPr>
              <w:t>Dr Amy Oehring</w:t>
            </w:r>
          </w:p>
        </w:tc>
      </w:tr>
      <w:tr w:rsidR="00B71FAD" w:rsidRPr="00B71FAD" w14:paraId="6A428057" w14:textId="77777777" w:rsidTr="00FE51A4">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15CED9" w14:textId="77777777" w:rsidR="00B71FAD" w:rsidRPr="00B71FAD" w:rsidRDefault="00B71FAD" w:rsidP="00FE51A4">
            <w:pPr>
              <w:spacing w:before="0" w:after="0" w:line="240" w:lineRule="auto"/>
              <w:rPr>
                <w:rFonts w:eastAsia="Calibri" w:cs="Arial"/>
                <w:lang w:eastAsia="en-US"/>
              </w:rPr>
            </w:pPr>
            <w:r w:rsidRPr="00B71FAD">
              <w:rPr>
                <w:rFonts w:eastAsia="Times New Roman" w:cs="Arial"/>
              </w:rPr>
              <w:t>Haxby</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14:paraId="7FAD2203" w14:textId="77777777" w:rsidR="00B71FAD" w:rsidRPr="00B71FAD" w:rsidRDefault="00B71FAD" w:rsidP="00FE51A4">
            <w:pPr>
              <w:spacing w:before="0" w:after="0" w:line="240" w:lineRule="auto"/>
              <w:rPr>
                <w:rFonts w:eastAsia="Calibri" w:cs="Arial"/>
                <w:lang w:eastAsia="en-US"/>
              </w:rPr>
            </w:pPr>
            <w:r w:rsidRPr="00B71FAD">
              <w:rPr>
                <w:rFonts w:eastAsia="Calibri" w:cs="Arial"/>
                <w:lang w:eastAsia="en-US"/>
              </w:rPr>
              <w:t>3</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14:paraId="2FFEBC5C" w14:textId="77777777" w:rsidR="00B71FAD" w:rsidRPr="00B71FAD" w:rsidRDefault="00B71FAD" w:rsidP="00FE51A4">
            <w:pPr>
              <w:spacing w:before="0" w:after="0" w:line="240" w:lineRule="auto"/>
              <w:rPr>
                <w:rFonts w:eastAsia="Calibri" w:cs="Arial"/>
                <w:lang w:eastAsia="en-US"/>
              </w:rPr>
            </w:pPr>
            <w:r w:rsidRPr="00B71FAD">
              <w:rPr>
                <w:rFonts w:eastAsia="Calibri" w:cs="Arial"/>
                <w:lang w:eastAsia="en-US"/>
              </w:rPr>
              <w:t>33,000</w:t>
            </w:r>
          </w:p>
        </w:tc>
        <w:tc>
          <w:tcPr>
            <w:tcW w:w="4292" w:type="dxa"/>
            <w:tcBorders>
              <w:top w:val="nil"/>
              <w:left w:val="nil"/>
              <w:bottom w:val="single" w:sz="8" w:space="0" w:color="auto"/>
              <w:right w:val="single" w:sz="8" w:space="0" w:color="auto"/>
            </w:tcBorders>
            <w:tcMar>
              <w:top w:w="0" w:type="dxa"/>
              <w:left w:w="108" w:type="dxa"/>
              <w:bottom w:w="0" w:type="dxa"/>
              <w:right w:w="108" w:type="dxa"/>
            </w:tcMar>
            <w:hideMark/>
          </w:tcPr>
          <w:p w14:paraId="5A8CE538" w14:textId="77777777" w:rsidR="00B71FAD" w:rsidRPr="00B71FAD" w:rsidRDefault="00B71FAD" w:rsidP="00FE51A4">
            <w:pPr>
              <w:spacing w:before="0" w:after="0" w:line="240" w:lineRule="auto"/>
              <w:rPr>
                <w:rFonts w:eastAsia="Calibri" w:cs="Arial"/>
                <w:lang w:eastAsia="en-US"/>
              </w:rPr>
            </w:pPr>
            <w:r w:rsidRPr="00B71FAD">
              <w:rPr>
                <w:rFonts w:eastAsia="Times New Roman" w:cs="Arial"/>
              </w:rPr>
              <w:t>Dr Laura Balouch</w:t>
            </w:r>
          </w:p>
        </w:tc>
      </w:tr>
      <w:tr w:rsidR="00B71FAD" w:rsidRPr="00B71FAD" w14:paraId="4AEF4117" w14:textId="77777777" w:rsidTr="00FE51A4">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27222" w14:textId="77777777" w:rsidR="00B71FAD" w:rsidRPr="00B71FAD" w:rsidRDefault="00B71FAD" w:rsidP="00FE51A4">
            <w:pPr>
              <w:spacing w:before="0" w:after="0" w:line="240" w:lineRule="auto"/>
              <w:rPr>
                <w:rFonts w:eastAsia="Calibri" w:cs="Arial"/>
                <w:lang w:eastAsia="en-US"/>
              </w:rPr>
            </w:pPr>
            <w:r w:rsidRPr="00B71FAD">
              <w:rPr>
                <w:rFonts w:eastAsia="Times New Roman" w:cs="Arial"/>
              </w:rPr>
              <w:t>Symphonie</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14:paraId="542144BD" w14:textId="77777777" w:rsidR="00B71FAD" w:rsidRPr="00B71FAD" w:rsidRDefault="00B71FAD" w:rsidP="00FE51A4">
            <w:pPr>
              <w:spacing w:before="0" w:after="0" w:line="240" w:lineRule="auto"/>
              <w:rPr>
                <w:rFonts w:eastAsia="Calibri" w:cs="Arial"/>
                <w:lang w:eastAsia="en-US"/>
              </w:rPr>
            </w:pPr>
            <w:r w:rsidRPr="00B71FAD">
              <w:rPr>
                <w:rFonts w:eastAsia="Times New Roman" w:cs="Arial"/>
              </w:rPr>
              <w:t>8</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14:paraId="1B56DDF4" w14:textId="77777777" w:rsidR="00B71FAD" w:rsidRPr="00B71FAD" w:rsidRDefault="00B71FAD" w:rsidP="00FE51A4">
            <w:pPr>
              <w:spacing w:before="0" w:after="0" w:line="240" w:lineRule="auto"/>
              <w:rPr>
                <w:rFonts w:eastAsia="Calibri" w:cs="Arial"/>
                <w:lang w:eastAsia="en-US"/>
              </w:rPr>
            </w:pPr>
            <w:r w:rsidRPr="00B71FAD">
              <w:rPr>
                <w:rFonts w:eastAsia="Times New Roman" w:cs="Arial"/>
              </w:rPr>
              <w:t>55,000</w:t>
            </w:r>
          </w:p>
        </w:tc>
        <w:tc>
          <w:tcPr>
            <w:tcW w:w="4292" w:type="dxa"/>
            <w:tcBorders>
              <w:top w:val="nil"/>
              <w:left w:val="nil"/>
              <w:bottom w:val="single" w:sz="8" w:space="0" w:color="auto"/>
              <w:right w:val="single" w:sz="8" w:space="0" w:color="auto"/>
            </w:tcBorders>
            <w:tcMar>
              <w:top w:w="0" w:type="dxa"/>
              <w:left w:w="108" w:type="dxa"/>
              <w:bottom w:w="0" w:type="dxa"/>
              <w:right w:w="108" w:type="dxa"/>
            </w:tcMar>
            <w:hideMark/>
          </w:tcPr>
          <w:p w14:paraId="6E8DA491" w14:textId="77777777" w:rsidR="00B71FAD" w:rsidRPr="00B71FAD" w:rsidRDefault="00B71FAD" w:rsidP="00FE51A4">
            <w:pPr>
              <w:spacing w:before="0" w:after="0" w:line="240" w:lineRule="auto"/>
              <w:rPr>
                <w:rFonts w:eastAsia="Calibri" w:cs="Arial"/>
                <w:lang w:eastAsia="en-US"/>
              </w:rPr>
            </w:pPr>
            <w:r w:rsidRPr="00B71FAD">
              <w:rPr>
                <w:rFonts w:eastAsia="Times New Roman" w:cs="Arial"/>
              </w:rPr>
              <w:t>Dr Kanan Pande</w:t>
            </w:r>
          </w:p>
        </w:tc>
      </w:tr>
    </w:tbl>
    <w:p w14:paraId="57A0F748" w14:textId="77777777" w:rsidR="00B71FAD" w:rsidRPr="00B71FAD" w:rsidRDefault="00B71FAD" w:rsidP="00B71FAD">
      <w:pPr>
        <w:rPr>
          <w:sz w:val="18"/>
          <w:szCs w:val="18"/>
        </w:rPr>
      </w:pPr>
      <w:r w:rsidRPr="00B71FAD">
        <w:rPr>
          <w:sz w:val="18"/>
          <w:szCs w:val="18"/>
        </w:rPr>
        <w:t xml:space="preserve">*Hull Association of Similar Practices (HASP) </w:t>
      </w:r>
    </w:p>
    <w:p w14:paraId="4FA5883F" w14:textId="77777777" w:rsidR="00FA67C6" w:rsidRPr="00FA67C6" w:rsidRDefault="00FA67C6" w:rsidP="00886A57">
      <w:pPr>
        <w:rPr>
          <w:rFonts w:eastAsia="Times New Roman" w:cs="Arial"/>
          <w:b/>
          <w:bCs/>
        </w:rPr>
      </w:pPr>
      <w:r w:rsidRPr="00FA67C6">
        <w:rPr>
          <w:rFonts w:eastAsia="Times New Roman" w:cs="Arial"/>
          <w:b/>
          <w:bCs/>
        </w:rPr>
        <w:t>The wider practice clinical team</w:t>
      </w:r>
    </w:p>
    <w:p w14:paraId="6419F7DA" w14:textId="58870A5D" w:rsidR="00886A57" w:rsidRPr="000B208F" w:rsidRDefault="00886A57" w:rsidP="00886A57">
      <w:pPr>
        <w:rPr>
          <w:rFonts w:eastAsia="Times New Roman" w:cs="Arial"/>
        </w:rPr>
      </w:pPr>
      <w:r w:rsidRPr="000B208F">
        <w:rPr>
          <w:rFonts w:eastAsia="Times New Roman" w:cs="Arial"/>
        </w:rPr>
        <w:t xml:space="preserve">The </w:t>
      </w:r>
      <w:r>
        <w:rPr>
          <w:rFonts w:eastAsia="Times New Roman" w:cs="Arial"/>
        </w:rPr>
        <w:t xml:space="preserve">GP </w:t>
      </w:r>
      <w:r w:rsidRPr="000B208F">
        <w:rPr>
          <w:rFonts w:eastAsia="Times New Roman" w:cs="Arial"/>
        </w:rPr>
        <w:t xml:space="preserve">contract provides resource to support PCNs </w:t>
      </w:r>
      <w:r>
        <w:rPr>
          <w:rFonts w:eastAsia="Times New Roman" w:cs="Arial"/>
        </w:rPr>
        <w:t xml:space="preserve">to </w:t>
      </w:r>
      <w:r w:rsidRPr="000B208F">
        <w:rPr>
          <w:rFonts w:eastAsia="Times New Roman" w:cs="Arial"/>
        </w:rPr>
        <w:t>appoint additional workforce throughout the period to 2023</w:t>
      </w:r>
      <w:r>
        <w:rPr>
          <w:rFonts w:eastAsia="Times New Roman" w:cs="Arial"/>
        </w:rPr>
        <w:t>-</w:t>
      </w:r>
      <w:r w:rsidRPr="000B208F">
        <w:rPr>
          <w:rFonts w:eastAsia="Times New Roman" w:cs="Arial"/>
        </w:rPr>
        <w:t>24. In 202</w:t>
      </w:r>
      <w:r>
        <w:rPr>
          <w:rFonts w:eastAsia="Times New Roman" w:cs="Arial"/>
        </w:rPr>
        <w:t>1-</w:t>
      </w:r>
      <w:r w:rsidRPr="000B208F">
        <w:rPr>
          <w:rFonts w:eastAsia="Times New Roman" w:cs="Arial"/>
        </w:rPr>
        <w:t>2</w:t>
      </w:r>
      <w:r>
        <w:rPr>
          <w:rFonts w:eastAsia="Times New Roman" w:cs="Arial"/>
        </w:rPr>
        <w:t>2</w:t>
      </w:r>
      <w:r w:rsidRPr="000B208F">
        <w:rPr>
          <w:rFonts w:eastAsia="Times New Roman" w:cs="Arial"/>
        </w:rPr>
        <w:t xml:space="preserve"> PCNs in Hull </w:t>
      </w:r>
      <w:r>
        <w:rPr>
          <w:rFonts w:eastAsia="Times New Roman" w:cs="Arial"/>
        </w:rPr>
        <w:t xml:space="preserve">continued to expand the number of </w:t>
      </w:r>
      <w:r w:rsidRPr="000B208F">
        <w:rPr>
          <w:rFonts w:eastAsia="Times New Roman" w:cs="Arial"/>
        </w:rPr>
        <w:t xml:space="preserve">additonal roles </w:t>
      </w:r>
      <w:r>
        <w:rPr>
          <w:rFonts w:eastAsia="Times New Roman" w:cs="Arial"/>
        </w:rPr>
        <w:t xml:space="preserve">working in primary care </w:t>
      </w:r>
      <w:r w:rsidRPr="000B208F">
        <w:rPr>
          <w:rFonts w:eastAsia="Times New Roman" w:cs="Arial"/>
        </w:rPr>
        <w:t xml:space="preserve">including </w:t>
      </w:r>
      <w:r w:rsidR="00A7438A">
        <w:rPr>
          <w:rFonts w:eastAsia="Times New Roman" w:cs="Arial"/>
        </w:rPr>
        <w:t>c</w:t>
      </w:r>
      <w:r w:rsidRPr="000B208F">
        <w:rPr>
          <w:rFonts w:eastAsia="Times New Roman" w:cs="Arial"/>
        </w:rPr>
        <w:t xml:space="preserve">linical </w:t>
      </w:r>
      <w:r w:rsidR="00A7438A">
        <w:rPr>
          <w:rFonts w:eastAsia="Times New Roman" w:cs="Arial"/>
        </w:rPr>
        <w:t>p</w:t>
      </w:r>
      <w:r w:rsidRPr="000B208F">
        <w:rPr>
          <w:rFonts w:eastAsia="Times New Roman" w:cs="Arial"/>
        </w:rPr>
        <w:t xml:space="preserve">harmacists, </w:t>
      </w:r>
      <w:r w:rsidR="00A7438A">
        <w:rPr>
          <w:rFonts w:eastAsia="Times New Roman" w:cs="Arial"/>
        </w:rPr>
        <w:t>p</w:t>
      </w:r>
      <w:r w:rsidRPr="000B208F">
        <w:rPr>
          <w:rFonts w:eastAsia="Times New Roman" w:cs="Arial"/>
        </w:rPr>
        <w:t xml:space="preserve">harmacy </w:t>
      </w:r>
      <w:r w:rsidR="00A7438A">
        <w:rPr>
          <w:rFonts w:eastAsia="Times New Roman" w:cs="Arial"/>
        </w:rPr>
        <w:t>t</w:t>
      </w:r>
      <w:r w:rsidRPr="000B208F">
        <w:rPr>
          <w:rFonts w:eastAsia="Times New Roman" w:cs="Arial"/>
        </w:rPr>
        <w:t xml:space="preserve">echnicians, </w:t>
      </w:r>
      <w:r w:rsidR="00A7438A">
        <w:rPr>
          <w:rFonts w:eastAsia="Times New Roman" w:cs="Arial"/>
        </w:rPr>
        <w:t>s</w:t>
      </w:r>
      <w:r w:rsidRPr="000B208F">
        <w:rPr>
          <w:rFonts w:eastAsia="Times New Roman" w:cs="Arial"/>
        </w:rPr>
        <w:t xml:space="preserve">ocial </w:t>
      </w:r>
      <w:r w:rsidR="00A7438A">
        <w:rPr>
          <w:rFonts w:eastAsia="Times New Roman" w:cs="Arial"/>
        </w:rPr>
        <w:t>p</w:t>
      </w:r>
      <w:r w:rsidRPr="000B208F">
        <w:rPr>
          <w:rFonts w:eastAsia="Times New Roman" w:cs="Arial"/>
        </w:rPr>
        <w:t xml:space="preserve">rescribing </w:t>
      </w:r>
      <w:r w:rsidR="00A7438A">
        <w:rPr>
          <w:rFonts w:eastAsia="Times New Roman" w:cs="Arial"/>
        </w:rPr>
        <w:t>l</w:t>
      </w:r>
      <w:r w:rsidRPr="000B208F">
        <w:rPr>
          <w:rFonts w:eastAsia="Times New Roman" w:cs="Arial"/>
        </w:rPr>
        <w:t xml:space="preserve">ink </w:t>
      </w:r>
      <w:r w:rsidR="00A7438A">
        <w:rPr>
          <w:rFonts w:eastAsia="Times New Roman" w:cs="Arial"/>
        </w:rPr>
        <w:t>w</w:t>
      </w:r>
      <w:r w:rsidRPr="000B208F">
        <w:rPr>
          <w:rFonts w:eastAsia="Times New Roman" w:cs="Arial"/>
        </w:rPr>
        <w:t xml:space="preserve">orkers, </w:t>
      </w:r>
      <w:r w:rsidR="00A7438A">
        <w:rPr>
          <w:rFonts w:eastAsia="Times New Roman" w:cs="Arial"/>
        </w:rPr>
        <w:t>n</w:t>
      </w:r>
      <w:r w:rsidRPr="000B208F">
        <w:rPr>
          <w:rFonts w:eastAsia="Times New Roman" w:cs="Arial"/>
        </w:rPr>
        <w:t xml:space="preserve">urse </w:t>
      </w:r>
      <w:r w:rsidR="00A7438A">
        <w:rPr>
          <w:rFonts w:eastAsia="Times New Roman" w:cs="Arial"/>
        </w:rPr>
        <w:t>t</w:t>
      </w:r>
      <w:r w:rsidRPr="000B208F">
        <w:rPr>
          <w:rFonts w:eastAsia="Times New Roman" w:cs="Arial"/>
        </w:rPr>
        <w:t xml:space="preserve">raining </w:t>
      </w:r>
      <w:r w:rsidR="00A7438A">
        <w:rPr>
          <w:rFonts w:eastAsia="Times New Roman" w:cs="Arial"/>
        </w:rPr>
        <w:t>a</w:t>
      </w:r>
      <w:r w:rsidRPr="000B208F">
        <w:rPr>
          <w:rFonts w:eastAsia="Times New Roman" w:cs="Arial"/>
        </w:rPr>
        <w:t xml:space="preserve">ssociates, </w:t>
      </w:r>
      <w:r w:rsidR="00A7438A">
        <w:rPr>
          <w:rFonts w:eastAsia="Times New Roman" w:cs="Arial"/>
        </w:rPr>
        <w:t>f</w:t>
      </w:r>
      <w:r w:rsidRPr="000B208F">
        <w:rPr>
          <w:rFonts w:eastAsia="Times New Roman" w:cs="Arial"/>
        </w:rPr>
        <w:t xml:space="preserve">irst </w:t>
      </w:r>
      <w:r w:rsidR="00A7438A">
        <w:rPr>
          <w:rFonts w:eastAsia="Times New Roman" w:cs="Arial"/>
        </w:rPr>
        <w:t>c</w:t>
      </w:r>
      <w:r w:rsidRPr="000B208F">
        <w:rPr>
          <w:rFonts w:eastAsia="Times New Roman" w:cs="Arial"/>
        </w:rPr>
        <w:t xml:space="preserve">ontact </w:t>
      </w:r>
      <w:r w:rsidR="00A7438A">
        <w:rPr>
          <w:rFonts w:eastAsia="Times New Roman" w:cs="Arial"/>
        </w:rPr>
        <w:t>p</w:t>
      </w:r>
      <w:r w:rsidRPr="000B208F">
        <w:rPr>
          <w:rFonts w:eastAsia="Times New Roman" w:cs="Arial"/>
        </w:rPr>
        <w:t xml:space="preserve">hysiotherapists, </w:t>
      </w:r>
      <w:r w:rsidR="00A7438A">
        <w:rPr>
          <w:rFonts w:eastAsia="Times New Roman" w:cs="Arial"/>
        </w:rPr>
        <w:t>p</w:t>
      </w:r>
      <w:r w:rsidRPr="000B208F">
        <w:rPr>
          <w:rFonts w:eastAsia="Times New Roman" w:cs="Arial"/>
        </w:rPr>
        <w:t xml:space="preserve">hysician </w:t>
      </w:r>
      <w:r w:rsidR="00A7438A">
        <w:rPr>
          <w:rFonts w:eastAsia="Times New Roman" w:cs="Arial"/>
        </w:rPr>
        <w:t>a</w:t>
      </w:r>
      <w:r w:rsidRPr="000B208F">
        <w:rPr>
          <w:rFonts w:eastAsia="Times New Roman" w:cs="Arial"/>
        </w:rPr>
        <w:t xml:space="preserve">ssociates, </w:t>
      </w:r>
      <w:r w:rsidR="00A7438A">
        <w:rPr>
          <w:rFonts w:eastAsia="Times New Roman" w:cs="Arial"/>
        </w:rPr>
        <w:t>h</w:t>
      </w:r>
      <w:r w:rsidRPr="000B208F">
        <w:rPr>
          <w:rFonts w:eastAsia="Times New Roman" w:cs="Arial"/>
        </w:rPr>
        <w:t>ealth</w:t>
      </w:r>
      <w:r>
        <w:rPr>
          <w:rFonts w:eastAsia="Times New Roman" w:cs="Arial"/>
        </w:rPr>
        <w:t xml:space="preserve"> and </w:t>
      </w:r>
      <w:r w:rsidR="00A7438A">
        <w:rPr>
          <w:rFonts w:eastAsia="Times New Roman" w:cs="Arial"/>
        </w:rPr>
        <w:t>w</w:t>
      </w:r>
      <w:r w:rsidRPr="000B208F">
        <w:rPr>
          <w:rFonts w:eastAsia="Times New Roman" w:cs="Arial"/>
        </w:rPr>
        <w:t xml:space="preserve">ellbeing </w:t>
      </w:r>
      <w:r w:rsidR="00A7438A">
        <w:rPr>
          <w:rFonts w:eastAsia="Times New Roman" w:cs="Arial"/>
        </w:rPr>
        <w:t>c</w:t>
      </w:r>
      <w:r w:rsidRPr="000B208F">
        <w:rPr>
          <w:rFonts w:eastAsia="Times New Roman" w:cs="Arial"/>
        </w:rPr>
        <w:t xml:space="preserve">oaches and </w:t>
      </w:r>
      <w:r w:rsidR="00A7438A">
        <w:rPr>
          <w:rFonts w:eastAsia="Times New Roman" w:cs="Arial"/>
        </w:rPr>
        <w:t>c</w:t>
      </w:r>
      <w:r w:rsidRPr="000B208F">
        <w:rPr>
          <w:rFonts w:eastAsia="Times New Roman" w:cs="Arial"/>
        </w:rPr>
        <w:t xml:space="preserve">are </w:t>
      </w:r>
      <w:r w:rsidR="00A7438A">
        <w:rPr>
          <w:rFonts w:eastAsia="Times New Roman" w:cs="Arial"/>
        </w:rPr>
        <w:t>c</w:t>
      </w:r>
      <w:r w:rsidRPr="000B208F">
        <w:rPr>
          <w:rFonts w:eastAsia="Times New Roman" w:cs="Arial"/>
        </w:rPr>
        <w:t xml:space="preserve">o-ordinators to support them </w:t>
      </w:r>
      <w:r>
        <w:rPr>
          <w:rFonts w:eastAsia="Times New Roman" w:cs="Arial"/>
        </w:rPr>
        <w:t xml:space="preserve">to </w:t>
      </w:r>
      <w:r w:rsidRPr="000B208F">
        <w:rPr>
          <w:rFonts w:eastAsia="Times New Roman" w:cs="Arial"/>
        </w:rPr>
        <w:t xml:space="preserve">deliver services to their patients. </w:t>
      </w:r>
    </w:p>
    <w:p w14:paraId="534654DD" w14:textId="442CA199" w:rsidR="00886A57" w:rsidRPr="000B208F" w:rsidRDefault="00886A57" w:rsidP="00886A57">
      <w:pPr>
        <w:rPr>
          <w:rFonts w:eastAsia="Times New Roman" w:cs="Times New Roman"/>
        </w:rPr>
      </w:pPr>
      <w:r w:rsidRPr="000B208F">
        <w:rPr>
          <w:rFonts w:eastAsia="Times New Roman" w:cs="Times New Roman"/>
        </w:rPr>
        <w:t xml:space="preserve">General practice in Hull </w:t>
      </w:r>
      <w:r>
        <w:rPr>
          <w:rFonts w:eastAsia="Times New Roman" w:cs="Times New Roman"/>
        </w:rPr>
        <w:t xml:space="preserve">continued to </w:t>
      </w:r>
      <w:r w:rsidRPr="000B208F">
        <w:rPr>
          <w:rFonts w:eastAsia="Times New Roman" w:cs="Times New Roman"/>
        </w:rPr>
        <w:t xml:space="preserve">adapt service delivery in response to the </w:t>
      </w:r>
      <w:r>
        <w:rPr>
          <w:rFonts w:eastAsia="Times New Roman" w:cs="Times New Roman"/>
        </w:rPr>
        <w:t>COVID</w:t>
      </w:r>
      <w:r w:rsidRPr="000B208F">
        <w:rPr>
          <w:rFonts w:eastAsia="Times New Roman" w:cs="Times New Roman"/>
        </w:rPr>
        <w:t>-19 pandemic</w:t>
      </w:r>
      <w:r w:rsidR="00CD08C9">
        <w:rPr>
          <w:rFonts w:eastAsia="Times New Roman" w:cs="Times New Roman"/>
        </w:rPr>
        <w:t>,</w:t>
      </w:r>
      <w:r w:rsidRPr="000B208F">
        <w:rPr>
          <w:rFonts w:eastAsia="Times New Roman" w:cs="Times New Roman"/>
        </w:rPr>
        <w:t xml:space="preserve"> and </w:t>
      </w:r>
      <w:r>
        <w:rPr>
          <w:rFonts w:eastAsia="Times New Roman" w:cs="Times New Roman"/>
        </w:rPr>
        <w:t>as part of the resto</w:t>
      </w:r>
      <w:r w:rsidR="00A7438A">
        <w:rPr>
          <w:rFonts w:eastAsia="Times New Roman" w:cs="Times New Roman"/>
        </w:rPr>
        <w:t>r</w:t>
      </w:r>
      <w:r>
        <w:rPr>
          <w:rFonts w:eastAsia="Times New Roman" w:cs="Times New Roman"/>
        </w:rPr>
        <w:t xml:space="preserve">ation of services </w:t>
      </w:r>
      <w:r w:rsidRPr="000B208F">
        <w:rPr>
          <w:rFonts w:eastAsia="Times New Roman" w:cs="Times New Roman"/>
        </w:rPr>
        <w:t xml:space="preserve">in line with national guidance. Patients requiring care </w:t>
      </w:r>
      <w:r>
        <w:rPr>
          <w:rFonts w:eastAsia="Times New Roman" w:cs="Times New Roman"/>
        </w:rPr>
        <w:t xml:space="preserve">continued to be </w:t>
      </w:r>
      <w:r w:rsidRPr="000B208F">
        <w:rPr>
          <w:rFonts w:eastAsia="Times New Roman" w:cs="Times New Roman"/>
        </w:rPr>
        <w:t>triaged</w:t>
      </w:r>
      <w:r>
        <w:rPr>
          <w:rFonts w:eastAsia="Times New Roman" w:cs="Times New Roman"/>
        </w:rPr>
        <w:t>,</w:t>
      </w:r>
      <w:r w:rsidRPr="000B208F">
        <w:rPr>
          <w:rFonts w:eastAsia="Times New Roman" w:cs="Times New Roman"/>
        </w:rPr>
        <w:t xml:space="preserve"> and then receive</w:t>
      </w:r>
      <w:r>
        <w:rPr>
          <w:rFonts w:eastAsia="Times New Roman" w:cs="Times New Roman"/>
        </w:rPr>
        <w:t xml:space="preserve">d care either face to face </w:t>
      </w:r>
      <w:r w:rsidRPr="000B208F">
        <w:rPr>
          <w:rFonts w:eastAsia="Times New Roman" w:cs="Times New Roman"/>
        </w:rPr>
        <w:t xml:space="preserve">with </w:t>
      </w:r>
      <w:r>
        <w:rPr>
          <w:rFonts w:eastAsia="Times New Roman" w:cs="Times New Roman"/>
        </w:rPr>
        <w:t>appropriate</w:t>
      </w:r>
      <w:r w:rsidRPr="000B208F">
        <w:rPr>
          <w:rFonts w:eastAsia="Times New Roman" w:cs="Times New Roman"/>
        </w:rPr>
        <w:t xml:space="preserve"> Personal Protective Equipment (PPE</w:t>
      </w:r>
      <w:r>
        <w:rPr>
          <w:rFonts w:eastAsia="Times New Roman" w:cs="Times New Roman"/>
        </w:rPr>
        <w:t xml:space="preserve">) or </w:t>
      </w:r>
      <w:r w:rsidRPr="000B208F">
        <w:rPr>
          <w:rFonts w:eastAsia="Times New Roman" w:cs="Times New Roman"/>
        </w:rPr>
        <w:t>remotely</w:t>
      </w:r>
      <w:r>
        <w:rPr>
          <w:rFonts w:eastAsia="Times New Roman" w:cs="Times New Roman"/>
        </w:rPr>
        <w:t xml:space="preserve"> where this was suitable and convenient.</w:t>
      </w:r>
      <w:r w:rsidRPr="000B208F">
        <w:rPr>
          <w:rFonts w:eastAsia="Times New Roman" w:cs="Times New Roman"/>
        </w:rPr>
        <w:t xml:space="preserve"> </w:t>
      </w:r>
      <w:r>
        <w:rPr>
          <w:rFonts w:eastAsia="Times New Roman" w:cs="Times New Roman"/>
        </w:rPr>
        <w:t>Overall numbers of patients seen in general practice in 2021-22 was above pre-pandemic levels.</w:t>
      </w:r>
    </w:p>
    <w:p w14:paraId="4C3286FD" w14:textId="77777777" w:rsidR="00886A57" w:rsidRPr="000B208F" w:rsidRDefault="00886A57" w:rsidP="00886A57">
      <w:pPr>
        <w:rPr>
          <w:rFonts w:eastAsia="Times New Roman" w:cs="Times New Roman"/>
        </w:rPr>
      </w:pPr>
      <w:r w:rsidRPr="000B208F">
        <w:rPr>
          <w:rFonts w:eastAsia="Times New Roman" w:cs="Times New Roman"/>
        </w:rPr>
        <w:t xml:space="preserve">General practices through their Primary Care Networks </w:t>
      </w:r>
      <w:r>
        <w:rPr>
          <w:rFonts w:eastAsia="Times New Roman" w:cs="Times New Roman"/>
        </w:rPr>
        <w:t>continued to</w:t>
      </w:r>
      <w:r w:rsidRPr="000B208F">
        <w:rPr>
          <w:rFonts w:eastAsia="Times New Roman" w:cs="Times New Roman"/>
        </w:rPr>
        <w:t xml:space="preserve"> play a key role in the roll out of the </w:t>
      </w:r>
      <w:r>
        <w:rPr>
          <w:rFonts w:eastAsia="Times New Roman" w:cs="Times New Roman"/>
        </w:rPr>
        <w:t>COVID</w:t>
      </w:r>
      <w:r w:rsidRPr="000B208F">
        <w:rPr>
          <w:rFonts w:eastAsia="Times New Roman" w:cs="Times New Roman"/>
        </w:rPr>
        <w:t>-19 vaccination programme</w:t>
      </w:r>
      <w:r>
        <w:rPr>
          <w:rFonts w:eastAsia="Times New Roman" w:cs="Times New Roman"/>
        </w:rPr>
        <w:t xml:space="preserve"> including as part of the booster campaign in response to the OMICRON </w:t>
      </w:r>
      <w:r w:rsidRPr="000B208F">
        <w:rPr>
          <w:rFonts w:eastAsia="Times New Roman" w:cs="Times New Roman"/>
        </w:rPr>
        <w:t xml:space="preserve">. All </w:t>
      </w:r>
      <w:r>
        <w:rPr>
          <w:rFonts w:eastAsia="Times New Roman" w:cs="Times New Roman"/>
        </w:rPr>
        <w:t>five</w:t>
      </w:r>
      <w:r w:rsidRPr="000B208F">
        <w:rPr>
          <w:rFonts w:eastAsia="Times New Roman" w:cs="Times New Roman"/>
        </w:rPr>
        <w:t xml:space="preserve"> Primary Care Networks have been offering the vaccine from </w:t>
      </w:r>
      <w:r>
        <w:rPr>
          <w:rFonts w:eastAsia="Times New Roman" w:cs="Times New Roman"/>
        </w:rPr>
        <w:t>a number of</w:t>
      </w:r>
      <w:r w:rsidRPr="000B208F">
        <w:rPr>
          <w:rFonts w:eastAsia="Times New Roman" w:cs="Times New Roman"/>
        </w:rPr>
        <w:t xml:space="preserve"> sites </w:t>
      </w:r>
      <w:r w:rsidRPr="000B208F">
        <w:rPr>
          <w:rFonts w:eastAsia="Times New Roman" w:cs="Times New Roman"/>
        </w:rPr>
        <w:lastRenderedPageBreak/>
        <w:t xml:space="preserve">across the city </w:t>
      </w:r>
      <w:r>
        <w:rPr>
          <w:rFonts w:eastAsia="Times New Roman" w:cs="Times New Roman"/>
        </w:rPr>
        <w:t>in line with national guidance</w:t>
      </w:r>
      <w:r w:rsidRPr="000B208F">
        <w:rPr>
          <w:rFonts w:eastAsia="Times New Roman" w:cs="Times New Roman"/>
        </w:rPr>
        <w:t xml:space="preserve"> </w:t>
      </w:r>
      <w:r>
        <w:rPr>
          <w:rFonts w:eastAsia="Times New Roman" w:cs="Times New Roman"/>
        </w:rPr>
        <w:t xml:space="preserve">from </w:t>
      </w:r>
      <w:r w:rsidRPr="000B208F">
        <w:rPr>
          <w:rFonts w:eastAsia="Times New Roman" w:cs="Times New Roman"/>
        </w:rPr>
        <w:t xml:space="preserve">the </w:t>
      </w:r>
      <w:r>
        <w:rPr>
          <w:rFonts w:eastAsia="Times New Roman" w:cs="Times New Roman"/>
        </w:rPr>
        <w:t>Joint Committee on Vaccination and Immunisation (</w:t>
      </w:r>
      <w:r w:rsidRPr="000B208F">
        <w:rPr>
          <w:rFonts w:eastAsia="Times New Roman" w:cs="Times New Roman"/>
        </w:rPr>
        <w:t>JCVI</w:t>
      </w:r>
      <w:r>
        <w:rPr>
          <w:rFonts w:eastAsia="Times New Roman" w:cs="Times New Roman"/>
        </w:rPr>
        <w:t>)</w:t>
      </w:r>
      <w:r w:rsidRPr="000B208F">
        <w:rPr>
          <w:rFonts w:eastAsia="Times New Roman" w:cs="Times New Roman"/>
        </w:rPr>
        <w:t>.</w:t>
      </w:r>
    </w:p>
    <w:p w14:paraId="2AE97B55" w14:textId="22503F1C" w:rsidR="00886A57" w:rsidRDefault="00886A57" w:rsidP="00A41750">
      <w:pPr>
        <w:rPr>
          <w:rFonts w:eastAsia="Times New Roman" w:cs="Times New Roman"/>
        </w:rPr>
      </w:pPr>
      <w:r>
        <w:rPr>
          <w:rFonts w:eastAsia="Times New Roman" w:cs="Times New Roman"/>
        </w:rPr>
        <w:t>The five Primary Care Networks in Hull particpated in the national plan for improving access to general practice launched in October 2021 by a range of activities to increase access to general practice through the winter.</w:t>
      </w:r>
    </w:p>
    <w:p w14:paraId="18A99AF0" w14:textId="77777777" w:rsidR="00196D2B" w:rsidRDefault="00196D2B" w:rsidP="00196D2B">
      <w:pPr>
        <w:widowControl w:val="0"/>
        <w:spacing w:after="0"/>
        <w:ind w:left="720"/>
        <w:jc w:val="both"/>
        <w:rPr>
          <w:rFonts w:cs="Arial"/>
        </w:rPr>
      </w:pPr>
      <w:r>
        <w:rPr>
          <w:rFonts w:cs="Arial"/>
          <w:b/>
          <w:bCs/>
        </w:rPr>
        <w:t>#WeArePrimaryCare campaign</w:t>
      </w:r>
    </w:p>
    <w:p w14:paraId="4AC21BF3" w14:textId="55D81616" w:rsidR="00196D2B" w:rsidRPr="00EE78D3" w:rsidRDefault="00196D2B" w:rsidP="001757C6">
      <w:pPr>
        <w:widowControl w:val="0"/>
        <w:spacing w:before="0" w:after="0"/>
        <w:ind w:left="720"/>
        <w:rPr>
          <w:rFonts w:cs="Arial"/>
          <w:i/>
          <w:iCs/>
        </w:rPr>
      </w:pPr>
      <w:r w:rsidRPr="00EE78D3">
        <w:rPr>
          <w:rFonts w:cs="Arial"/>
          <w:i/>
          <w:iCs/>
        </w:rPr>
        <w:t>A new campaign to give GP care across the Humber a voice on access and attitudes to primary care amid growing pressures</w:t>
      </w:r>
      <w:r w:rsidR="00B65261" w:rsidRPr="00EE78D3">
        <w:rPr>
          <w:rFonts w:cs="Arial"/>
          <w:i/>
          <w:iCs/>
        </w:rPr>
        <w:t xml:space="preserve"> launched in September 2021</w:t>
      </w:r>
      <w:r w:rsidRPr="00EE78D3">
        <w:rPr>
          <w:rFonts w:cs="Arial"/>
          <w:i/>
          <w:iCs/>
        </w:rPr>
        <w:t xml:space="preserve">.Tackling abuse is the first part of a three-phase public awareness campaign around improving experiences for patients and staff. </w:t>
      </w:r>
    </w:p>
    <w:p w14:paraId="4E561C9E" w14:textId="5A5F8BD5" w:rsidR="00B65261" w:rsidRPr="00EE78D3" w:rsidRDefault="00B65261" w:rsidP="00EE78D3">
      <w:pPr>
        <w:widowControl w:val="0"/>
        <w:spacing w:after="0"/>
        <w:ind w:left="720"/>
        <w:rPr>
          <w:rFonts w:cs="Arial"/>
          <w:i/>
          <w:iCs/>
        </w:rPr>
      </w:pPr>
      <w:r w:rsidRPr="00EE78D3">
        <w:rPr>
          <w:rFonts w:eastAsia="Times New Roman" w:cs="Arial"/>
          <w:i/>
          <w:iCs/>
          <w:color w:val="3D3D3D"/>
        </w:rPr>
        <w:t>The initiative is led by Humberside Group of Local Medical Committees Ltd (Humberside LMC) with the support of the Clinical Commissioning Groups in Hull, East Riding of Yorkshire, and Northern Lincolnshire, and a range of partners who are standing together to say that abuse of primary care workers in any role will not be tolerated.</w:t>
      </w:r>
      <w:r w:rsidRPr="00EE78D3">
        <w:rPr>
          <w:rFonts w:cs="Arial"/>
          <w:i/>
          <w:iCs/>
        </w:rPr>
        <w:t xml:space="preserve"> It aims to challenge, and where needed, change public perceptions and understanding of primary care services across our area. </w:t>
      </w:r>
    </w:p>
    <w:p w14:paraId="2A894A9D" w14:textId="77777777" w:rsidR="001757C6" w:rsidRDefault="001757C6" w:rsidP="00C85C09">
      <w:pPr>
        <w:spacing w:before="0" w:after="0"/>
        <w:rPr>
          <w:rFonts w:cs="Arial"/>
          <w:b/>
          <w:bCs/>
          <w:shd w:val="clear" w:color="auto" w:fill="FFFFFF"/>
        </w:rPr>
      </w:pPr>
    </w:p>
    <w:p w14:paraId="4C8D2311" w14:textId="33FDCC09" w:rsidR="001757C6" w:rsidRPr="00BC0F3C" w:rsidRDefault="001757C6" w:rsidP="001757C6">
      <w:pPr>
        <w:spacing w:before="0" w:after="0"/>
        <w:ind w:left="720"/>
        <w:rPr>
          <w:rFonts w:cs="Arial"/>
          <w:b/>
          <w:bCs/>
          <w:shd w:val="clear" w:color="auto" w:fill="FFFFFF"/>
        </w:rPr>
      </w:pPr>
      <w:r w:rsidRPr="00BC0F3C">
        <w:rPr>
          <w:rFonts w:cs="Arial"/>
          <w:b/>
          <w:bCs/>
          <w:shd w:val="clear" w:color="auto" w:fill="FFFFFF"/>
        </w:rPr>
        <w:t>West Hull Health Hub opens to benefit thousands of patients</w:t>
      </w:r>
      <w:r>
        <w:rPr>
          <w:rFonts w:cs="Arial"/>
          <w:b/>
          <w:bCs/>
          <w:shd w:val="clear" w:color="auto" w:fill="FFFFFF"/>
        </w:rPr>
        <w:t xml:space="preserve"> </w:t>
      </w:r>
    </w:p>
    <w:p w14:paraId="5D8720D6" w14:textId="77777777" w:rsidR="001757C6" w:rsidRPr="001757C6" w:rsidRDefault="001757C6" w:rsidP="001757C6">
      <w:pPr>
        <w:spacing w:before="0"/>
        <w:ind w:left="720"/>
        <w:rPr>
          <w:rFonts w:cs="Arial"/>
          <w:i/>
          <w:iCs/>
          <w:shd w:val="clear" w:color="auto" w:fill="FFFFFF"/>
        </w:rPr>
      </w:pPr>
      <w:r w:rsidRPr="001757C6">
        <w:rPr>
          <w:rFonts w:cs="Arial"/>
          <w:i/>
          <w:iCs/>
          <w:shd w:val="clear" w:color="auto" w:fill="FFFFFF"/>
        </w:rPr>
        <w:t>An £8 million pioneering health hub built to benefit thousands of patients in West Hull opened in December 2021. Hailed as a beacon of future primary care services, the newly completed state-of-the-art West Hull Health Hub replaced the existing Springhead Medical Centre, which has operated at full capacity from dated facilities for almost seven decades. The new building integrates services under one roof within the community with the aim of limiting the need for hospital admission or care.</w:t>
      </w:r>
    </w:p>
    <w:p w14:paraId="5A2D256C" w14:textId="37BDAF5D" w:rsidR="00886A57" w:rsidRPr="00EE78D3" w:rsidRDefault="00886A57" w:rsidP="00886A57">
      <w:pPr>
        <w:spacing w:line="240" w:lineRule="auto"/>
        <w:rPr>
          <w:rStyle w:val="Hyperlink"/>
          <w:rFonts w:cs="Arial"/>
          <w:b/>
          <w:bCs/>
        </w:rPr>
      </w:pPr>
      <w:r w:rsidRPr="00EE78D3">
        <w:rPr>
          <w:rFonts w:cs="Arial"/>
          <w:b/>
          <w:bCs/>
        </w:rPr>
        <w:t xml:space="preserve">Our newsletter </w:t>
      </w:r>
      <w:r w:rsidRPr="00EE78D3">
        <w:rPr>
          <w:rFonts w:cs="Arial"/>
          <w:b/>
          <w:bCs/>
          <w:i/>
          <w:iCs/>
        </w:rPr>
        <w:t>My city, My health, My care</w:t>
      </w:r>
      <w:r w:rsidRPr="00EE78D3">
        <w:rPr>
          <w:rFonts w:cs="Arial"/>
          <w:b/>
          <w:bCs/>
        </w:rPr>
        <w:t xml:space="preserve"> contains information on the changes and developments within GP care in Hull. You can read it at </w:t>
      </w:r>
      <w:hyperlink r:id="rId26" w:history="1">
        <w:r w:rsidRPr="00EE78D3">
          <w:rPr>
            <w:rStyle w:val="Hyperlink"/>
            <w:rFonts w:cs="Arial"/>
            <w:b/>
            <w:bCs/>
          </w:rPr>
          <w:t>www.hullccg.nhs.uk</w:t>
        </w:r>
      </w:hyperlink>
      <w:r w:rsidR="00CD08C9" w:rsidRPr="00EE78D3">
        <w:rPr>
          <w:rStyle w:val="Hyperlink"/>
          <w:rFonts w:cs="Arial"/>
          <w:b/>
          <w:bCs/>
        </w:rPr>
        <w:t xml:space="preserve"> </w:t>
      </w:r>
    </w:p>
    <w:p w14:paraId="02FD464D" w14:textId="34B6EAA0" w:rsidR="00CD08C9" w:rsidRPr="00CD08C9" w:rsidRDefault="009E12C6" w:rsidP="00CD08C9">
      <w:pPr>
        <w:rPr>
          <w:b/>
          <w:bCs/>
        </w:rPr>
      </w:pPr>
      <w:r>
        <w:rPr>
          <w:b/>
          <w:bCs/>
        </w:rPr>
        <w:t>See</w:t>
      </w:r>
      <w:r w:rsidR="00CD08C9" w:rsidRPr="00CD08C9">
        <w:rPr>
          <w:b/>
          <w:bCs/>
        </w:rPr>
        <w:t xml:space="preserve"> </w:t>
      </w:r>
      <w:hyperlink r:id="rId27" w:history="1">
        <w:r w:rsidR="00661DF3" w:rsidRPr="008D36E4">
          <w:rPr>
            <w:rStyle w:val="Hyperlink"/>
            <w:b/>
            <w:bCs/>
          </w:rPr>
          <w:t>www.hullccg.nhs.uk/about-us/who-we-are/primary-care-networks/</w:t>
        </w:r>
      </w:hyperlink>
      <w:r w:rsidR="00661DF3">
        <w:rPr>
          <w:b/>
          <w:bCs/>
        </w:rPr>
        <w:t xml:space="preserve"> for </w:t>
      </w:r>
      <w:r w:rsidR="00CD08C9" w:rsidRPr="00CD08C9">
        <w:rPr>
          <w:b/>
          <w:bCs/>
        </w:rPr>
        <w:t>the location of GP practices in Hull.</w:t>
      </w:r>
    </w:p>
    <w:p w14:paraId="1B259920" w14:textId="18BAF090" w:rsidR="0001641C" w:rsidRDefault="0001641C" w:rsidP="00CD08C9">
      <w:pPr>
        <w:pStyle w:val="Heading3"/>
        <w:spacing w:before="0"/>
      </w:pPr>
      <w:bookmarkStart w:id="32" w:name="_Toc103695026"/>
      <w:r>
        <w:t>Digital</w:t>
      </w:r>
      <w:r w:rsidR="00980C4E">
        <w:t>ly</w:t>
      </w:r>
      <w:r>
        <w:t xml:space="preserve"> </w:t>
      </w:r>
      <w:r w:rsidR="00596663">
        <w:t>e</w:t>
      </w:r>
      <w:r>
        <w:t xml:space="preserve">nabled </w:t>
      </w:r>
      <w:r w:rsidR="00596663">
        <w:t>c</w:t>
      </w:r>
      <w:r>
        <w:t>are</w:t>
      </w:r>
      <w:bookmarkEnd w:id="32"/>
      <w:r>
        <w:t xml:space="preserve"> </w:t>
      </w:r>
    </w:p>
    <w:p w14:paraId="598AD63A" w14:textId="2F00F5A0" w:rsidR="0001641C" w:rsidRPr="0001641C" w:rsidRDefault="0001641C" w:rsidP="0001641C">
      <w:r>
        <w:t>Following significant change as a result of the COVID pandemic, over the last 12 months we have seen a number of digital enhancements to benefit our population and professionals, to ensure that we continue to empower the best possible level of care. We have a number of key programmes of work underway to ensure that our health and social care teams have access to the latest digital tools in their workplace:</w:t>
      </w:r>
    </w:p>
    <w:p w14:paraId="3E49574C" w14:textId="77777777" w:rsidR="0001641C" w:rsidRDefault="0001641C" w:rsidP="0062761B">
      <w:pPr>
        <w:pStyle w:val="ListParagraph"/>
        <w:numPr>
          <w:ilvl w:val="0"/>
          <w:numId w:val="14"/>
        </w:numPr>
        <w:tabs>
          <w:tab w:val="clear" w:pos="2835"/>
          <w:tab w:val="clear" w:pos="5670"/>
          <w:tab w:val="clear" w:pos="9016"/>
        </w:tabs>
        <w:spacing w:before="0" w:after="0"/>
        <w:contextualSpacing w:val="0"/>
      </w:pPr>
      <w:r>
        <w:t xml:space="preserve">We believe that every patient should only have to tell their story once, so to ensure that each professional directly involved in a patient’s care is fully informed to make decisions we have accelerated the deployment of our shared care record system – The Yorkshire and Humber Care Record. </w:t>
      </w:r>
    </w:p>
    <w:p w14:paraId="1EA6CB7D" w14:textId="77777777" w:rsidR="0001641C" w:rsidRDefault="0001641C" w:rsidP="0062761B">
      <w:pPr>
        <w:pStyle w:val="ListParagraph"/>
        <w:numPr>
          <w:ilvl w:val="0"/>
          <w:numId w:val="14"/>
        </w:numPr>
      </w:pPr>
      <w:r>
        <w:t>Across the Humber and North Yorkshire we have connected Hospital, Social Care, Primary Care and End of Life records, to allow health professionals to access a holistic view of patient care, when it is appropriate to do so.</w:t>
      </w:r>
    </w:p>
    <w:p w14:paraId="7FD93BD2" w14:textId="707E8647" w:rsidR="0001641C" w:rsidRDefault="0001641C" w:rsidP="0062761B">
      <w:pPr>
        <w:pStyle w:val="ListParagraph"/>
        <w:numPr>
          <w:ilvl w:val="0"/>
          <w:numId w:val="14"/>
        </w:numPr>
        <w:tabs>
          <w:tab w:val="clear" w:pos="2835"/>
          <w:tab w:val="clear" w:pos="5670"/>
          <w:tab w:val="clear" w:pos="9016"/>
        </w:tabs>
        <w:spacing w:before="0" w:after="0"/>
        <w:contextualSpacing w:val="0"/>
      </w:pPr>
      <w:r>
        <w:t xml:space="preserve">We have continued to replace older computers in GP Practices to ensure that practice teams have access to appropriate </w:t>
      </w:r>
      <w:r w:rsidR="00596663">
        <w:t xml:space="preserve">and up to date </w:t>
      </w:r>
      <w:r>
        <w:t>equipment</w:t>
      </w:r>
      <w:r w:rsidR="00596663">
        <w:t>.</w:t>
      </w:r>
      <w:r>
        <w:t xml:space="preserve"> </w:t>
      </w:r>
    </w:p>
    <w:p w14:paraId="4BD8D715" w14:textId="77777777" w:rsidR="0001641C" w:rsidRDefault="0001641C" w:rsidP="0062761B">
      <w:pPr>
        <w:pStyle w:val="ListParagraph"/>
        <w:numPr>
          <w:ilvl w:val="0"/>
          <w:numId w:val="14"/>
        </w:numPr>
        <w:tabs>
          <w:tab w:val="clear" w:pos="2835"/>
          <w:tab w:val="clear" w:pos="5670"/>
          <w:tab w:val="clear" w:pos="9016"/>
        </w:tabs>
        <w:spacing w:before="0" w:after="0"/>
        <w:contextualSpacing w:val="0"/>
      </w:pPr>
      <w:r>
        <w:t xml:space="preserve">We have started to implement a secure clinician to clinician messaging solution to allow care professionals to seek advice from their peers.  </w:t>
      </w:r>
    </w:p>
    <w:p w14:paraId="58C01AC4" w14:textId="77777777" w:rsidR="0001641C" w:rsidRDefault="0001641C" w:rsidP="0001641C">
      <w:pPr>
        <w:pStyle w:val="ListParagraph"/>
      </w:pPr>
    </w:p>
    <w:p w14:paraId="28D594A8" w14:textId="7FA4FA56" w:rsidR="0001641C" w:rsidRDefault="0001641C" w:rsidP="0001641C">
      <w:pPr>
        <w:pStyle w:val="ListParagraph"/>
        <w:ind w:left="0"/>
      </w:pPr>
      <w:r>
        <w:lastRenderedPageBreak/>
        <w:t>We have worked hard to provide the appropriate solutions to empower patients to interact digitally with their care services:</w:t>
      </w:r>
    </w:p>
    <w:p w14:paraId="24B4C0C2" w14:textId="77777777" w:rsidR="0001641C" w:rsidRDefault="0001641C" w:rsidP="0062761B">
      <w:pPr>
        <w:pStyle w:val="ListParagraph"/>
        <w:numPr>
          <w:ilvl w:val="0"/>
          <w:numId w:val="14"/>
        </w:numPr>
        <w:tabs>
          <w:tab w:val="clear" w:pos="2835"/>
          <w:tab w:val="clear" w:pos="5670"/>
          <w:tab w:val="clear" w:pos="9016"/>
        </w:tabs>
        <w:spacing w:before="0" w:after="0"/>
        <w:contextualSpacing w:val="0"/>
      </w:pPr>
      <w:r>
        <w:t xml:space="preserve">All practices have access to Online and Video Consultation facilities. </w:t>
      </w:r>
    </w:p>
    <w:p w14:paraId="45539024" w14:textId="77777777" w:rsidR="0001641C" w:rsidRDefault="0001641C" w:rsidP="0062761B">
      <w:pPr>
        <w:pStyle w:val="ListParagraph"/>
        <w:numPr>
          <w:ilvl w:val="0"/>
          <w:numId w:val="14"/>
        </w:numPr>
        <w:tabs>
          <w:tab w:val="clear" w:pos="2835"/>
          <w:tab w:val="clear" w:pos="5670"/>
          <w:tab w:val="clear" w:pos="9016"/>
        </w:tabs>
        <w:spacing w:before="0" w:after="0"/>
        <w:contextualSpacing w:val="0"/>
      </w:pPr>
      <w:r>
        <w:t>We have continued to develop the use of the NHS App to provide convenient access to GP Services and to assist patients to manage their own care requirements.</w:t>
      </w:r>
    </w:p>
    <w:p w14:paraId="31CDA1BA" w14:textId="77777777" w:rsidR="0001641C" w:rsidRDefault="0001641C" w:rsidP="0062761B">
      <w:pPr>
        <w:pStyle w:val="ListParagraph"/>
        <w:numPr>
          <w:ilvl w:val="0"/>
          <w:numId w:val="14"/>
        </w:numPr>
        <w:tabs>
          <w:tab w:val="clear" w:pos="2835"/>
          <w:tab w:val="clear" w:pos="5670"/>
          <w:tab w:val="clear" w:pos="9016"/>
        </w:tabs>
        <w:spacing w:before="0" w:after="0"/>
        <w:contextualSpacing w:val="0"/>
      </w:pPr>
      <w:r>
        <w:t>Over the last year we have added hospital records to the NHS App, for some of our population.</w:t>
      </w:r>
    </w:p>
    <w:p w14:paraId="0A1C14F2" w14:textId="2083DFC6" w:rsidR="0001641C" w:rsidRDefault="0001641C" w:rsidP="0062761B">
      <w:pPr>
        <w:pStyle w:val="ListParagraph"/>
        <w:numPr>
          <w:ilvl w:val="0"/>
          <w:numId w:val="14"/>
        </w:numPr>
        <w:tabs>
          <w:tab w:val="clear" w:pos="2835"/>
          <w:tab w:val="clear" w:pos="5670"/>
          <w:tab w:val="clear" w:pos="9016"/>
        </w:tabs>
        <w:spacing w:before="0" w:after="0"/>
        <w:contextualSpacing w:val="0"/>
      </w:pPr>
      <w:r>
        <w:t>We have continued to develop our online self-care app store and expanded it to cover a wider geography, this allows more of the local population to easily access suitable apps to support their wellbeing.</w:t>
      </w:r>
    </w:p>
    <w:p w14:paraId="5839B32C" w14:textId="7E2C6E17" w:rsidR="0001641C" w:rsidRDefault="0001641C" w:rsidP="0001641C">
      <w:pPr>
        <w:spacing w:before="0" w:after="0"/>
      </w:pPr>
      <w:r>
        <w:t xml:space="preserve">We recognise that digital solutions do not always provide the most accessible or appropriate method of communication for all patients, so to support access we have undertaken a number of programmes of work:  </w:t>
      </w:r>
    </w:p>
    <w:p w14:paraId="389B723B" w14:textId="77777777" w:rsidR="0001641C" w:rsidRDefault="0001641C" w:rsidP="0062761B">
      <w:pPr>
        <w:pStyle w:val="ListParagraph"/>
        <w:numPr>
          <w:ilvl w:val="0"/>
          <w:numId w:val="15"/>
        </w:numPr>
        <w:tabs>
          <w:tab w:val="clear" w:pos="2835"/>
          <w:tab w:val="clear" w:pos="5670"/>
          <w:tab w:val="clear" w:pos="9016"/>
        </w:tabs>
        <w:spacing w:before="0" w:after="0"/>
        <w:contextualSpacing w:val="0"/>
      </w:pPr>
      <w:r>
        <w:t xml:space="preserve">We have worked with NHS England to develop a resource pack, to support patients to know how to best access their practices for digital, non-digital and face to face access. This work formed the basis for a national resource pack to be used nationally within general practice.  </w:t>
      </w:r>
    </w:p>
    <w:p w14:paraId="3E7A13B5" w14:textId="77777777" w:rsidR="0001641C" w:rsidRDefault="0001641C" w:rsidP="0062761B">
      <w:pPr>
        <w:pStyle w:val="ListParagraph"/>
        <w:numPr>
          <w:ilvl w:val="0"/>
          <w:numId w:val="15"/>
        </w:numPr>
        <w:tabs>
          <w:tab w:val="clear" w:pos="2835"/>
          <w:tab w:val="clear" w:pos="5670"/>
          <w:tab w:val="clear" w:pos="9016"/>
        </w:tabs>
        <w:spacing w:before="0" w:after="0"/>
        <w:contextualSpacing w:val="0"/>
      </w:pPr>
      <w:r>
        <w:t xml:space="preserve">We are actively working to ensure that all practice websites are as easy to use as possible.  </w:t>
      </w:r>
    </w:p>
    <w:p w14:paraId="6C52CB29" w14:textId="622FC8B8" w:rsidR="0001641C" w:rsidRDefault="0001641C" w:rsidP="0062761B">
      <w:pPr>
        <w:pStyle w:val="ListParagraph"/>
        <w:numPr>
          <w:ilvl w:val="0"/>
          <w:numId w:val="15"/>
        </w:numPr>
        <w:tabs>
          <w:tab w:val="clear" w:pos="2835"/>
          <w:tab w:val="clear" w:pos="5670"/>
          <w:tab w:val="clear" w:pos="9016"/>
        </w:tabs>
        <w:spacing w:before="0" w:after="0"/>
        <w:contextualSpacing w:val="0"/>
      </w:pPr>
      <w:r>
        <w:t xml:space="preserve">We have begun to provide practices with systems to record </w:t>
      </w:r>
      <w:r w:rsidR="00596663">
        <w:t>how digitally enabled their patients are</w:t>
      </w:r>
      <w:r>
        <w:t xml:space="preserve">, to ensure that they offer the most appropriate style of care to individuals.  </w:t>
      </w:r>
    </w:p>
    <w:p w14:paraId="3F48DDE1" w14:textId="77777777" w:rsidR="0001641C" w:rsidRDefault="0001641C" w:rsidP="0062761B">
      <w:pPr>
        <w:pStyle w:val="ListParagraph"/>
        <w:numPr>
          <w:ilvl w:val="0"/>
          <w:numId w:val="15"/>
        </w:numPr>
        <w:tabs>
          <w:tab w:val="clear" w:pos="2835"/>
          <w:tab w:val="clear" w:pos="5670"/>
          <w:tab w:val="clear" w:pos="9016"/>
        </w:tabs>
        <w:spacing w:before="0" w:after="0"/>
        <w:contextualSpacing w:val="0"/>
      </w:pPr>
      <w:r>
        <w:t>We recognise the importance of understanding the best access method for everyone, so we have a dedicated Digital Inclusion Network, to ensure that service accessibility is at the heart of everything we do.</w:t>
      </w:r>
    </w:p>
    <w:p w14:paraId="4148C494" w14:textId="46AE3DF0" w:rsidR="0001641C" w:rsidRDefault="0001641C" w:rsidP="0062761B">
      <w:pPr>
        <w:pStyle w:val="ListParagraph"/>
        <w:numPr>
          <w:ilvl w:val="0"/>
          <w:numId w:val="15"/>
        </w:numPr>
        <w:tabs>
          <w:tab w:val="clear" w:pos="2835"/>
          <w:tab w:val="clear" w:pos="5670"/>
          <w:tab w:val="clear" w:pos="9016"/>
        </w:tabs>
        <w:spacing w:before="0" w:after="0"/>
        <w:contextualSpacing w:val="0"/>
      </w:pPr>
      <w:r>
        <w:t>We have workstreams underway looking at how we can provide supported digital access to those patients who normally wouldn’t be able to access, for example tools for digital access within rural locations such as village halls.</w:t>
      </w:r>
    </w:p>
    <w:p w14:paraId="6016C27B" w14:textId="258AE7D2" w:rsidR="0001641C" w:rsidRDefault="0001641C" w:rsidP="0001641C">
      <w:r>
        <w:t xml:space="preserve">Care Homes are an important element within our care community, providing proving residential care for a large number of our population. </w:t>
      </w:r>
    </w:p>
    <w:p w14:paraId="188851DF" w14:textId="5CEC2FA4" w:rsidR="0001641C" w:rsidRDefault="0001641C" w:rsidP="0001641C">
      <w:pPr>
        <w:spacing w:after="0"/>
      </w:pPr>
      <w:r>
        <w:t>We understand that a great deal of care needs to take place within a care provider premises and we are working hard to ensure that all Care Homes are connected to the wider care community:</w:t>
      </w:r>
    </w:p>
    <w:p w14:paraId="40B989D7" w14:textId="77777777" w:rsidR="0001641C" w:rsidRDefault="0001641C" w:rsidP="0062761B">
      <w:pPr>
        <w:pStyle w:val="ListParagraph"/>
        <w:numPr>
          <w:ilvl w:val="0"/>
          <w:numId w:val="16"/>
        </w:numPr>
        <w:tabs>
          <w:tab w:val="clear" w:pos="2835"/>
          <w:tab w:val="clear" w:pos="5670"/>
          <w:tab w:val="clear" w:pos="9016"/>
        </w:tabs>
        <w:spacing w:before="0" w:after="0"/>
        <w:contextualSpacing w:val="0"/>
      </w:pPr>
      <w:r>
        <w:t>All our Care Homes are provided with access to a secure NHS Mail address.</w:t>
      </w:r>
    </w:p>
    <w:p w14:paraId="28E9CEEE" w14:textId="77777777" w:rsidR="0001641C" w:rsidRDefault="0001641C" w:rsidP="0062761B">
      <w:pPr>
        <w:pStyle w:val="ListParagraph"/>
        <w:numPr>
          <w:ilvl w:val="0"/>
          <w:numId w:val="16"/>
        </w:numPr>
        <w:tabs>
          <w:tab w:val="clear" w:pos="2835"/>
          <w:tab w:val="clear" w:pos="5670"/>
          <w:tab w:val="clear" w:pos="9016"/>
        </w:tabs>
        <w:spacing w:before="0" w:after="0"/>
        <w:contextualSpacing w:val="0"/>
      </w:pPr>
      <w:r>
        <w:t xml:space="preserve">All have been provided with a connected tablet to allow access to video consultations, proxy medication ordering and other on-line health services from within a resident’s room.  </w:t>
      </w:r>
    </w:p>
    <w:p w14:paraId="2CB4416D" w14:textId="77777777" w:rsidR="0001641C" w:rsidRDefault="0001641C" w:rsidP="0062761B">
      <w:pPr>
        <w:pStyle w:val="ListParagraph"/>
        <w:numPr>
          <w:ilvl w:val="0"/>
          <w:numId w:val="16"/>
        </w:numPr>
        <w:tabs>
          <w:tab w:val="clear" w:pos="2835"/>
          <w:tab w:val="clear" w:pos="5670"/>
          <w:tab w:val="clear" w:pos="9016"/>
        </w:tabs>
        <w:spacing w:before="0" w:after="0"/>
        <w:contextualSpacing w:val="0"/>
      </w:pPr>
      <w:r>
        <w:t>We are working with our IT partners to look at how we can provide improved Wi-Fi access within care homes, allowing staff and visiting clinicians to remain fully connected to their systems.</w:t>
      </w:r>
    </w:p>
    <w:p w14:paraId="1A3EB895" w14:textId="77777777" w:rsidR="0001641C" w:rsidRDefault="0001641C" w:rsidP="0062761B">
      <w:pPr>
        <w:pStyle w:val="ListParagraph"/>
        <w:numPr>
          <w:ilvl w:val="0"/>
          <w:numId w:val="16"/>
        </w:numPr>
        <w:tabs>
          <w:tab w:val="clear" w:pos="2835"/>
          <w:tab w:val="clear" w:pos="5670"/>
          <w:tab w:val="clear" w:pos="9016"/>
        </w:tabs>
        <w:spacing w:before="0" w:after="0"/>
        <w:contextualSpacing w:val="0"/>
      </w:pPr>
      <w:r>
        <w:t>Our care community has developed a support team to support care homes to improve their digital maturity.</w:t>
      </w:r>
    </w:p>
    <w:p w14:paraId="5EBE23C9" w14:textId="42671F59" w:rsidR="0001641C" w:rsidRDefault="0001641C" w:rsidP="0062761B">
      <w:pPr>
        <w:pStyle w:val="ListParagraph"/>
        <w:numPr>
          <w:ilvl w:val="0"/>
          <w:numId w:val="16"/>
        </w:numPr>
        <w:tabs>
          <w:tab w:val="clear" w:pos="2835"/>
          <w:tab w:val="clear" w:pos="5670"/>
          <w:tab w:val="clear" w:pos="9016"/>
        </w:tabs>
        <w:spacing w:before="0" w:after="0"/>
        <w:contextualSpacing w:val="0"/>
      </w:pPr>
      <w:r>
        <w:t xml:space="preserve">We have developed a first of type Care Home IT Operating Model to outline the services and support required by providers, to ensure they receive the support required to allow digital access.  </w:t>
      </w:r>
    </w:p>
    <w:p w14:paraId="3B5B555A" w14:textId="092A6A7C" w:rsidR="0001641C" w:rsidRDefault="0001641C" w:rsidP="0001641C">
      <w:r>
        <w:t>It is important that we support the reconfiguration of clinical services to ensure that patients are seen in the most appropriate location and to increase capacity within the care system and to support this we have a number of exciting projects underway:</w:t>
      </w:r>
    </w:p>
    <w:p w14:paraId="4FC51640" w14:textId="6ECA9AA3" w:rsidR="0001641C" w:rsidRDefault="0001641C" w:rsidP="0062761B">
      <w:pPr>
        <w:pStyle w:val="ListParagraph"/>
        <w:numPr>
          <w:ilvl w:val="0"/>
          <w:numId w:val="17"/>
        </w:numPr>
        <w:tabs>
          <w:tab w:val="clear" w:pos="2835"/>
          <w:tab w:val="clear" w:pos="5670"/>
          <w:tab w:val="clear" w:pos="9016"/>
        </w:tabs>
        <w:spacing w:before="0" w:after="0"/>
        <w:contextualSpacing w:val="0"/>
      </w:pPr>
      <w:r>
        <w:t>We have implemented a clinical booking system which allows NHS 111 to book callers into Urgent Care settings and we are now developing this system further to allow any care provider to directly book into any other care provider. This will allow a quicker and easier experience for patients.</w:t>
      </w:r>
    </w:p>
    <w:p w14:paraId="56F381F8" w14:textId="77777777" w:rsidR="0001641C" w:rsidRDefault="0001641C" w:rsidP="0062761B">
      <w:pPr>
        <w:pStyle w:val="ListParagraph"/>
        <w:numPr>
          <w:ilvl w:val="0"/>
          <w:numId w:val="17"/>
        </w:numPr>
        <w:tabs>
          <w:tab w:val="clear" w:pos="2835"/>
          <w:tab w:val="clear" w:pos="5670"/>
          <w:tab w:val="clear" w:pos="9016"/>
        </w:tabs>
        <w:spacing w:before="0" w:after="0"/>
        <w:contextualSpacing w:val="0"/>
      </w:pPr>
      <w:r>
        <w:t xml:space="preserve">We have supported the process to move diagnostic services into the community, increasing capacity within other local services.  </w:t>
      </w:r>
    </w:p>
    <w:p w14:paraId="023568AB" w14:textId="7D8EE109" w:rsidR="002D4EB5" w:rsidRPr="00F714B7" w:rsidRDefault="002D4EB5" w:rsidP="00F714B7">
      <w:pPr>
        <w:pStyle w:val="Heading2"/>
      </w:pPr>
      <w:bookmarkStart w:id="33" w:name="_Toc103695027"/>
      <w:bookmarkStart w:id="34" w:name="_Toc512957149"/>
      <w:r w:rsidRPr="00F714B7">
        <w:rPr>
          <w:rStyle w:val="NoSpacingChar"/>
          <w:rFonts w:eastAsia="Arial" w:cs="Arial"/>
          <w:b/>
          <w:color w:val="548DD4" w:themeColor="text2" w:themeTint="99"/>
          <w:sz w:val="28"/>
        </w:rPr>
        <w:lastRenderedPageBreak/>
        <mc:AlternateContent>
          <mc:Choice Requires="wps">
            <w:drawing>
              <wp:anchor distT="0" distB="0" distL="114300" distR="114300" simplePos="0" relativeHeight="251697152" behindDoc="0" locked="0" layoutInCell="1" allowOverlap="1" wp14:anchorId="0372477C" wp14:editId="11B7D2EC">
                <wp:simplePos x="0" y="0"/>
                <wp:positionH relativeFrom="column">
                  <wp:posOffset>4091305</wp:posOffset>
                </wp:positionH>
                <wp:positionV relativeFrom="paragraph">
                  <wp:posOffset>15240</wp:posOffset>
                </wp:positionV>
                <wp:extent cx="2406650" cy="6889750"/>
                <wp:effectExtent l="0" t="0" r="12700" b="25400"/>
                <wp:wrapSquare wrapText="bothSides"/>
                <wp:docPr id="6" name="Text Box 6"/>
                <wp:cNvGraphicFramePr/>
                <a:graphic xmlns:a="http://schemas.openxmlformats.org/drawingml/2006/main">
                  <a:graphicData uri="http://schemas.microsoft.com/office/word/2010/wordprocessingShape">
                    <wps:wsp>
                      <wps:cNvSpPr txBox="1"/>
                      <wps:spPr>
                        <a:xfrm>
                          <a:off x="0" y="0"/>
                          <a:ext cx="2406650" cy="6889750"/>
                        </a:xfrm>
                        <a:prstGeom prst="rect">
                          <a:avLst/>
                        </a:prstGeom>
                        <a:solidFill>
                          <a:sysClr val="window" lastClr="FFFFFF"/>
                        </a:solidFill>
                        <a:ln w="6350">
                          <a:solidFill>
                            <a:schemeClr val="tx1"/>
                          </a:solidFill>
                        </a:ln>
                      </wps:spPr>
                      <wps:txbx>
                        <w:txbxContent>
                          <w:p w14:paraId="54D45F60" w14:textId="77777777" w:rsidR="002D4EB5" w:rsidRPr="00242BA7" w:rsidRDefault="002D4EB5" w:rsidP="002D4EB5">
                            <w:pPr>
                              <w:spacing w:line="252" w:lineRule="auto"/>
                              <w:rPr>
                                <w:b/>
                                <w:bCs/>
                                <w:i/>
                                <w:iCs/>
                                <w:sz w:val="20"/>
                                <w:szCs w:val="20"/>
                              </w:rPr>
                            </w:pPr>
                            <w:r w:rsidRPr="00242BA7">
                              <w:rPr>
                                <w:rFonts w:cs="Arial"/>
                                <w:b/>
                                <w:bCs/>
                                <w:i/>
                                <w:iCs/>
                                <w:sz w:val="20"/>
                                <w:szCs w:val="20"/>
                              </w:rPr>
                              <w:t xml:space="preserve">Jason Stamp, </w:t>
                            </w:r>
                            <w:r w:rsidRPr="00242BA7">
                              <w:rPr>
                                <w:rStyle w:val="Strong"/>
                                <w:rFonts w:cs="Arial"/>
                                <w:i/>
                                <w:iCs/>
                                <w:sz w:val="20"/>
                                <w:szCs w:val="20"/>
                                <w:bdr w:val="none" w:sz="0" w:space="0" w:color="auto" w:frame="1"/>
                                <w:shd w:val="clear" w:color="auto" w:fill="FFFFFF"/>
                              </w:rPr>
                              <w:t>Governing Body Lay Member for patient and public involvement:</w:t>
                            </w:r>
                          </w:p>
                          <w:p w14:paraId="5EF97FE3" w14:textId="11780D6E" w:rsidR="00242BA7" w:rsidRPr="00242BA7" w:rsidRDefault="00242BA7" w:rsidP="00242BA7">
                            <w:pPr>
                              <w:pStyle w:val="xmsonormal"/>
                              <w:rPr>
                                <w:rFonts w:ascii="Calibri" w:eastAsiaTheme="minorHAnsi" w:hAnsi="Calibri"/>
                                <w:noProof w:val="0"/>
                                <w:sz w:val="20"/>
                                <w:szCs w:val="20"/>
                              </w:rPr>
                            </w:pPr>
                            <w:r w:rsidRPr="00242BA7">
                              <w:rPr>
                                <w:rFonts w:ascii="Arial" w:hAnsi="Arial" w:cs="Arial"/>
                                <w:b/>
                                <w:bCs/>
                                <w:color w:val="000000"/>
                                <w:sz w:val="20"/>
                                <w:szCs w:val="20"/>
                              </w:rPr>
                              <w:t>This section of the Annual Report demonstrates the CCG's commitment to pro-actively engaging with local communities in all aspects of its work. The views and experiences of local people are important to us and have been an integral part of how we have reviewed, designed and commissioned local services. Our priorities and the way we work are based on what local people tell us. At a time when the NHS faces considerable challenges, this has never been more important.</w:t>
                            </w:r>
                          </w:p>
                          <w:p w14:paraId="7ABA0574" w14:textId="43CF410F" w:rsidR="00242BA7" w:rsidRPr="00242BA7" w:rsidRDefault="00242BA7" w:rsidP="00242BA7">
                            <w:pPr>
                              <w:pStyle w:val="xmsonormal"/>
                              <w:rPr>
                                <w:sz w:val="20"/>
                                <w:szCs w:val="20"/>
                              </w:rPr>
                            </w:pPr>
                            <w:r w:rsidRPr="00242BA7">
                              <w:rPr>
                                <w:rFonts w:ascii="Arial" w:hAnsi="Arial" w:cs="Arial"/>
                                <w:b/>
                                <w:bCs/>
                                <w:color w:val="000000"/>
                                <w:sz w:val="20"/>
                                <w:szCs w:val="20"/>
                              </w:rPr>
                              <w:t>We have invested time in developing strong relationships with local communities and voluntary and community sector groups and organisations, recognising that we can only address health inequalities and achieve better outcomes by working in partnership.</w:t>
                            </w:r>
                          </w:p>
                          <w:p w14:paraId="4D703A76" w14:textId="77777777" w:rsidR="00242BA7" w:rsidRPr="00242BA7" w:rsidRDefault="00242BA7" w:rsidP="00242BA7">
                            <w:pPr>
                              <w:pStyle w:val="xmsonormal"/>
                              <w:rPr>
                                <w:sz w:val="20"/>
                                <w:szCs w:val="20"/>
                              </w:rPr>
                            </w:pPr>
                            <w:r w:rsidRPr="00242BA7">
                              <w:rPr>
                                <w:rFonts w:ascii="Arial" w:hAnsi="Arial" w:cs="Arial"/>
                                <w:b/>
                                <w:bCs/>
                                <w:color w:val="000000"/>
                                <w:sz w:val="20"/>
                                <w:szCs w:val="20"/>
                              </w:rPr>
                              <w:t>Looking back, I am immensely proud of what we have achieved and how engagement with local people has challenged the CCG to think and work differently. We have done this because it's the right thing to do and the connection to our diverse and resilient communities has always been the catalyst for change. As we move into a new health and social care landscape this is one of our greatest legacies. It is also a strong foundation for what comes next. We cannot lose the opportunity to continue to make a difference.</w:t>
                            </w:r>
                          </w:p>
                          <w:p w14:paraId="725BD6F0" w14:textId="6BF53C99" w:rsidR="002D4EB5" w:rsidRPr="00242BA7" w:rsidRDefault="002D4EB5" w:rsidP="00242BA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72477C" id="Text Box 6" o:spid="_x0000_s1027" type="#_x0000_t202" style="position:absolute;margin-left:322.15pt;margin-top:1.2pt;width:189.5pt;height:54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" fillcolor="window" strokecolor="black [3213]" strokeweight=".5pt">
                <v:textbox>
                  <w:txbxContent>
                    <w:p w14:paraId="54D45F60" w14:textId="77777777" w:rsidR="002D4EB5" w:rsidRPr="00242BA7" w:rsidRDefault="002D4EB5" w:rsidP="002D4EB5">
                      <w:pPr>
                        <w:spacing w:line="252" w:lineRule="auto"/>
                        <w:rPr>
                          <w:b/>
                          <w:bCs/>
                          <w:i/>
                          <w:iCs/>
                          <w:sz w:val="20"/>
                          <w:szCs w:val="20"/>
                        </w:rPr>
                      </w:pPr>
                      <w:r w:rsidRPr="00242BA7">
                        <w:rPr>
                          <w:rFonts w:cs="Arial"/>
                          <w:b/>
                          <w:bCs/>
                          <w:i/>
                          <w:iCs/>
                          <w:sz w:val="20"/>
                          <w:szCs w:val="20"/>
                        </w:rPr>
                        <w:t xml:space="preserve">Jason Stamp, </w:t>
                      </w:r>
                      <w:r w:rsidRPr="00242BA7">
                        <w:rPr>
                          <w:rStyle w:val="Strong"/>
                          <w:rFonts w:cs="Arial"/>
                          <w:i/>
                          <w:iCs/>
                          <w:sz w:val="20"/>
                          <w:szCs w:val="20"/>
                          <w:bdr w:val="none" w:sz="0" w:space="0" w:color="auto" w:frame="1"/>
                          <w:shd w:val="clear" w:color="auto" w:fill="FFFFFF"/>
                        </w:rPr>
                        <w:t>Governing Body Lay Member for patient and public involvement:</w:t>
                      </w:r>
                    </w:p>
                    <w:p w14:paraId="5EF97FE3" w14:textId="11780D6E" w:rsidR="00242BA7" w:rsidRPr="00242BA7" w:rsidRDefault="00242BA7" w:rsidP="00242BA7">
                      <w:pPr>
                        <w:pStyle w:val="xmsonormal"/>
                        <w:rPr>
                          <w:rFonts w:ascii="Calibri" w:eastAsiaTheme="minorHAnsi" w:hAnsi="Calibri"/>
                          <w:noProof w:val="0"/>
                          <w:sz w:val="20"/>
                          <w:szCs w:val="20"/>
                        </w:rPr>
                      </w:pPr>
                      <w:r w:rsidRPr="00242BA7">
                        <w:rPr>
                          <w:rFonts w:ascii="Arial" w:hAnsi="Arial" w:cs="Arial"/>
                          <w:b/>
                          <w:bCs/>
                          <w:color w:val="000000"/>
                          <w:sz w:val="20"/>
                          <w:szCs w:val="20"/>
                        </w:rPr>
                        <w:t>This section of the Annual Report demonstrates the CCG's commitment to pro-actively engaging with local communities in all aspects of its work. The views and experiences of local people are important to us and have been an integral part of how we have reviewed, designed and commissioned local services. Our priorities and the way we work are based on what local people tell us. At a time when the NHS faces considerable challenges, this has never been more important.</w:t>
                      </w:r>
                    </w:p>
                    <w:p w14:paraId="7ABA0574" w14:textId="43CF410F" w:rsidR="00242BA7" w:rsidRPr="00242BA7" w:rsidRDefault="00242BA7" w:rsidP="00242BA7">
                      <w:pPr>
                        <w:pStyle w:val="xmsonormal"/>
                        <w:rPr>
                          <w:sz w:val="20"/>
                          <w:szCs w:val="20"/>
                        </w:rPr>
                      </w:pPr>
                      <w:r w:rsidRPr="00242BA7">
                        <w:rPr>
                          <w:rFonts w:ascii="Arial" w:hAnsi="Arial" w:cs="Arial"/>
                          <w:b/>
                          <w:bCs/>
                          <w:color w:val="000000"/>
                          <w:sz w:val="20"/>
                          <w:szCs w:val="20"/>
                        </w:rPr>
                        <w:t>We have invested time in developing strong relationships with local communities and voluntary and community sector groups and organisations, recognising that we can only address health inequalities and achieve better outcomes by working in partnership.</w:t>
                      </w:r>
                    </w:p>
                    <w:p w14:paraId="4D703A76" w14:textId="77777777" w:rsidR="00242BA7" w:rsidRPr="00242BA7" w:rsidRDefault="00242BA7" w:rsidP="00242BA7">
                      <w:pPr>
                        <w:pStyle w:val="xmsonormal"/>
                        <w:rPr>
                          <w:sz w:val="20"/>
                          <w:szCs w:val="20"/>
                        </w:rPr>
                      </w:pPr>
                      <w:r w:rsidRPr="00242BA7">
                        <w:rPr>
                          <w:rFonts w:ascii="Arial" w:hAnsi="Arial" w:cs="Arial"/>
                          <w:b/>
                          <w:bCs/>
                          <w:color w:val="000000"/>
                          <w:sz w:val="20"/>
                          <w:szCs w:val="20"/>
                        </w:rPr>
                        <w:t>Looking back, I am immensely proud of what we have achieved and how engagement with local people has challenged the CCG to think and work differently. We have done this because it's the right thing to do and the connection to our diverse and resilient communities has always been the catalyst for change. As we move into a new health and social care landscape this is one of our greatest legacies. It is also a strong foundation for what comes next. We cannot lose the opportunity to continue to make a difference.</w:t>
                      </w:r>
                    </w:p>
                    <w:p w14:paraId="725BD6F0" w14:textId="6BF53C99" w:rsidR="002D4EB5" w:rsidRPr="00242BA7" w:rsidRDefault="002D4EB5" w:rsidP="00242BA7">
                      <w:pPr>
                        <w:rPr>
                          <w:sz w:val="20"/>
                          <w:szCs w:val="20"/>
                        </w:rPr>
                      </w:pPr>
                    </w:p>
                  </w:txbxContent>
                </v:textbox>
                <w10:wrap type="square"/>
              </v:shape>
            </w:pict>
          </mc:Fallback>
        </mc:AlternateContent>
      </w:r>
      <w:r w:rsidRPr="00F714B7">
        <w:rPr>
          <w:rStyle w:val="NoSpacingChar"/>
          <w:rFonts w:eastAsia="Arial" w:cs="Arial"/>
          <w:b/>
          <w:color w:val="548DD4" w:themeColor="text2" w:themeTint="99"/>
          <w:sz w:val="28"/>
        </w:rPr>
        <w:t>Engaging people and communities 2021-22</w:t>
      </w:r>
      <w:bookmarkEnd w:id="33"/>
      <w:r w:rsidR="00D614D2" w:rsidRPr="00F714B7">
        <w:rPr>
          <w:rStyle w:val="NoSpacingChar"/>
          <w:rFonts w:eastAsia="Arial" w:cs="Arial"/>
          <w:b/>
          <w:color w:val="548DD4" w:themeColor="text2" w:themeTint="99"/>
          <w:sz w:val="28"/>
        </w:rPr>
        <w:t xml:space="preserve"> </w:t>
      </w:r>
    </w:p>
    <w:p w14:paraId="55FD1108" w14:textId="77777777" w:rsidR="002D4EB5" w:rsidRPr="007C7A64" w:rsidRDefault="002D4EB5" w:rsidP="002D4EB5">
      <w:pPr>
        <w:rPr>
          <w:rFonts w:cs="Arial"/>
        </w:rPr>
      </w:pPr>
      <w:r w:rsidRPr="007C7A64">
        <w:rPr>
          <w:rFonts w:cs="Arial"/>
        </w:rPr>
        <w:t>As the last full year of operation as a CCG comes to a close we reflect on the quality and breadth of public engagement the CCG has undertaken.  The last two years have been particularly challenging in respect of face to face meetings and events but digital working and online engagement as a supplement to more traditional methods has opened up conversations with whole new audiences.</w:t>
      </w:r>
    </w:p>
    <w:p w14:paraId="6883407D" w14:textId="32DE5FB1" w:rsidR="002D4EB5" w:rsidRPr="007C7A64" w:rsidRDefault="002D4EB5" w:rsidP="002D4EB5">
      <w:pPr>
        <w:rPr>
          <w:rFonts w:cs="Arial"/>
        </w:rPr>
      </w:pPr>
      <w:r w:rsidRPr="007C7A64">
        <w:rPr>
          <w:rFonts w:cs="Arial"/>
        </w:rPr>
        <w:t>Our well</w:t>
      </w:r>
      <w:r>
        <w:rPr>
          <w:rFonts w:cs="Arial"/>
        </w:rPr>
        <w:t>-</w:t>
      </w:r>
      <w:r w:rsidRPr="007C7A64">
        <w:rPr>
          <w:rFonts w:cs="Arial"/>
        </w:rPr>
        <w:t>established mechanism</w:t>
      </w:r>
      <w:r>
        <w:rPr>
          <w:rFonts w:cs="Arial"/>
        </w:rPr>
        <w:t>s</w:t>
      </w:r>
      <w:r w:rsidRPr="007C7A64">
        <w:rPr>
          <w:rFonts w:cs="Arial"/>
        </w:rPr>
        <w:t xml:space="preserve"> such as the Hull Champions and Working Voices programmes have gone from strength to strength</w:t>
      </w:r>
      <w:r>
        <w:rPr>
          <w:rFonts w:cs="Arial"/>
        </w:rPr>
        <w:t>,</w:t>
      </w:r>
      <w:r w:rsidRPr="007C7A64">
        <w:rPr>
          <w:rFonts w:cs="Arial"/>
        </w:rPr>
        <w:t xml:space="preserve"> and new channels such as the emerging Covid Vaccine Champions programme will broaden our reach further.</w:t>
      </w:r>
    </w:p>
    <w:p w14:paraId="0E4DF16D" w14:textId="77777777" w:rsidR="002D4EB5" w:rsidRDefault="002D4EB5" w:rsidP="002D4EB5">
      <w:pPr>
        <w:rPr>
          <w:rFonts w:cs="Arial"/>
          <w:b/>
          <w:bCs/>
        </w:rPr>
      </w:pPr>
      <w:r w:rsidRPr="007C7A64">
        <w:rPr>
          <w:rFonts w:cs="Arial"/>
          <w:b/>
          <w:bCs/>
        </w:rPr>
        <w:t xml:space="preserve">Hull Champions </w:t>
      </w:r>
    </w:p>
    <w:p w14:paraId="5F33994B" w14:textId="2E656092" w:rsidR="002D4EB5" w:rsidRDefault="002D4EB5" w:rsidP="002D4EB5">
      <w:pPr>
        <w:rPr>
          <w:rFonts w:cs="Arial"/>
        </w:rPr>
      </w:pPr>
      <w:r>
        <w:rPr>
          <w:rFonts w:cs="Arial"/>
        </w:rPr>
        <w:t xml:space="preserve">We continue to support our </w:t>
      </w:r>
      <w:r w:rsidRPr="0055478C">
        <w:rPr>
          <w:rFonts w:cs="Arial"/>
        </w:rPr>
        <w:t>network of 12</w:t>
      </w:r>
      <w:r w:rsidR="0055478C" w:rsidRPr="0055478C">
        <w:rPr>
          <w:rFonts w:cs="Arial"/>
        </w:rPr>
        <w:t>7</w:t>
      </w:r>
      <w:r w:rsidRPr="0055478C">
        <w:rPr>
          <w:rFonts w:cs="Arial"/>
        </w:rPr>
        <w:t xml:space="preserve"> active Hull Champions, which is made up of local groups and projects</w:t>
      </w:r>
      <w:r w:rsidRPr="007C7A64">
        <w:rPr>
          <w:rFonts w:cs="Arial"/>
        </w:rPr>
        <w:t xml:space="preserve"> which support health and wellbeing</w:t>
      </w:r>
      <w:r>
        <w:rPr>
          <w:rFonts w:cs="Arial"/>
        </w:rPr>
        <w:t xml:space="preserve">.  These groups have continued to play a key role in supporting local residents with health and wellbeing, with mental health support being an area of key focus. The Champions have continued promoting our key public health messages and have been particularly valuable in targeting information around the covid vaccination programme. </w:t>
      </w:r>
    </w:p>
    <w:p w14:paraId="598CC303" w14:textId="49A1B055" w:rsidR="002D4EB5" w:rsidRDefault="002D4EB5" w:rsidP="002D4EB5">
      <w:pPr>
        <w:spacing w:after="0"/>
        <w:rPr>
          <w:rFonts w:cs="Arial"/>
        </w:rPr>
      </w:pPr>
      <w:r>
        <w:rPr>
          <w:rFonts w:cs="Arial"/>
        </w:rPr>
        <w:t xml:space="preserve">The </w:t>
      </w:r>
      <w:r w:rsidRPr="007C7A64">
        <w:rPr>
          <w:rFonts w:cs="Arial"/>
        </w:rPr>
        <w:t xml:space="preserve">closed Facebook group </w:t>
      </w:r>
      <w:r>
        <w:rPr>
          <w:rFonts w:cs="Arial"/>
        </w:rPr>
        <w:t xml:space="preserve">continues to be a space for Champions to share ideas and regular network meetings have continued via a digital platform. </w:t>
      </w:r>
      <w:r w:rsidR="00CE3683">
        <w:rPr>
          <w:rFonts w:cs="Arial"/>
        </w:rPr>
        <w:t>You can find out more about the</w:t>
      </w:r>
      <w:r w:rsidR="00822594">
        <w:rPr>
          <w:rFonts w:cs="Arial"/>
        </w:rPr>
        <w:t xml:space="preserve"> </w:t>
      </w:r>
      <w:r w:rsidR="00CE3683">
        <w:rPr>
          <w:rFonts w:cs="Arial"/>
        </w:rPr>
        <w:t xml:space="preserve">Hull Champions programme by following </w:t>
      </w:r>
      <w:r w:rsidR="00CE3683" w:rsidRPr="00CE3683">
        <w:rPr>
          <w:rFonts w:cs="Arial"/>
          <w:b/>
          <w:bCs/>
        </w:rPr>
        <w:t>@Hullchampions1</w:t>
      </w:r>
      <w:r w:rsidR="00CE3683">
        <w:rPr>
          <w:rFonts w:cs="Arial"/>
        </w:rPr>
        <w:t xml:space="preserve"> on twitter.</w:t>
      </w:r>
    </w:p>
    <w:p w14:paraId="66183395" w14:textId="249BFC95" w:rsidR="00D278DF" w:rsidRPr="00D278DF" w:rsidRDefault="002D4EB5" w:rsidP="00D278DF">
      <w:pPr>
        <w:rPr>
          <w:rFonts w:cs="Arial"/>
          <w:b/>
          <w:bCs/>
        </w:rPr>
      </w:pPr>
      <w:r w:rsidRPr="00BE2496">
        <w:rPr>
          <w:rFonts w:cs="Arial"/>
          <w:b/>
          <w:bCs/>
        </w:rPr>
        <w:t xml:space="preserve">Working Voices </w:t>
      </w:r>
    </w:p>
    <w:p w14:paraId="48D1D745" w14:textId="070BC98B" w:rsidR="00D278DF" w:rsidRDefault="00D278DF" w:rsidP="00D278DF">
      <w:pPr>
        <w:rPr>
          <w:color w:val="000000"/>
        </w:rPr>
      </w:pPr>
      <w:r>
        <w:rPr>
          <w:color w:val="000000"/>
        </w:rPr>
        <w:t>Working Voices provides the opportunity to engage with and support the health and wellbeing of local employees via a network of 40 businesses.  This enables a reach of around 23,425 people - allowing the voices of the workforce to be heard – as well as a means of sharing health information directly to the workplace.  Over the last year, a series of menopause workshops have been provide</w:t>
      </w:r>
      <w:r w:rsidR="00822594">
        <w:rPr>
          <w:color w:val="000000"/>
        </w:rPr>
        <w:t>d</w:t>
      </w:r>
      <w:r>
        <w:rPr>
          <w:color w:val="000000"/>
        </w:rPr>
        <w:t xml:space="preserve"> for employees and the feedback has been very positive from participants:</w:t>
      </w:r>
    </w:p>
    <w:p w14:paraId="29378779" w14:textId="77777777" w:rsidR="00D278DF" w:rsidRPr="00D278DF" w:rsidRDefault="00D278DF" w:rsidP="00242BA7">
      <w:pPr>
        <w:ind w:left="720"/>
        <w:rPr>
          <w:i/>
          <w:iCs/>
          <w:color w:val="000000"/>
        </w:rPr>
      </w:pPr>
      <w:r w:rsidRPr="00D278DF">
        <w:rPr>
          <w:i/>
          <w:iCs/>
          <w:color w:val="000000"/>
        </w:rPr>
        <w:t xml:space="preserve">“I found the session very invaluable. I learnt about my symptoms, the causes, the potential fixes, the associated risks and all the evidence based things I could be doing to help myself. </w:t>
      </w:r>
    </w:p>
    <w:p w14:paraId="353C4C35" w14:textId="4384053F" w:rsidR="00D278DF" w:rsidRPr="00D278DF" w:rsidRDefault="00D278DF" w:rsidP="00242BA7">
      <w:pPr>
        <w:ind w:left="720"/>
        <w:rPr>
          <w:i/>
          <w:iCs/>
        </w:rPr>
      </w:pPr>
      <w:r w:rsidRPr="00D278DF">
        <w:rPr>
          <w:i/>
          <w:iCs/>
          <w:color w:val="000000"/>
        </w:rPr>
        <w:t>“More importantly to me, Kay (the expert facilitator) listened to my issues and helped me to get HRT without the blood test. After the workshop and the conversation with Kay I was so relieved that I nearly cried.”</w:t>
      </w:r>
    </w:p>
    <w:p w14:paraId="6544546F" w14:textId="77777777" w:rsidR="00D278DF" w:rsidRDefault="00D278DF" w:rsidP="00D278DF"/>
    <w:p w14:paraId="449D65A8" w14:textId="77777777" w:rsidR="002D4EB5" w:rsidRDefault="002D4EB5" w:rsidP="002D4EB5">
      <w:pPr>
        <w:rPr>
          <w:rFonts w:cs="Arial"/>
        </w:rPr>
      </w:pPr>
    </w:p>
    <w:p w14:paraId="1777B933" w14:textId="6230B104" w:rsidR="008812F7" w:rsidRPr="007C3347" w:rsidRDefault="008812F7" w:rsidP="008812F7">
      <w:pPr>
        <w:spacing w:after="160"/>
        <w:rPr>
          <w:rFonts w:cs="Arial"/>
          <w:b/>
          <w:bCs/>
        </w:rPr>
      </w:pPr>
      <w:r w:rsidRPr="007C3347">
        <w:rPr>
          <w:rFonts w:cs="Arial"/>
          <w:b/>
          <w:bCs/>
        </w:rPr>
        <w:lastRenderedPageBreak/>
        <w:t>Hull</w:t>
      </w:r>
      <w:r w:rsidR="00580D8C" w:rsidRPr="007C3347">
        <w:rPr>
          <w:rFonts w:cs="Arial"/>
          <w:b/>
          <w:bCs/>
        </w:rPr>
        <w:t xml:space="preserve"> </w:t>
      </w:r>
      <w:r w:rsidRPr="007C3347">
        <w:rPr>
          <w:rFonts w:cs="Arial"/>
          <w:b/>
          <w:bCs/>
        </w:rPr>
        <w:t xml:space="preserve">People’s Panel </w:t>
      </w:r>
      <w:r w:rsidR="00CB7961">
        <w:rPr>
          <w:rFonts w:cs="Arial"/>
          <w:b/>
          <w:bCs/>
        </w:rPr>
        <w:t>and</w:t>
      </w:r>
      <w:r w:rsidRPr="007C3347">
        <w:rPr>
          <w:rFonts w:cs="Arial"/>
          <w:b/>
          <w:bCs/>
        </w:rPr>
        <w:t xml:space="preserve"> People’s Panel Vox Pop</w:t>
      </w:r>
    </w:p>
    <w:p w14:paraId="406F8479" w14:textId="44F808C0" w:rsidR="008812F7" w:rsidRPr="007C3347" w:rsidRDefault="008812F7" w:rsidP="008812F7">
      <w:pPr>
        <w:spacing w:after="160"/>
        <w:rPr>
          <w:rFonts w:eastAsiaTheme="minorHAnsi" w:cs="Arial"/>
          <w:noProof w:val="0"/>
          <w:color w:val="010101"/>
        </w:rPr>
      </w:pPr>
      <w:r w:rsidRPr="007C3347">
        <w:rPr>
          <w:rFonts w:cs="Arial"/>
        </w:rPr>
        <w:t>In partnership with Hull City Council,</w:t>
      </w:r>
      <w:r w:rsidRPr="007C3347">
        <w:rPr>
          <w:rFonts w:cs="Arial"/>
          <w:b/>
          <w:bCs/>
        </w:rPr>
        <w:t xml:space="preserve"> </w:t>
      </w:r>
      <w:r w:rsidRPr="007C3347">
        <w:rPr>
          <w:rFonts w:cs="Arial"/>
          <w:color w:val="010101"/>
        </w:rPr>
        <w:t xml:space="preserve">quarterly online surveys with 2500 local residents are carried out, with Vox Pop surveys to undertake social research and explore attitudes to current events in the months in between.  </w:t>
      </w:r>
    </w:p>
    <w:p w14:paraId="2627D4E5" w14:textId="646B3795" w:rsidR="002D4EB5" w:rsidRPr="007C3347" w:rsidRDefault="008812F7" w:rsidP="00CE3683">
      <w:pPr>
        <w:spacing w:after="160"/>
        <w:rPr>
          <w:rFonts w:cs="Arial"/>
          <w:color w:val="010101"/>
        </w:rPr>
      </w:pPr>
      <w:r w:rsidRPr="007C3347">
        <w:rPr>
          <w:rFonts w:cs="Arial"/>
          <w:color w:val="010101"/>
        </w:rPr>
        <w:t>Surveys in 2021 - 2022 have included a number of health and wellbeing q</w:t>
      </w:r>
      <w:r w:rsidRPr="007C3347">
        <w:rPr>
          <w:rFonts w:cs="Arial"/>
        </w:rPr>
        <w:t>uestions about experiences and attitudes to domestic abuse, travel in Hull using alternative forms of transport to the car, the benefits of cycling and walking (active travel), views on the easing of lockdown, of getting vaccinated, sleeping, levels of worry, access to healthy nutritious food, and most recently, dealing with the cost of living increases.</w:t>
      </w:r>
    </w:p>
    <w:p w14:paraId="53B6A310" w14:textId="53E879FF" w:rsidR="00D5229D" w:rsidRDefault="002D4EB5" w:rsidP="00D5229D">
      <w:pPr>
        <w:rPr>
          <w:rFonts w:ascii="Calibri" w:eastAsiaTheme="minorHAnsi" w:hAnsi="Calibri"/>
          <w:b/>
          <w:bCs/>
          <w:noProof w:val="0"/>
        </w:rPr>
      </w:pPr>
      <w:r w:rsidRPr="000127ED">
        <w:rPr>
          <w:rFonts w:cs="Arial"/>
          <w:b/>
          <w:bCs/>
        </w:rPr>
        <w:t>Maternity Voices Partnership</w:t>
      </w:r>
      <w:r>
        <w:rPr>
          <w:rFonts w:cs="Arial"/>
          <w:b/>
          <w:bCs/>
        </w:rPr>
        <w:t xml:space="preserve"> (MVP) </w:t>
      </w:r>
      <w:r w:rsidR="00D5229D">
        <w:rPr>
          <w:b/>
          <w:bCs/>
        </w:rPr>
        <w:t>offers vital feedback route</w:t>
      </w:r>
    </w:p>
    <w:p w14:paraId="209A7B73" w14:textId="7014D4AA" w:rsidR="00D5229D" w:rsidRDefault="00D5229D" w:rsidP="00D5229D">
      <w:r>
        <w:t xml:space="preserve">The Maternity Voices Partnership (MVP) has continued to provide a vital route for feedback for parents and families. The MVP </w:t>
      </w:r>
      <w:r w:rsidR="00822594">
        <w:t>has</w:t>
      </w:r>
      <w:r>
        <w:t xml:space="preserve"> made use of social media to ensure feedback opportunities have been available to local families through the pandemic and beyond. Families are encouraged to feed back about each service throughout their pregnancy and following the birth of their child. Themes over the past 12–18 months have largely focused on the implications of the COVID restrictions on birthing experiences.   </w:t>
      </w:r>
    </w:p>
    <w:p w14:paraId="71E617B6" w14:textId="617EAE10" w:rsidR="002D4EB5" w:rsidRPr="00875FC6" w:rsidRDefault="002D4EB5" w:rsidP="000601A8">
      <w:pPr>
        <w:spacing w:after="0"/>
        <w:rPr>
          <w:rFonts w:cs="Calibri"/>
          <w:b/>
          <w:color w:val="4F81BD" w:themeColor="accent1"/>
          <w:sz w:val="24"/>
        </w:rPr>
      </w:pPr>
      <w:bookmarkStart w:id="35" w:name="_Hlk103007504"/>
      <w:r w:rsidRPr="00875FC6">
        <w:rPr>
          <w:rFonts w:cs="Calibri"/>
          <w:b/>
          <w:color w:val="4F81BD" w:themeColor="accent1"/>
          <w:sz w:val="24"/>
        </w:rPr>
        <w:t xml:space="preserve">Public involvement in health service design and planning </w:t>
      </w:r>
    </w:p>
    <w:p w14:paraId="23288D9E" w14:textId="77777777" w:rsidR="002D4EB5" w:rsidRPr="00875FC6" w:rsidRDefault="002D4EB5" w:rsidP="002D4EB5">
      <w:pPr>
        <w:rPr>
          <w:rFonts w:cs="Arial"/>
        </w:rPr>
      </w:pPr>
      <w:r w:rsidRPr="00875FC6">
        <w:rPr>
          <w:rFonts w:cs="Arial"/>
        </w:rPr>
        <w:t xml:space="preserve">The CCG has discharged its duty under </w:t>
      </w:r>
      <w:hyperlink r:id="rId28">
        <w:r w:rsidRPr="00875FC6">
          <w:rPr>
            <w:rFonts w:cs="Arial"/>
            <w:color w:val="0000FF" w:themeColor="hyperlink"/>
            <w:u w:val="single"/>
          </w:rPr>
          <w:t>Section 14Z2 of the NHS Act 2006 (as amended 2012)</w:t>
        </w:r>
      </w:hyperlink>
      <w:r w:rsidRPr="00875FC6">
        <w:rPr>
          <w:rFonts w:cs="Arial"/>
          <w:color w:val="0000FF" w:themeColor="hyperlink"/>
          <w:u w:val="single"/>
        </w:rPr>
        <w:t xml:space="preserve"> </w:t>
      </w:r>
      <w:r w:rsidRPr="00875FC6">
        <w:rPr>
          <w:rFonts w:cs="Arial"/>
        </w:rPr>
        <w:t>to involve the public in our commissioning activities and once again the CCG was Green Star rated (Outstanding) for its Patient and Community Engagement in 202</w:t>
      </w:r>
      <w:r>
        <w:rPr>
          <w:rFonts w:cs="Arial"/>
        </w:rPr>
        <w:t>1</w:t>
      </w:r>
      <w:r w:rsidRPr="00875FC6">
        <w:rPr>
          <w:rFonts w:cs="Arial"/>
        </w:rPr>
        <w:t xml:space="preserve">. </w:t>
      </w:r>
    </w:p>
    <w:bookmarkEnd w:id="35"/>
    <w:p w14:paraId="1F214F2F" w14:textId="497FDE71" w:rsidR="002D4EB5" w:rsidRPr="00875FC6" w:rsidRDefault="002D4EB5" w:rsidP="002D4EB5">
      <w:pPr>
        <w:rPr>
          <w:rFonts w:cs="Arial"/>
        </w:rPr>
      </w:pPr>
      <w:r>
        <w:rPr>
          <w:rFonts w:cs="Arial"/>
        </w:rPr>
        <w:t>Our commitment to engaging with the people who use our services goes way beyond the statutory requirements</w:t>
      </w:r>
      <w:r w:rsidR="00D278DF">
        <w:rPr>
          <w:rFonts w:cs="Arial"/>
        </w:rPr>
        <w:t>,</w:t>
      </w:r>
      <w:r>
        <w:rPr>
          <w:rFonts w:cs="Arial"/>
        </w:rPr>
        <w:t xml:space="preserve"> and during 2021-22 </w:t>
      </w:r>
      <w:r w:rsidRPr="00875FC6">
        <w:rPr>
          <w:rFonts w:cs="Arial"/>
        </w:rPr>
        <w:t xml:space="preserve">the CCG has </w:t>
      </w:r>
      <w:r w:rsidR="00D278DF">
        <w:rPr>
          <w:rFonts w:cs="Arial"/>
        </w:rPr>
        <w:t xml:space="preserve">been able </w:t>
      </w:r>
      <w:r w:rsidRPr="00875FC6">
        <w:rPr>
          <w:rFonts w:cs="Arial"/>
        </w:rPr>
        <w:t>to gather the views of thousands of local residents, patients, clinicians and professionals</w:t>
      </w:r>
      <w:r>
        <w:rPr>
          <w:rFonts w:cs="Arial"/>
        </w:rPr>
        <w:t xml:space="preserve"> despite the ongoing challenges that the pandemic has brought.</w:t>
      </w:r>
      <w:r w:rsidR="00D278DF">
        <w:rPr>
          <w:rFonts w:cs="Arial"/>
        </w:rPr>
        <w:t xml:space="preserve"> </w:t>
      </w:r>
      <w:r>
        <w:rPr>
          <w:rFonts w:cs="Arial"/>
        </w:rPr>
        <w:t>Here are some highlight</w:t>
      </w:r>
      <w:r w:rsidR="00D278DF">
        <w:rPr>
          <w:rFonts w:cs="Arial"/>
        </w:rPr>
        <w:t>s</w:t>
      </w:r>
      <w:r>
        <w:rPr>
          <w:rFonts w:cs="Arial"/>
        </w:rPr>
        <w:t xml:space="preserve"> of our s</w:t>
      </w:r>
      <w:r w:rsidRPr="00875FC6">
        <w:rPr>
          <w:rFonts w:cs="Arial"/>
        </w:rPr>
        <w:t>ervice level engagement during 202</w:t>
      </w:r>
      <w:r w:rsidR="00814EAD">
        <w:rPr>
          <w:rFonts w:cs="Arial"/>
        </w:rPr>
        <w:t>1</w:t>
      </w:r>
      <w:r w:rsidRPr="00875FC6">
        <w:rPr>
          <w:rFonts w:cs="Arial"/>
        </w:rPr>
        <w:t>-2</w:t>
      </w:r>
      <w:r w:rsidR="00814EAD">
        <w:rPr>
          <w:rFonts w:cs="Arial"/>
        </w:rPr>
        <w:t>2</w:t>
      </w:r>
      <w:r>
        <w:rPr>
          <w:rFonts w:cs="Arial"/>
        </w:rPr>
        <w:t>:</w:t>
      </w:r>
    </w:p>
    <w:p w14:paraId="5BE77332" w14:textId="37541588" w:rsidR="002D4EB5" w:rsidRPr="004248EB" w:rsidRDefault="002D4EB5" w:rsidP="002D4EB5">
      <w:pPr>
        <w:jc w:val="both"/>
        <w:rPr>
          <w:rFonts w:cs="Arial"/>
          <w:b/>
          <w:bCs/>
        </w:rPr>
      </w:pPr>
      <w:r w:rsidRPr="004248EB">
        <w:rPr>
          <w:rFonts w:cs="Arial"/>
          <w:b/>
          <w:bCs/>
        </w:rPr>
        <w:t>Mental Health Support Teams (</w:t>
      </w:r>
      <w:r w:rsidR="00BB7533">
        <w:rPr>
          <w:rFonts w:cs="Arial"/>
          <w:b/>
          <w:bCs/>
        </w:rPr>
        <w:t xml:space="preserve">MHST) </w:t>
      </w:r>
      <w:r w:rsidR="00D467CF">
        <w:rPr>
          <w:rFonts w:cs="Arial"/>
          <w:b/>
          <w:bCs/>
        </w:rPr>
        <w:t>(</w:t>
      </w:r>
      <w:r w:rsidRPr="004248EB">
        <w:rPr>
          <w:rFonts w:cs="Arial"/>
          <w:b/>
          <w:bCs/>
        </w:rPr>
        <w:t>Hull</w:t>
      </w:r>
      <w:r w:rsidR="00D467CF">
        <w:rPr>
          <w:rFonts w:cs="Arial"/>
          <w:b/>
          <w:bCs/>
        </w:rPr>
        <w:t>)</w:t>
      </w:r>
    </w:p>
    <w:p w14:paraId="593B3D0C" w14:textId="24C64D91" w:rsidR="002D4EB5" w:rsidRPr="004248EB" w:rsidRDefault="002D4EB5" w:rsidP="00D278DF">
      <w:pPr>
        <w:rPr>
          <w:rFonts w:cs="Arial"/>
        </w:rPr>
      </w:pPr>
      <w:r>
        <w:rPr>
          <w:rFonts w:cs="Arial"/>
        </w:rPr>
        <w:t xml:space="preserve">Hull was selected </w:t>
      </w:r>
      <w:r w:rsidR="00BB7533">
        <w:rPr>
          <w:rFonts w:cs="Arial"/>
        </w:rPr>
        <w:t>by</w:t>
      </w:r>
      <w:r>
        <w:rPr>
          <w:rFonts w:cs="Arial"/>
        </w:rPr>
        <w:t xml:space="preserve"> </w:t>
      </w:r>
      <w:r w:rsidRPr="004248EB">
        <w:rPr>
          <w:rFonts w:cs="Arial"/>
        </w:rPr>
        <w:t xml:space="preserve">NHS England </w:t>
      </w:r>
      <w:r w:rsidR="00BB7533">
        <w:rPr>
          <w:rFonts w:cs="Arial"/>
        </w:rPr>
        <w:t>as a p</w:t>
      </w:r>
      <w:r w:rsidRPr="004248EB">
        <w:rPr>
          <w:rFonts w:cs="Arial"/>
        </w:rPr>
        <w:t xml:space="preserve">ilot </w:t>
      </w:r>
      <w:r w:rsidR="00BB7533">
        <w:rPr>
          <w:rFonts w:cs="Arial"/>
        </w:rPr>
        <w:t xml:space="preserve">area </w:t>
      </w:r>
      <w:r w:rsidRPr="004248EB">
        <w:rPr>
          <w:rFonts w:cs="Arial"/>
        </w:rPr>
        <w:t xml:space="preserve">for </w:t>
      </w:r>
      <w:r>
        <w:rPr>
          <w:rFonts w:cs="Arial"/>
        </w:rPr>
        <w:t xml:space="preserve">two </w:t>
      </w:r>
      <w:r w:rsidRPr="004248EB">
        <w:rPr>
          <w:rFonts w:cs="Arial"/>
        </w:rPr>
        <w:t>M</w:t>
      </w:r>
      <w:r>
        <w:rPr>
          <w:rFonts w:cs="Arial"/>
        </w:rPr>
        <w:t xml:space="preserve">ental Health Support Teams (one in the east of the city and one in the west) to </w:t>
      </w:r>
      <w:r w:rsidRPr="004248EB">
        <w:rPr>
          <w:rFonts w:cs="Arial"/>
        </w:rPr>
        <w:t>provid</w:t>
      </w:r>
      <w:r>
        <w:rPr>
          <w:rFonts w:cs="Arial"/>
        </w:rPr>
        <w:t xml:space="preserve">e </w:t>
      </w:r>
      <w:r w:rsidRPr="004248EB">
        <w:rPr>
          <w:rFonts w:cs="Arial"/>
        </w:rPr>
        <w:t>low level mental health support in schools</w:t>
      </w:r>
      <w:r w:rsidR="00BB7533">
        <w:rPr>
          <w:rFonts w:cs="Arial"/>
        </w:rPr>
        <w:t>,</w:t>
      </w:r>
      <w:r>
        <w:rPr>
          <w:rFonts w:cs="Arial"/>
        </w:rPr>
        <w:t xml:space="preserve"> including educational based interventions or onward referral where appropriate. </w:t>
      </w:r>
    </w:p>
    <w:p w14:paraId="50A1E72D" w14:textId="588A67EA" w:rsidR="002D4EB5" w:rsidRPr="004248EB" w:rsidRDefault="002D4EB5" w:rsidP="00D278DF">
      <w:pPr>
        <w:rPr>
          <w:rFonts w:cs="Arial"/>
          <w:color w:val="FF0000"/>
        </w:rPr>
      </w:pPr>
      <w:r>
        <w:rPr>
          <w:rFonts w:cs="Arial"/>
        </w:rPr>
        <w:t xml:space="preserve">To ensure the new service was developed </w:t>
      </w:r>
      <w:r w:rsidR="00BB7533">
        <w:rPr>
          <w:rFonts w:cs="Arial"/>
        </w:rPr>
        <w:t>in partnership</w:t>
      </w:r>
      <w:r>
        <w:rPr>
          <w:rFonts w:cs="Arial"/>
        </w:rPr>
        <w:t xml:space="preserve"> </w:t>
      </w:r>
      <w:r w:rsidR="00BB7533">
        <w:rPr>
          <w:rFonts w:cs="Arial"/>
        </w:rPr>
        <w:t>with</w:t>
      </w:r>
      <w:r>
        <w:rPr>
          <w:rFonts w:cs="Arial"/>
        </w:rPr>
        <w:t xml:space="preserve"> those who would be using it, an o</w:t>
      </w:r>
      <w:r w:rsidRPr="004248EB">
        <w:rPr>
          <w:rFonts w:cs="Arial"/>
        </w:rPr>
        <w:t>nline engagement resource support</w:t>
      </w:r>
      <w:r w:rsidR="00BB7533">
        <w:rPr>
          <w:rFonts w:cs="Arial"/>
        </w:rPr>
        <w:t>ed</w:t>
      </w:r>
      <w:r w:rsidRPr="004248EB">
        <w:rPr>
          <w:rFonts w:cs="Arial"/>
        </w:rPr>
        <w:t xml:space="preserve"> </w:t>
      </w:r>
      <w:r>
        <w:rPr>
          <w:rFonts w:cs="Arial"/>
        </w:rPr>
        <w:t xml:space="preserve">the </w:t>
      </w:r>
      <w:r w:rsidRPr="004248EB">
        <w:rPr>
          <w:rFonts w:cs="Arial"/>
        </w:rPr>
        <w:t>engagement phase,</w:t>
      </w:r>
      <w:r>
        <w:rPr>
          <w:rFonts w:cs="Arial"/>
        </w:rPr>
        <w:t xml:space="preserve"> and</w:t>
      </w:r>
      <w:r w:rsidRPr="004248EB">
        <w:rPr>
          <w:rFonts w:cs="Arial"/>
        </w:rPr>
        <w:t xml:space="preserve"> this received over 2500 responses from children and young people</w:t>
      </w:r>
      <w:r w:rsidR="00BB7533">
        <w:rPr>
          <w:rFonts w:cs="Arial"/>
        </w:rPr>
        <w:t>,</w:t>
      </w:r>
      <w:r w:rsidRPr="004248EB">
        <w:rPr>
          <w:rFonts w:cs="Arial"/>
        </w:rPr>
        <w:t xml:space="preserve"> and 700 from parents and staff. Virtual sessions </w:t>
      </w:r>
      <w:r>
        <w:rPr>
          <w:rFonts w:cs="Arial"/>
        </w:rPr>
        <w:t xml:space="preserve">were </w:t>
      </w:r>
      <w:r w:rsidRPr="004248EB">
        <w:rPr>
          <w:rFonts w:cs="Arial"/>
        </w:rPr>
        <w:t xml:space="preserve">held for </w:t>
      </w:r>
      <w:r>
        <w:rPr>
          <w:rFonts w:cs="Arial"/>
        </w:rPr>
        <w:t>s</w:t>
      </w:r>
      <w:r w:rsidRPr="004248EB">
        <w:rPr>
          <w:rFonts w:cs="Arial"/>
        </w:rPr>
        <w:t xml:space="preserve">taff, </w:t>
      </w:r>
      <w:r>
        <w:rPr>
          <w:rFonts w:cs="Arial"/>
        </w:rPr>
        <w:t>p</w:t>
      </w:r>
      <w:r w:rsidRPr="004248EB">
        <w:rPr>
          <w:rFonts w:cs="Arial"/>
        </w:rPr>
        <w:t xml:space="preserve">arents and </w:t>
      </w:r>
      <w:r>
        <w:rPr>
          <w:rFonts w:cs="Arial"/>
        </w:rPr>
        <w:t>c</w:t>
      </w:r>
      <w:r w:rsidRPr="004248EB">
        <w:rPr>
          <w:rFonts w:cs="Arial"/>
        </w:rPr>
        <w:t xml:space="preserve">arers; </w:t>
      </w:r>
      <w:r w:rsidR="00BB7533">
        <w:rPr>
          <w:rFonts w:cs="Arial"/>
        </w:rPr>
        <w:t>three</w:t>
      </w:r>
      <w:r w:rsidRPr="004248EB">
        <w:rPr>
          <w:rFonts w:cs="Arial"/>
        </w:rPr>
        <w:t xml:space="preserve"> sessions held with secondary schools</w:t>
      </w:r>
      <w:r w:rsidR="00BB7533">
        <w:rPr>
          <w:rFonts w:cs="Arial"/>
        </w:rPr>
        <w:t xml:space="preserve"> and</w:t>
      </w:r>
      <w:r w:rsidRPr="004248EB">
        <w:rPr>
          <w:rFonts w:cs="Arial"/>
        </w:rPr>
        <w:t xml:space="preserve"> </w:t>
      </w:r>
      <w:r w:rsidR="00BB7533">
        <w:rPr>
          <w:rFonts w:cs="Arial"/>
        </w:rPr>
        <w:t>four</w:t>
      </w:r>
      <w:r w:rsidRPr="004248EB">
        <w:rPr>
          <w:rFonts w:cs="Arial"/>
        </w:rPr>
        <w:t xml:space="preserve"> </w:t>
      </w:r>
      <w:r>
        <w:rPr>
          <w:rFonts w:cs="Arial"/>
        </w:rPr>
        <w:t xml:space="preserve">with </w:t>
      </w:r>
      <w:r w:rsidRPr="004248EB">
        <w:rPr>
          <w:rFonts w:cs="Arial"/>
        </w:rPr>
        <w:t xml:space="preserve">primary schools. A face-to-face session </w:t>
      </w:r>
      <w:r>
        <w:rPr>
          <w:rFonts w:cs="Arial"/>
        </w:rPr>
        <w:t xml:space="preserve">was </w:t>
      </w:r>
      <w:r w:rsidRPr="004248EB">
        <w:rPr>
          <w:rFonts w:cs="Arial"/>
        </w:rPr>
        <w:t xml:space="preserve">held with </w:t>
      </w:r>
      <w:r>
        <w:rPr>
          <w:rFonts w:cs="Arial"/>
        </w:rPr>
        <w:t>p</w:t>
      </w:r>
      <w:r w:rsidRPr="004248EB">
        <w:rPr>
          <w:rFonts w:cs="Arial"/>
        </w:rPr>
        <w:t xml:space="preserve">arents and </w:t>
      </w:r>
      <w:r>
        <w:rPr>
          <w:rFonts w:cs="Arial"/>
        </w:rPr>
        <w:t>c</w:t>
      </w:r>
      <w:r w:rsidRPr="004248EB">
        <w:rPr>
          <w:rFonts w:cs="Arial"/>
        </w:rPr>
        <w:t>arers of children at special school (as requested by parents)</w:t>
      </w:r>
      <w:r>
        <w:rPr>
          <w:rFonts w:cs="Arial"/>
        </w:rPr>
        <w:t xml:space="preserve"> and a c</w:t>
      </w:r>
      <w:r w:rsidRPr="004248EB">
        <w:rPr>
          <w:rFonts w:cs="Arial"/>
        </w:rPr>
        <w:t xml:space="preserve">hildren and </w:t>
      </w:r>
      <w:r>
        <w:rPr>
          <w:rFonts w:cs="Arial"/>
        </w:rPr>
        <w:t>y</w:t>
      </w:r>
      <w:r w:rsidRPr="004248EB">
        <w:rPr>
          <w:rFonts w:cs="Arial"/>
        </w:rPr>
        <w:t>oung people</w:t>
      </w:r>
      <w:r>
        <w:rPr>
          <w:rFonts w:cs="Arial"/>
        </w:rPr>
        <w:t xml:space="preserve">’s </w:t>
      </w:r>
      <w:r w:rsidRPr="004248EB">
        <w:rPr>
          <w:rFonts w:cs="Arial"/>
        </w:rPr>
        <w:t xml:space="preserve">workshop </w:t>
      </w:r>
      <w:r>
        <w:rPr>
          <w:rFonts w:cs="Arial"/>
        </w:rPr>
        <w:t xml:space="preserve">was undertaken </w:t>
      </w:r>
      <w:r w:rsidRPr="004248EB">
        <w:rPr>
          <w:rFonts w:cs="Arial"/>
        </w:rPr>
        <w:t xml:space="preserve">to help inform the service specification. </w:t>
      </w:r>
    </w:p>
    <w:p w14:paraId="08EA3FEF" w14:textId="023691BE" w:rsidR="002D4EB5" w:rsidRPr="004248EB" w:rsidRDefault="002D4EB5" w:rsidP="00BB7533">
      <w:pPr>
        <w:rPr>
          <w:rFonts w:cs="Arial"/>
        </w:rPr>
      </w:pPr>
      <w:r w:rsidRPr="004248EB">
        <w:rPr>
          <w:rFonts w:cs="Arial"/>
        </w:rPr>
        <w:t xml:space="preserve">Communications support </w:t>
      </w:r>
      <w:r>
        <w:rPr>
          <w:rFonts w:cs="Arial"/>
        </w:rPr>
        <w:t xml:space="preserve">was </w:t>
      </w:r>
      <w:r w:rsidRPr="004248EB">
        <w:rPr>
          <w:rFonts w:cs="Arial"/>
        </w:rPr>
        <w:t xml:space="preserve">also </w:t>
      </w:r>
      <w:r w:rsidR="00BB7533">
        <w:rPr>
          <w:rFonts w:cs="Arial"/>
        </w:rPr>
        <w:t>integral to the programme</w:t>
      </w:r>
      <w:r w:rsidRPr="004248EB">
        <w:rPr>
          <w:rFonts w:cs="Arial"/>
        </w:rPr>
        <w:t xml:space="preserve"> including brand development, web</w:t>
      </w:r>
      <w:r>
        <w:rPr>
          <w:rFonts w:cs="Arial"/>
        </w:rPr>
        <w:t>site</w:t>
      </w:r>
      <w:r w:rsidRPr="004248EB">
        <w:rPr>
          <w:rFonts w:cs="Arial"/>
        </w:rPr>
        <w:t xml:space="preserve"> creation, stakeholder communications, social media promotion, development of communications packs for schools and colleges, video production and media management. </w:t>
      </w:r>
    </w:p>
    <w:p w14:paraId="1DA3608F" w14:textId="563741C1" w:rsidR="002D4EB5" w:rsidRPr="004248EB" w:rsidRDefault="002D4EB5" w:rsidP="002D4EB5">
      <w:pPr>
        <w:jc w:val="both"/>
        <w:rPr>
          <w:rFonts w:cs="Arial"/>
          <w:b/>
          <w:bCs/>
        </w:rPr>
      </w:pPr>
      <w:r w:rsidRPr="004248EB">
        <w:rPr>
          <w:rFonts w:cs="Arial"/>
          <w:b/>
          <w:bCs/>
        </w:rPr>
        <w:t xml:space="preserve">Mental Health Support in </w:t>
      </w:r>
      <w:r w:rsidR="00822594">
        <w:rPr>
          <w:rFonts w:cs="Arial"/>
          <w:b/>
          <w:bCs/>
        </w:rPr>
        <w:t>c</w:t>
      </w:r>
      <w:r w:rsidRPr="004248EB">
        <w:rPr>
          <w:rFonts w:cs="Arial"/>
          <w:b/>
          <w:bCs/>
        </w:rPr>
        <w:t xml:space="preserve">are </w:t>
      </w:r>
      <w:r w:rsidR="00822594">
        <w:rPr>
          <w:rFonts w:cs="Arial"/>
          <w:b/>
          <w:bCs/>
        </w:rPr>
        <w:t>h</w:t>
      </w:r>
      <w:r w:rsidRPr="004248EB">
        <w:rPr>
          <w:rFonts w:cs="Arial"/>
          <w:b/>
          <w:bCs/>
        </w:rPr>
        <w:t>omes (Hull)</w:t>
      </w:r>
    </w:p>
    <w:p w14:paraId="0D16472D" w14:textId="269BC25E" w:rsidR="002D4EB5" w:rsidRPr="00865459" w:rsidRDefault="00822594" w:rsidP="00BB7533">
      <w:pPr>
        <w:spacing w:after="0"/>
        <w:rPr>
          <w:rFonts w:eastAsia="Times New Roman" w:cs="Arial"/>
          <w:color w:val="010101"/>
        </w:rPr>
      </w:pPr>
      <w:r>
        <w:rPr>
          <w:rFonts w:eastAsia="Times New Roman" w:cs="Arial"/>
          <w:color w:val="010101"/>
        </w:rPr>
        <w:t xml:space="preserve">The </w:t>
      </w:r>
      <w:r w:rsidR="002D4EB5" w:rsidRPr="00865459">
        <w:rPr>
          <w:rFonts w:eastAsia="Times New Roman" w:cs="Arial"/>
          <w:color w:val="010101"/>
        </w:rPr>
        <w:t>CCG</w:t>
      </w:r>
      <w:r>
        <w:rPr>
          <w:rFonts w:eastAsia="Times New Roman" w:cs="Arial"/>
          <w:color w:val="010101"/>
        </w:rPr>
        <w:t xml:space="preserve"> </w:t>
      </w:r>
      <w:r w:rsidR="002A2E6C">
        <w:rPr>
          <w:rFonts w:eastAsia="Times New Roman" w:cs="Arial"/>
          <w:color w:val="010101"/>
        </w:rPr>
        <w:t>has carried out substantial engagement with</w:t>
      </w:r>
      <w:r w:rsidR="002D4EB5" w:rsidRPr="00865459">
        <w:rPr>
          <w:rFonts w:eastAsia="Times New Roman" w:cs="Arial"/>
          <w:color w:val="010101"/>
        </w:rPr>
        <w:t xml:space="preserve"> stakeholders to identify challenges, gaps, and areas of improvement in current </w:t>
      </w:r>
      <w:r w:rsidR="002A2E6C">
        <w:rPr>
          <w:rFonts w:eastAsia="Times New Roman" w:cs="Arial"/>
          <w:color w:val="010101"/>
        </w:rPr>
        <w:t xml:space="preserve">care home </w:t>
      </w:r>
      <w:r w:rsidR="002D4EB5" w:rsidRPr="00865459">
        <w:rPr>
          <w:rFonts w:eastAsia="Times New Roman" w:cs="Arial"/>
          <w:color w:val="010101"/>
        </w:rPr>
        <w:t xml:space="preserve">support </w:t>
      </w:r>
      <w:r w:rsidR="002A2E6C">
        <w:rPr>
          <w:rFonts w:eastAsia="Times New Roman" w:cs="Arial"/>
          <w:color w:val="010101"/>
        </w:rPr>
        <w:t xml:space="preserve">and </w:t>
      </w:r>
      <w:r w:rsidR="002D4EB5" w:rsidRPr="00865459">
        <w:rPr>
          <w:rFonts w:eastAsia="Times New Roman" w:cs="Arial"/>
          <w:color w:val="010101"/>
        </w:rPr>
        <w:t xml:space="preserve">identify possible solutions to improve care home resident experience. </w:t>
      </w:r>
    </w:p>
    <w:p w14:paraId="04DFE85B" w14:textId="270649D1" w:rsidR="002D4EB5" w:rsidRDefault="002D4EB5" w:rsidP="00CE3683">
      <w:pPr>
        <w:spacing w:after="0"/>
        <w:rPr>
          <w:rFonts w:eastAsia="Times New Roman" w:cs="Arial"/>
          <w:color w:val="010101"/>
        </w:rPr>
      </w:pPr>
      <w:r w:rsidRPr="00865459">
        <w:rPr>
          <w:rFonts w:eastAsia="Times New Roman" w:cs="Arial"/>
          <w:color w:val="010101"/>
        </w:rPr>
        <w:lastRenderedPageBreak/>
        <w:t>Across Hull and the East Riding of Yorkshire (ERY) there are approximately 6000 people in care homes</w:t>
      </w:r>
      <w:r w:rsidR="002A2E6C">
        <w:rPr>
          <w:rFonts w:eastAsia="Times New Roman" w:cs="Arial"/>
          <w:color w:val="010101"/>
        </w:rPr>
        <w:t xml:space="preserve"> and m</w:t>
      </w:r>
      <w:r w:rsidRPr="00865459">
        <w:rPr>
          <w:rFonts w:eastAsia="Times New Roman" w:cs="Arial"/>
          <w:color w:val="010101"/>
        </w:rPr>
        <w:t xml:space="preserve">ental health problems are common </w:t>
      </w:r>
      <w:r w:rsidR="002A2E6C">
        <w:rPr>
          <w:rFonts w:eastAsia="Times New Roman" w:cs="Arial"/>
          <w:color w:val="010101"/>
        </w:rPr>
        <w:t>within</w:t>
      </w:r>
      <w:r w:rsidRPr="00865459">
        <w:rPr>
          <w:rFonts w:eastAsia="Times New Roman" w:cs="Arial"/>
          <w:color w:val="010101"/>
        </w:rPr>
        <w:t xml:space="preserve"> this population. National figures show that up to 40% of care home residents suffer from depression and 20% display challenging behaviours. The transition to residential care can be very distressing and debilitating for the cared for, </w:t>
      </w:r>
      <w:r w:rsidR="002A2E6C">
        <w:rPr>
          <w:rFonts w:eastAsia="Times New Roman" w:cs="Arial"/>
          <w:color w:val="010101"/>
        </w:rPr>
        <w:t>and</w:t>
      </w:r>
      <w:r w:rsidRPr="00865459">
        <w:rPr>
          <w:rFonts w:eastAsia="Times New Roman" w:cs="Arial"/>
          <w:color w:val="010101"/>
        </w:rPr>
        <w:t xml:space="preserve"> also their carers and families. Furthermore, there are challenges in the identification of mental health problems and the right support. Services and organisations across Hull and ERY that support care home residents recognise that more can be done to support care home residents and work better together.</w:t>
      </w:r>
    </w:p>
    <w:p w14:paraId="1CE19DB6" w14:textId="25406D3B" w:rsidR="002D4EB5" w:rsidRPr="004248EB" w:rsidRDefault="002D4EB5" w:rsidP="002A2E6C">
      <w:pPr>
        <w:rPr>
          <w:rFonts w:cs="Arial"/>
        </w:rPr>
      </w:pPr>
      <w:r>
        <w:rPr>
          <w:rFonts w:cs="Arial"/>
        </w:rPr>
        <w:t>Online and face</w:t>
      </w:r>
      <w:r w:rsidR="00822594">
        <w:rPr>
          <w:rFonts w:cs="Arial"/>
        </w:rPr>
        <w:t>-</w:t>
      </w:r>
      <w:r>
        <w:rPr>
          <w:rFonts w:cs="Arial"/>
        </w:rPr>
        <w:t>to</w:t>
      </w:r>
      <w:r w:rsidR="00822594">
        <w:rPr>
          <w:rFonts w:cs="Arial"/>
        </w:rPr>
        <w:t>-</w:t>
      </w:r>
      <w:r>
        <w:rPr>
          <w:rFonts w:cs="Arial"/>
        </w:rPr>
        <w:t>face e</w:t>
      </w:r>
      <w:r w:rsidRPr="004248EB">
        <w:rPr>
          <w:rFonts w:cs="Arial"/>
        </w:rPr>
        <w:t xml:space="preserve">ngagement with stakeholders </w:t>
      </w:r>
      <w:r w:rsidR="002A2E6C">
        <w:rPr>
          <w:rFonts w:cs="Arial"/>
        </w:rPr>
        <w:t>identified</w:t>
      </w:r>
      <w:r w:rsidRPr="004248EB">
        <w:rPr>
          <w:rFonts w:cs="Arial"/>
        </w:rPr>
        <w:t xml:space="preserve"> issues and warning signs that could lead to mental health deterioration </w:t>
      </w:r>
      <w:r w:rsidR="002A2E6C">
        <w:rPr>
          <w:rFonts w:cs="Arial"/>
        </w:rPr>
        <w:t xml:space="preserve">and </w:t>
      </w:r>
      <w:r w:rsidRPr="004248EB">
        <w:rPr>
          <w:rFonts w:cs="Arial"/>
        </w:rPr>
        <w:t>result in crisis</w:t>
      </w:r>
      <w:r w:rsidR="002A2E6C">
        <w:rPr>
          <w:rFonts w:cs="Arial"/>
        </w:rPr>
        <w:t>.</w:t>
      </w:r>
      <w:r w:rsidRPr="004248EB">
        <w:rPr>
          <w:rFonts w:cs="Arial"/>
        </w:rPr>
        <w:t xml:space="preserve"> </w:t>
      </w:r>
      <w:r w:rsidR="00822594">
        <w:rPr>
          <w:rFonts w:cs="Arial"/>
        </w:rPr>
        <w:t>T</w:t>
      </w:r>
      <w:r>
        <w:rPr>
          <w:rFonts w:cs="Arial"/>
        </w:rPr>
        <w:t xml:space="preserve">he outputs were used to </w:t>
      </w:r>
      <w:r w:rsidRPr="004248EB">
        <w:rPr>
          <w:rFonts w:cs="Arial"/>
        </w:rPr>
        <w:t>co-produce system improvements to overcome issues and act on warning signs, improve outcomes for patients/residents.</w:t>
      </w:r>
    </w:p>
    <w:p w14:paraId="0E32A569" w14:textId="77777777" w:rsidR="002A2E6C" w:rsidRPr="00D326D4" w:rsidRDefault="002D4EB5" w:rsidP="002A2E6C">
      <w:pPr>
        <w:rPr>
          <w:rFonts w:cs="Arial"/>
          <w:color w:val="000000"/>
        </w:rPr>
      </w:pPr>
      <w:r>
        <w:rPr>
          <w:rFonts w:cs="Arial"/>
        </w:rPr>
        <w:t xml:space="preserve">The CCG’s engagement team developed </w:t>
      </w:r>
      <w:r w:rsidR="002A2E6C">
        <w:rPr>
          <w:rFonts w:cs="Arial"/>
        </w:rPr>
        <w:t>c</w:t>
      </w:r>
      <w:r w:rsidRPr="004248EB">
        <w:rPr>
          <w:rFonts w:cs="Arial"/>
        </w:rPr>
        <w:t xml:space="preserve">ase </w:t>
      </w:r>
      <w:r w:rsidR="002A2E6C">
        <w:rPr>
          <w:rFonts w:cs="Arial"/>
        </w:rPr>
        <w:t>studies</w:t>
      </w:r>
      <w:r w:rsidRPr="004248EB">
        <w:rPr>
          <w:rFonts w:cs="Arial"/>
        </w:rPr>
        <w:t xml:space="preserve"> to </w:t>
      </w:r>
      <w:r w:rsidRPr="00D326D4">
        <w:rPr>
          <w:rFonts w:cs="Arial"/>
        </w:rPr>
        <w:t xml:space="preserve">support discussion about the types of situations we </w:t>
      </w:r>
      <w:r w:rsidR="002A2E6C" w:rsidRPr="00D326D4">
        <w:rPr>
          <w:rFonts w:cs="Arial"/>
        </w:rPr>
        <w:t>were</w:t>
      </w:r>
      <w:r w:rsidRPr="00D326D4">
        <w:rPr>
          <w:rFonts w:cs="Arial"/>
        </w:rPr>
        <w:t xml:space="preserve"> looking to avoid. Discussion groups were held with </w:t>
      </w:r>
      <w:r w:rsidR="002A2E6C" w:rsidRPr="00D326D4">
        <w:rPr>
          <w:rFonts w:cs="Arial"/>
        </w:rPr>
        <w:t>h</w:t>
      </w:r>
      <w:r w:rsidRPr="00D326D4">
        <w:rPr>
          <w:rFonts w:cs="Arial"/>
        </w:rPr>
        <w:t xml:space="preserve">ealth professionals, </w:t>
      </w:r>
      <w:r w:rsidR="002A2E6C" w:rsidRPr="00D326D4">
        <w:rPr>
          <w:rFonts w:cs="Arial"/>
        </w:rPr>
        <w:t>f</w:t>
      </w:r>
      <w:r w:rsidRPr="00D326D4">
        <w:rPr>
          <w:rFonts w:cs="Arial"/>
        </w:rPr>
        <w:t xml:space="preserve">amilies and </w:t>
      </w:r>
      <w:r w:rsidR="002A2E6C" w:rsidRPr="00D326D4">
        <w:rPr>
          <w:rFonts w:cs="Arial"/>
        </w:rPr>
        <w:t>c</w:t>
      </w:r>
      <w:r w:rsidRPr="00D326D4">
        <w:rPr>
          <w:rFonts w:cs="Arial"/>
        </w:rPr>
        <w:t xml:space="preserve">arers, </w:t>
      </w:r>
      <w:r w:rsidR="002A2E6C" w:rsidRPr="00D326D4">
        <w:rPr>
          <w:rFonts w:cs="Arial"/>
        </w:rPr>
        <w:t>s</w:t>
      </w:r>
      <w:r w:rsidRPr="00D326D4">
        <w:rPr>
          <w:rFonts w:cs="Arial"/>
        </w:rPr>
        <w:t xml:space="preserve">ocial </w:t>
      </w:r>
      <w:r w:rsidR="002A2E6C" w:rsidRPr="00D326D4">
        <w:rPr>
          <w:rFonts w:cs="Arial"/>
        </w:rPr>
        <w:t>c</w:t>
      </w:r>
      <w:r w:rsidRPr="00D326D4">
        <w:rPr>
          <w:rFonts w:cs="Arial"/>
        </w:rPr>
        <w:t xml:space="preserve">are professionals, </w:t>
      </w:r>
      <w:r w:rsidR="002A2E6C" w:rsidRPr="00D326D4">
        <w:rPr>
          <w:rFonts w:cs="Arial"/>
        </w:rPr>
        <w:t>v</w:t>
      </w:r>
      <w:r w:rsidRPr="00D326D4">
        <w:rPr>
          <w:rFonts w:cs="Arial"/>
        </w:rPr>
        <w:t xml:space="preserve">oluntary community and </w:t>
      </w:r>
      <w:r w:rsidR="002A2E6C" w:rsidRPr="00D326D4">
        <w:rPr>
          <w:rFonts w:cs="Arial"/>
        </w:rPr>
        <w:t>s</w:t>
      </w:r>
      <w:r w:rsidRPr="00D326D4">
        <w:rPr>
          <w:rFonts w:cs="Arial"/>
        </w:rPr>
        <w:t xml:space="preserve">ocial </w:t>
      </w:r>
      <w:r w:rsidR="002A2E6C" w:rsidRPr="00D326D4">
        <w:rPr>
          <w:rFonts w:cs="Arial"/>
        </w:rPr>
        <w:t>e</w:t>
      </w:r>
      <w:r w:rsidRPr="00D326D4">
        <w:rPr>
          <w:rFonts w:cs="Arial"/>
        </w:rPr>
        <w:t xml:space="preserve">nterprise sector colleagues, other local authority staff </w:t>
      </w:r>
      <w:r w:rsidRPr="00D326D4">
        <w:rPr>
          <w:rFonts w:cs="Arial"/>
          <w:color w:val="000000"/>
        </w:rPr>
        <w:t xml:space="preserve">and </w:t>
      </w:r>
      <w:r w:rsidR="002A2E6C" w:rsidRPr="00D326D4">
        <w:rPr>
          <w:rFonts w:cs="Arial"/>
          <w:color w:val="000000"/>
        </w:rPr>
        <w:t>m</w:t>
      </w:r>
      <w:r w:rsidRPr="00D326D4">
        <w:rPr>
          <w:rFonts w:cs="Arial"/>
          <w:color w:val="000000"/>
        </w:rPr>
        <w:t xml:space="preserve">ental </w:t>
      </w:r>
      <w:r w:rsidR="002A2E6C" w:rsidRPr="00D326D4">
        <w:rPr>
          <w:rFonts w:cs="Arial"/>
          <w:color w:val="000000"/>
        </w:rPr>
        <w:t>h</w:t>
      </w:r>
      <w:r w:rsidRPr="00D326D4">
        <w:rPr>
          <w:rFonts w:cs="Arial"/>
          <w:color w:val="000000"/>
        </w:rPr>
        <w:t xml:space="preserve">ealth services. </w:t>
      </w:r>
    </w:p>
    <w:p w14:paraId="4D359EA4" w14:textId="7EA6BC21" w:rsidR="002D4EB5" w:rsidRPr="00D326D4" w:rsidRDefault="002D4EB5" w:rsidP="008C0386">
      <w:pPr>
        <w:rPr>
          <w:rFonts w:cs="Arial"/>
        </w:rPr>
      </w:pPr>
      <w:r w:rsidRPr="00D326D4">
        <w:rPr>
          <w:rFonts w:cs="Arial"/>
          <w:color w:val="000000"/>
        </w:rPr>
        <w:t xml:space="preserve">The output of each of the workshops was analysed </w:t>
      </w:r>
      <w:r w:rsidR="008C0386" w:rsidRPr="00D326D4">
        <w:rPr>
          <w:rFonts w:cs="Arial"/>
          <w:color w:val="000000"/>
        </w:rPr>
        <w:t>and this helped to</w:t>
      </w:r>
      <w:r w:rsidRPr="00D326D4">
        <w:rPr>
          <w:rFonts w:cs="Arial"/>
          <w:color w:val="000000"/>
        </w:rPr>
        <w:t xml:space="preserve"> inform survey</w:t>
      </w:r>
      <w:r w:rsidR="008C0386" w:rsidRPr="00D326D4">
        <w:rPr>
          <w:rFonts w:cs="Arial"/>
          <w:color w:val="000000"/>
        </w:rPr>
        <w:t xml:space="preserve"> development</w:t>
      </w:r>
      <w:r w:rsidRPr="00D326D4">
        <w:rPr>
          <w:rFonts w:cs="Arial"/>
          <w:color w:val="000000"/>
        </w:rPr>
        <w:t xml:space="preserve"> for professionals and families/carers to widen engagement reach</w:t>
      </w:r>
      <w:r w:rsidR="008C0386" w:rsidRPr="00D326D4">
        <w:rPr>
          <w:rFonts w:cs="Arial"/>
          <w:color w:val="000000"/>
        </w:rPr>
        <w:t>,</w:t>
      </w:r>
      <w:r w:rsidRPr="00D326D4">
        <w:rPr>
          <w:rFonts w:cs="Arial"/>
          <w:color w:val="000000"/>
        </w:rPr>
        <w:t xml:space="preserve"> and </w:t>
      </w:r>
      <w:r w:rsidR="008C0386" w:rsidRPr="00D326D4">
        <w:rPr>
          <w:rFonts w:cs="Arial"/>
          <w:color w:val="000000"/>
        </w:rPr>
        <w:t>identify the</w:t>
      </w:r>
      <w:r w:rsidRPr="00D326D4">
        <w:rPr>
          <w:rFonts w:cs="Arial"/>
          <w:color w:val="000000"/>
        </w:rPr>
        <w:t xml:space="preserve"> key challenges to supporting residents. A multi-stakeholder virtual workshop was also held to determine and prioritise solutions </w:t>
      </w:r>
      <w:r w:rsidR="008C0386" w:rsidRPr="00D326D4">
        <w:rPr>
          <w:rFonts w:cs="Arial"/>
          <w:color w:val="000000"/>
        </w:rPr>
        <w:t>for</w:t>
      </w:r>
      <w:r w:rsidRPr="00D326D4">
        <w:rPr>
          <w:rFonts w:cs="Arial"/>
          <w:color w:val="000000"/>
        </w:rPr>
        <w:t xml:space="preserve"> key challenges faced </w:t>
      </w:r>
      <w:r w:rsidR="008C0386" w:rsidRPr="00D326D4">
        <w:rPr>
          <w:rFonts w:cs="Arial"/>
          <w:color w:val="000000"/>
        </w:rPr>
        <w:t>in</w:t>
      </w:r>
      <w:r w:rsidRPr="00D326D4">
        <w:rPr>
          <w:rFonts w:cs="Arial"/>
          <w:color w:val="000000"/>
        </w:rPr>
        <w:t xml:space="preserve"> supporting care home residents</w:t>
      </w:r>
      <w:r w:rsidR="008C0386" w:rsidRPr="00D326D4">
        <w:rPr>
          <w:rFonts w:cs="Arial"/>
          <w:color w:val="000000"/>
        </w:rPr>
        <w:t>. Several</w:t>
      </w:r>
      <w:r w:rsidRPr="00D326D4">
        <w:rPr>
          <w:rFonts w:cs="Arial"/>
          <w:color w:val="000000"/>
        </w:rPr>
        <w:t xml:space="preserve"> recommendations have </w:t>
      </w:r>
      <w:r w:rsidR="008C0386" w:rsidRPr="00D326D4">
        <w:rPr>
          <w:rFonts w:cs="Arial"/>
          <w:color w:val="000000"/>
        </w:rPr>
        <w:t xml:space="preserve">now </w:t>
      </w:r>
      <w:r w:rsidRPr="00D326D4">
        <w:rPr>
          <w:rFonts w:cs="Arial"/>
          <w:color w:val="000000"/>
        </w:rPr>
        <w:t xml:space="preserve">been taken forward for future service planning. </w:t>
      </w:r>
    </w:p>
    <w:p w14:paraId="1D13EA0C" w14:textId="77777777" w:rsidR="002D4EB5" w:rsidRPr="00D326D4" w:rsidRDefault="002D4EB5" w:rsidP="002D4EB5">
      <w:pPr>
        <w:jc w:val="both"/>
        <w:rPr>
          <w:rFonts w:cs="Arial"/>
          <w:b/>
          <w:bCs/>
        </w:rPr>
      </w:pPr>
      <w:r w:rsidRPr="00D326D4">
        <w:rPr>
          <w:rFonts w:cs="Arial"/>
          <w:b/>
          <w:bCs/>
        </w:rPr>
        <w:t xml:space="preserve">Social Prescribing (Hull) </w:t>
      </w:r>
    </w:p>
    <w:p w14:paraId="20069A7D" w14:textId="0E3C8165" w:rsidR="002D4EB5" w:rsidRPr="00D326D4" w:rsidRDefault="002D4EB5" w:rsidP="008C0386">
      <w:pPr>
        <w:rPr>
          <w:rFonts w:eastAsia="Times New Roman" w:cs="Arial"/>
          <w:color w:val="010101"/>
        </w:rPr>
      </w:pPr>
      <w:r w:rsidRPr="00D326D4">
        <w:rPr>
          <w:rFonts w:eastAsia="Times New Roman" w:cs="Arial"/>
          <w:color w:val="010101"/>
        </w:rPr>
        <w:t xml:space="preserve">Social prescribing is a way for local </w:t>
      </w:r>
      <w:r w:rsidR="008C0386" w:rsidRPr="00D326D4">
        <w:rPr>
          <w:rFonts w:eastAsia="Times New Roman" w:cs="Arial"/>
          <w:color w:val="010101"/>
        </w:rPr>
        <w:t>organisations</w:t>
      </w:r>
      <w:r w:rsidRPr="00D326D4">
        <w:rPr>
          <w:rFonts w:eastAsia="Times New Roman" w:cs="Arial"/>
          <w:color w:val="010101"/>
        </w:rPr>
        <w:t xml:space="preserve"> to refer people to a link worker who take</w:t>
      </w:r>
      <w:r w:rsidR="008C0386" w:rsidRPr="00D326D4">
        <w:rPr>
          <w:rFonts w:eastAsia="Times New Roman" w:cs="Arial"/>
          <w:color w:val="010101"/>
        </w:rPr>
        <w:t>s</w:t>
      </w:r>
      <w:r w:rsidRPr="00D326D4">
        <w:rPr>
          <w:rFonts w:eastAsia="Times New Roman" w:cs="Arial"/>
          <w:color w:val="010101"/>
        </w:rPr>
        <w:t xml:space="preserve"> a holistic approach to people’s health and wellbeing and </w:t>
      </w:r>
      <w:r w:rsidR="008C0386" w:rsidRPr="00D326D4">
        <w:rPr>
          <w:rFonts w:eastAsia="Times New Roman" w:cs="Arial"/>
          <w:color w:val="010101"/>
        </w:rPr>
        <w:t xml:space="preserve">this </w:t>
      </w:r>
      <w:r w:rsidRPr="00D326D4">
        <w:rPr>
          <w:rFonts w:eastAsia="Times New Roman" w:cs="Arial"/>
          <w:color w:val="010101"/>
        </w:rPr>
        <w:t>can connect people to community groups and statutory services for practical and emotional support. </w:t>
      </w:r>
      <w:r w:rsidR="00822594" w:rsidRPr="00D326D4">
        <w:rPr>
          <w:rFonts w:eastAsia="Times New Roman" w:cs="Arial"/>
          <w:color w:val="010101"/>
        </w:rPr>
        <w:t>In 2021</w:t>
      </w:r>
      <w:r w:rsidR="008C0386" w:rsidRPr="00D326D4">
        <w:rPr>
          <w:rFonts w:eastAsia="Times New Roman" w:cs="Arial"/>
          <w:color w:val="010101"/>
        </w:rPr>
        <w:t xml:space="preserve"> </w:t>
      </w:r>
      <w:r w:rsidRPr="00D326D4">
        <w:rPr>
          <w:rFonts w:cs="Arial"/>
        </w:rPr>
        <w:t>Hull CCG worked in partnership with Hull City Council to conduct an engagement exercise to support the development of a revised social prescribing service specification.</w:t>
      </w:r>
    </w:p>
    <w:p w14:paraId="5074ABB6" w14:textId="77777777" w:rsidR="00D467CF" w:rsidRPr="00D326D4" w:rsidRDefault="002D4EB5" w:rsidP="00D467CF">
      <w:pPr>
        <w:rPr>
          <w:rFonts w:cs="Arial"/>
        </w:rPr>
      </w:pPr>
      <w:r w:rsidRPr="00D326D4">
        <w:rPr>
          <w:rFonts w:cs="Arial"/>
        </w:rPr>
        <w:t xml:space="preserve">Initial discussion sessions held with Primary Care Network </w:t>
      </w:r>
      <w:r w:rsidR="008C0386" w:rsidRPr="00D326D4">
        <w:rPr>
          <w:rFonts w:cs="Arial"/>
        </w:rPr>
        <w:t xml:space="preserve">(PCN) </w:t>
      </w:r>
      <w:r w:rsidRPr="00D326D4">
        <w:rPr>
          <w:rFonts w:cs="Arial"/>
        </w:rPr>
        <w:t xml:space="preserve">leads, </w:t>
      </w:r>
      <w:r w:rsidR="00D467CF" w:rsidRPr="00D326D4">
        <w:rPr>
          <w:rFonts w:cs="Arial"/>
        </w:rPr>
        <w:t>s</w:t>
      </w:r>
      <w:r w:rsidRPr="00D326D4">
        <w:rPr>
          <w:rFonts w:cs="Arial"/>
        </w:rPr>
        <w:t xml:space="preserve">ocial </w:t>
      </w:r>
      <w:r w:rsidR="00D467CF" w:rsidRPr="00D326D4">
        <w:rPr>
          <w:rFonts w:cs="Arial"/>
        </w:rPr>
        <w:t>p</w:t>
      </w:r>
      <w:r w:rsidRPr="00D326D4">
        <w:rPr>
          <w:rFonts w:cs="Arial"/>
        </w:rPr>
        <w:t xml:space="preserve">rescribing staff, the </w:t>
      </w:r>
      <w:r w:rsidR="008C0386" w:rsidRPr="00D326D4">
        <w:rPr>
          <w:rFonts w:cs="Arial"/>
        </w:rPr>
        <w:t xml:space="preserve">local </w:t>
      </w:r>
      <w:r w:rsidR="00D467CF" w:rsidRPr="00D326D4">
        <w:rPr>
          <w:rFonts w:cs="Arial"/>
        </w:rPr>
        <w:t>w</w:t>
      </w:r>
      <w:r w:rsidRPr="00D326D4">
        <w:rPr>
          <w:rFonts w:cs="Arial"/>
        </w:rPr>
        <w:t xml:space="preserve">elfare </w:t>
      </w:r>
      <w:r w:rsidR="00D467CF" w:rsidRPr="00D326D4">
        <w:rPr>
          <w:rFonts w:cs="Arial"/>
        </w:rPr>
        <w:t>a</w:t>
      </w:r>
      <w:r w:rsidRPr="00D326D4">
        <w:rPr>
          <w:rFonts w:cs="Arial"/>
        </w:rPr>
        <w:t xml:space="preserve">dvice service, local authority </w:t>
      </w:r>
      <w:r w:rsidR="00D467CF" w:rsidRPr="00D326D4">
        <w:rPr>
          <w:rFonts w:cs="Arial"/>
        </w:rPr>
        <w:t>‘</w:t>
      </w:r>
      <w:r w:rsidRPr="00D326D4">
        <w:rPr>
          <w:rFonts w:cs="Arial"/>
        </w:rPr>
        <w:t>See and Solve</w:t>
      </w:r>
      <w:r w:rsidR="00D467CF" w:rsidRPr="00D326D4">
        <w:rPr>
          <w:rFonts w:cs="Arial"/>
        </w:rPr>
        <w:t>’</w:t>
      </w:r>
      <w:r w:rsidRPr="00D326D4">
        <w:rPr>
          <w:rFonts w:cs="Arial"/>
        </w:rPr>
        <w:t xml:space="preserve"> teams, </w:t>
      </w:r>
      <w:r w:rsidR="00D467CF" w:rsidRPr="00D326D4">
        <w:rPr>
          <w:rFonts w:cs="Arial"/>
        </w:rPr>
        <w:t>s</w:t>
      </w:r>
      <w:r w:rsidRPr="00D326D4">
        <w:rPr>
          <w:rFonts w:cs="Arial"/>
        </w:rPr>
        <w:t xml:space="preserve">ocial </w:t>
      </w:r>
      <w:r w:rsidR="00D467CF" w:rsidRPr="00D326D4">
        <w:rPr>
          <w:rFonts w:cs="Arial"/>
        </w:rPr>
        <w:t>c</w:t>
      </w:r>
      <w:r w:rsidRPr="00D326D4">
        <w:rPr>
          <w:rFonts w:cs="Arial"/>
        </w:rPr>
        <w:t xml:space="preserve">are and </w:t>
      </w:r>
      <w:r w:rsidR="00D467CF" w:rsidRPr="00D326D4">
        <w:rPr>
          <w:rFonts w:cs="Arial"/>
        </w:rPr>
        <w:t>p</w:t>
      </w:r>
      <w:r w:rsidRPr="00D326D4">
        <w:rPr>
          <w:rFonts w:cs="Arial"/>
        </w:rPr>
        <w:t xml:space="preserve">ublic </w:t>
      </w:r>
      <w:r w:rsidR="00D467CF" w:rsidRPr="00D326D4">
        <w:rPr>
          <w:rFonts w:cs="Arial"/>
        </w:rPr>
        <w:t>h</w:t>
      </w:r>
      <w:r w:rsidRPr="00D326D4">
        <w:rPr>
          <w:rFonts w:cs="Arial"/>
        </w:rPr>
        <w:t xml:space="preserve">ealth to gain understanding of how </w:t>
      </w:r>
      <w:r w:rsidR="00D467CF" w:rsidRPr="00D326D4">
        <w:rPr>
          <w:rFonts w:cs="Arial"/>
        </w:rPr>
        <w:t>the service</w:t>
      </w:r>
      <w:r w:rsidRPr="00D326D4">
        <w:rPr>
          <w:rFonts w:cs="Arial"/>
        </w:rPr>
        <w:t xml:space="preserve"> currently </w:t>
      </w:r>
      <w:r w:rsidR="00D467CF" w:rsidRPr="00D326D4">
        <w:rPr>
          <w:rFonts w:cs="Arial"/>
        </w:rPr>
        <w:t>operates</w:t>
      </w:r>
      <w:r w:rsidRPr="00D326D4">
        <w:rPr>
          <w:rFonts w:cs="Arial"/>
        </w:rPr>
        <w:t xml:space="preserve">, how </w:t>
      </w:r>
      <w:r w:rsidR="00D467CF" w:rsidRPr="00D326D4">
        <w:rPr>
          <w:rFonts w:cs="Arial"/>
        </w:rPr>
        <w:t>it</w:t>
      </w:r>
      <w:r w:rsidRPr="00D326D4">
        <w:rPr>
          <w:rFonts w:cs="Arial"/>
        </w:rPr>
        <w:t xml:space="preserve"> might work in the future following recent national changes to social prescribing, and where improvements could be made. </w:t>
      </w:r>
    </w:p>
    <w:p w14:paraId="0DF391EE" w14:textId="423CC1C7" w:rsidR="002D4EB5" w:rsidRPr="00D326D4" w:rsidRDefault="002D4EB5" w:rsidP="00D467CF">
      <w:pPr>
        <w:rPr>
          <w:rFonts w:cs="Arial"/>
        </w:rPr>
      </w:pPr>
      <w:r w:rsidRPr="00D326D4">
        <w:rPr>
          <w:rFonts w:cs="Arial"/>
        </w:rPr>
        <w:t xml:space="preserve">Pathway sessions were held with </w:t>
      </w:r>
      <w:r w:rsidR="00D467CF" w:rsidRPr="00D326D4">
        <w:rPr>
          <w:rFonts w:cs="Arial"/>
        </w:rPr>
        <w:t>s</w:t>
      </w:r>
      <w:r w:rsidRPr="00D326D4">
        <w:rPr>
          <w:rFonts w:cs="Arial"/>
        </w:rPr>
        <w:t xml:space="preserve">ocial </w:t>
      </w:r>
      <w:r w:rsidR="00D467CF" w:rsidRPr="00D326D4">
        <w:rPr>
          <w:rFonts w:cs="Arial"/>
        </w:rPr>
        <w:t>p</w:t>
      </w:r>
      <w:r w:rsidRPr="00D326D4">
        <w:rPr>
          <w:rFonts w:cs="Arial"/>
        </w:rPr>
        <w:t>rescribing providers, welfare advice service and associated services to determine possible future pathway</w:t>
      </w:r>
      <w:r w:rsidR="00822594" w:rsidRPr="00D326D4">
        <w:rPr>
          <w:rFonts w:cs="Arial"/>
        </w:rPr>
        <w:t>s</w:t>
      </w:r>
      <w:r w:rsidRPr="00D326D4">
        <w:rPr>
          <w:rFonts w:cs="Arial"/>
        </w:rPr>
        <w:t xml:space="preserve">. Co-production sessions with stakeholders </w:t>
      </w:r>
      <w:r w:rsidR="00D467CF" w:rsidRPr="00D326D4">
        <w:rPr>
          <w:rFonts w:cs="Arial"/>
        </w:rPr>
        <w:t>helped</w:t>
      </w:r>
      <w:r w:rsidRPr="00D326D4">
        <w:rPr>
          <w:rFonts w:cs="Arial"/>
        </w:rPr>
        <w:t xml:space="preserve"> develop a</w:t>
      </w:r>
      <w:r w:rsidR="00D467CF" w:rsidRPr="00D326D4">
        <w:rPr>
          <w:rFonts w:cs="Arial"/>
        </w:rPr>
        <w:t xml:space="preserve"> greater</w:t>
      </w:r>
      <w:r w:rsidRPr="00D326D4">
        <w:rPr>
          <w:rFonts w:cs="Arial"/>
        </w:rPr>
        <w:t xml:space="preserve"> understanding of social </w:t>
      </w:r>
      <w:r w:rsidRPr="00D326D4">
        <w:rPr>
          <w:rFonts w:cs="Arial"/>
          <w:color w:val="000000"/>
        </w:rPr>
        <w:t>prescribing</w:t>
      </w:r>
      <w:r w:rsidR="00D467CF" w:rsidRPr="00D326D4">
        <w:rPr>
          <w:rFonts w:cs="Arial"/>
          <w:color w:val="000000"/>
        </w:rPr>
        <w:t xml:space="preserve">, which has helped to </w:t>
      </w:r>
      <w:r w:rsidRPr="00D326D4">
        <w:rPr>
          <w:rFonts w:cs="Arial"/>
          <w:color w:val="000000"/>
        </w:rPr>
        <w:t xml:space="preserve">inform the revised service specification. </w:t>
      </w:r>
    </w:p>
    <w:p w14:paraId="5B734EF0" w14:textId="332A5DFF" w:rsidR="005D4085" w:rsidRPr="00D326D4" w:rsidRDefault="005D4085" w:rsidP="005D4085">
      <w:pPr>
        <w:pStyle w:val="Heading3"/>
      </w:pPr>
      <w:bookmarkStart w:id="36" w:name="_Toc41479065"/>
      <w:bookmarkStart w:id="37" w:name="_Toc103695028"/>
      <w:r w:rsidRPr="00D326D4">
        <w:t>We said…We did … co-production work in 2021-2</w:t>
      </w:r>
      <w:bookmarkEnd w:id="36"/>
      <w:r w:rsidRPr="00D326D4">
        <w:t>2</w:t>
      </w:r>
      <w:bookmarkEnd w:id="37"/>
    </w:p>
    <w:p w14:paraId="5432077D" w14:textId="0A7B91D3" w:rsidR="002D4EB5" w:rsidRPr="00D326D4" w:rsidRDefault="002D4EB5" w:rsidP="007C3347">
      <w:pPr>
        <w:spacing w:after="0"/>
        <w:rPr>
          <w:rFonts w:cs="Arial"/>
          <w:b/>
          <w:bCs/>
          <w:color w:val="FF0000"/>
        </w:rPr>
      </w:pPr>
      <w:r w:rsidRPr="00D326D4">
        <w:rPr>
          <w:rFonts w:cs="Arial"/>
          <w:b/>
          <w:bCs/>
          <w:color w:val="000000"/>
        </w:rPr>
        <w:t xml:space="preserve">Neurodiversity </w:t>
      </w:r>
      <w:r w:rsidR="00CB7961" w:rsidRPr="00D326D4">
        <w:rPr>
          <w:rFonts w:cs="Arial"/>
          <w:b/>
          <w:bCs/>
          <w:color w:val="000000"/>
        </w:rPr>
        <w:t>s</w:t>
      </w:r>
      <w:r w:rsidRPr="00D326D4">
        <w:rPr>
          <w:rFonts w:cs="Arial"/>
          <w:b/>
          <w:bCs/>
          <w:color w:val="000000"/>
        </w:rPr>
        <w:t>ervice development (Hull and East Riding)</w:t>
      </w:r>
      <w:r w:rsidR="00C0670D" w:rsidRPr="00D326D4">
        <w:rPr>
          <w:rFonts w:cs="Arial"/>
          <w:b/>
          <w:bCs/>
          <w:color w:val="000000"/>
        </w:rPr>
        <w:t xml:space="preserve"> </w:t>
      </w:r>
    </w:p>
    <w:p w14:paraId="1E5630D0" w14:textId="376C9472" w:rsidR="002D4EB5" w:rsidRPr="00D326D4" w:rsidRDefault="002D4EB5" w:rsidP="002D4EB5">
      <w:pPr>
        <w:rPr>
          <w:rFonts w:cs="Arial"/>
          <w:strike/>
          <w:color w:val="010101"/>
        </w:rPr>
      </w:pPr>
      <w:r w:rsidRPr="00D326D4">
        <w:rPr>
          <w:rFonts w:cs="Arial"/>
          <w:color w:val="010101"/>
        </w:rPr>
        <w:t xml:space="preserve">The Hull and East Riding of Yorkshire Children’s Neurodiversity Service provides support to children and young people with neurodiverse conditions (or presentation) and their parents/carers and families. Neurodiverse conditions </w:t>
      </w:r>
      <w:r w:rsidR="00D467CF" w:rsidRPr="00D326D4">
        <w:rPr>
          <w:rFonts w:cs="Arial"/>
          <w:color w:val="010101"/>
        </w:rPr>
        <w:t>can include</w:t>
      </w:r>
      <w:r w:rsidRPr="00D326D4">
        <w:rPr>
          <w:rFonts w:cs="Arial"/>
          <w:color w:val="010101"/>
        </w:rPr>
        <w:t xml:space="preserve"> autism, ADHD, </w:t>
      </w:r>
      <w:r w:rsidR="00D467CF" w:rsidRPr="00D326D4">
        <w:rPr>
          <w:rFonts w:cs="Arial"/>
          <w:color w:val="010101"/>
        </w:rPr>
        <w:t>s</w:t>
      </w:r>
      <w:r w:rsidRPr="00D326D4">
        <w:rPr>
          <w:rFonts w:cs="Arial"/>
          <w:color w:val="010101"/>
        </w:rPr>
        <w:t xml:space="preserve">ensory issues, </w:t>
      </w:r>
      <w:r w:rsidR="00D467CF" w:rsidRPr="00D326D4">
        <w:rPr>
          <w:rFonts w:cs="Arial"/>
          <w:color w:val="010101"/>
        </w:rPr>
        <w:t>l</w:t>
      </w:r>
      <w:r w:rsidRPr="00D326D4">
        <w:rPr>
          <w:rFonts w:cs="Arial"/>
          <w:color w:val="010101"/>
        </w:rPr>
        <w:t xml:space="preserve">earning </w:t>
      </w:r>
      <w:r w:rsidR="00D467CF" w:rsidRPr="00D326D4">
        <w:rPr>
          <w:rFonts w:cs="Arial"/>
          <w:color w:val="010101"/>
        </w:rPr>
        <w:t>d</w:t>
      </w:r>
      <w:r w:rsidRPr="00D326D4">
        <w:rPr>
          <w:rFonts w:cs="Arial"/>
          <w:color w:val="010101"/>
        </w:rPr>
        <w:t xml:space="preserve">isabilities, </w:t>
      </w:r>
      <w:r w:rsidR="00D467CF" w:rsidRPr="00D326D4">
        <w:rPr>
          <w:rFonts w:cs="Arial"/>
          <w:color w:val="010101"/>
        </w:rPr>
        <w:t>C</w:t>
      </w:r>
      <w:r w:rsidRPr="00D326D4">
        <w:rPr>
          <w:rFonts w:cs="Arial"/>
          <w:color w:val="010101"/>
        </w:rPr>
        <w:t xml:space="preserve">erebral </w:t>
      </w:r>
      <w:r w:rsidR="00D467CF" w:rsidRPr="00D326D4">
        <w:rPr>
          <w:rFonts w:cs="Arial"/>
          <w:color w:val="010101"/>
        </w:rPr>
        <w:t>P</w:t>
      </w:r>
      <w:r w:rsidRPr="00D326D4">
        <w:rPr>
          <w:rFonts w:cs="Arial"/>
          <w:color w:val="010101"/>
        </w:rPr>
        <w:t xml:space="preserve">alsy and Downs Syndrome. </w:t>
      </w:r>
    </w:p>
    <w:p w14:paraId="6B9B4C57" w14:textId="185A5D96" w:rsidR="002D4EB5" w:rsidRPr="00D326D4" w:rsidRDefault="002D4EB5" w:rsidP="002D4EB5">
      <w:pPr>
        <w:rPr>
          <w:rFonts w:cs="Arial"/>
          <w:color w:val="010101"/>
        </w:rPr>
      </w:pPr>
      <w:r w:rsidRPr="00D326D4">
        <w:rPr>
          <w:rFonts w:cs="Arial"/>
          <w:color w:val="010101"/>
        </w:rPr>
        <w:t xml:space="preserve">In response to feedback received from children, young people, their parents and carers, and </w:t>
      </w:r>
      <w:r w:rsidR="00C0670D" w:rsidRPr="00D326D4">
        <w:rPr>
          <w:rFonts w:cs="Arial"/>
          <w:color w:val="010101"/>
        </w:rPr>
        <w:t>people who</w:t>
      </w:r>
      <w:r w:rsidRPr="00D326D4">
        <w:rPr>
          <w:rFonts w:cs="Arial"/>
          <w:color w:val="010101"/>
        </w:rPr>
        <w:t xml:space="preserve"> work to support them, a series of service reviews and events were undertaken in 2019. The main engagement event in March 2019 ‘Let’s Talk … Children’s Neuro Stuff’, produced an Evaluation Report </w:t>
      </w:r>
      <w:r w:rsidRPr="00D326D4">
        <w:rPr>
          <w:rFonts w:cs="Arial"/>
          <w:color w:val="010101"/>
        </w:rPr>
        <w:lastRenderedPageBreak/>
        <w:t>that included the co-produced vision, values and overarching service model for local services that support children and young people with neurodiverse needs.</w:t>
      </w:r>
    </w:p>
    <w:p w14:paraId="153796C4" w14:textId="659F8B77" w:rsidR="00C0670D" w:rsidRPr="00D326D4" w:rsidRDefault="002D4EB5" w:rsidP="005D4085">
      <w:pPr>
        <w:spacing w:after="0"/>
        <w:rPr>
          <w:rFonts w:cs="Arial"/>
        </w:rPr>
      </w:pPr>
      <w:r w:rsidRPr="00D326D4">
        <w:rPr>
          <w:rFonts w:cs="Arial"/>
        </w:rPr>
        <w:t xml:space="preserve">The pandemic initially </w:t>
      </w:r>
      <w:r w:rsidR="00C0670D" w:rsidRPr="00D326D4">
        <w:rPr>
          <w:rFonts w:cs="Arial"/>
        </w:rPr>
        <w:t>paused</w:t>
      </w:r>
      <w:r w:rsidRPr="00D326D4">
        <w:rPr>
          <w:rFonts w:cs="Arial"/>
        </w:rPr>
        <w:t xml:space="preserve"> some of this work and when </w:t>
      </w:r>
      <w:r w:rsidR="00C0670D" w:rsidRPr="00D326D4">
        <w:rPr>
          <w:rFonts w:cs="Arial"/>
        </w:rPr>
        <w:t>the work</w:t>
      </w:r>
      <w:r w:rsidRPr="00D326D4">
        <w:rPr>
          <w:rFonts w:cs="Arial"/>
        </w:rPr>
        <w:t xml:space="preserve"> resumed </w:t>
      </w:r>
      <w:r w:rsidR="00F72D00" w:rsidRPr="00D326D4">
        <w:rPr>
          <w:rFonts w:cs="Arial"/>
        </w:rPr>
        <w:t>and</w:t>
      </w:r>
      <w:r w:rsidRPr="00D326D4">
        <w:rPr>
          <w:rFonts w:cs="Arial"/>
        </w:rPr>
        <w:t xml:space="preserve"> due to </w:t>
      </w:r>
      <w:r w:rsidR="00C0670D" w:rsidRPr="00D326D4">
        <w:rPr>
          <w:rFonts w:cs="Arial"/>
        </w:rPr>
        <w:t>passage of time</w:t>
      </w:r>
      <w:r w:rsidRPr="00D326D4">
        <w:rPr>
          <w:rFonts w:cs="Arial"/>
        </w:rPr>
        <w:t xml:space="preserve"> since the original “Lets Talk Neuro Stuff” session, confirmation sessions </w:t>
      </w:r>
      <w:r w:rsidR="00F72D00" w:rsidRPr="00D326D4">
        <w:rPr>
          <w:rFonts w:cs="Arial"/>
        </w:rPr>
        <w:t>were held to</w:t>
      </w:r>
      <w:r w:rsidRPr="00D326D4">
        <w:rPr>
          <w:rFonts w:cs="Arial"/>
        </w:rPr>
        <w:t xml:space="preserve"> ensure that the issues and priorities identified at the </w:t>
      </w:r>
      <w:r w:rsidR="00C0670D" w:rsidRPr="00D326D4">
        <w:rPr>
          <w:rFonts w:cs="Arial"/>
        </w:rPr>
        <w:t xml:space="preserve">initial </w:t>
      </w:r>
      <w:r w:rsidRPr="00D326D4">
        <w:rPr>
          <w:rFonts w:cs="Arial"/>
        </w:rPr>
        <w:t>event remained</w:t>
      </w:r>
      <w:r w:rsidR="00C0670D" w:rsidRPr="00D326D4">
        <w:rPr>
          <w:rFonts w:cs="Arial"/>
        </w:rPr>
        <w:t>. I</w:t>
      </w:r>
      <w:r w:rsidRPr="00D326D4">
        <w:rPr>
          <w:rFonts w:cs="Arial"/>
        </w:rPr>
        <w:t>t was also an opportunity to reach out to children and young people as well as East Riding parents and carers who were under</w:t>
      </w:r>
      <w:r w:rsidR="00C0670D" w:rsidRPr="00D326D4">
        <w:rPr>
          <w:rFonts w:cs="Arial"/>
        </w:rPr>
        <w:t>-</w:t>
      </w:r>
      <w:r w:rsidRPr="00D326D4">
        <w:rPr>
          <w:rFonts w:cs="Arial"/>
        </w:rPr>
        <w:t xml:space="preserve">represented at the original event. </w:t>
      </w:r>
    </w:p>
    <w:p w14:paraId="6C7E0F3C" w14:textId="30F468BE" w:rsidR="002D4EB5" w:rsidRPr="00D326D4" w:rsidRDefault="002D4EB5" w:rsidP="00961D0C">
      <w:pPr>
        <w:spacing w:after="0"/>
        <w:rPr>
          <w:rFonts w:cs="Arial"/>
        </w:rPr>
      </w:pPr>
      <w:r w:rsidRPr="00D326D4">
        <w:rPr>
          <w:rFonts w:cs="Arial"/>
        </w:rPr>
        <w:t xml:space="preserve">Two </w:t>
      </w:r>
      <w:r w:rsidR="00F72D00" w:rsidRPr="00D326D4">
        <w:rPr>
          <w:rFonts w:cs="Arial"/>
        </w:rPr>
        <w:t xml:space="preserve">virtual </w:t>
      </w:r>
      <w:r w:rsidRPr="00D326D4">
        <w:rPr>
          <w:rFonts w:cs="Arial"/>
        </w:rPr>
        <w:t xml:space="preserve">sessions </w:t>
      </w:r>
      <w:r w:rsidR="00C0670D" w:rsidRPr="00D326D4">
        <w:rPr>
          <w:rFonts w:cs="Arial"/>
        </w:rPr>
        <w:t>-</w:t>
      </w:r>
      <w:r w:rsidRPr="00D326D4">
        <w:rPr>
          <w:rFonts w:cs="Arial"/>
        </w:rPr>
        <w:t xml:space="preserve"> for parents/carers and for children and young people</w:t>
      </w:r>
      <w:r w:rsidR="00F72D00" w:rsidRPr="00D326D4">
        <w:rPr>
          <w:rFonts w:cs="Arial"/>
        </w:rPr>
        <w:t xml:space="preserve"> were held and families</w:t>
      </w:r>
      <w:r w:rsidRPr="00D326D4">
        <w:rPr>
          <w:rFonts w:cs="Arial"/>
        </w:rPr>
        <w:t xml:space="preserve"> suggested that face-to-face interaction would be more accessible </w:t>
      </w:r>
      <w:r w:rsidR="00C0670D" w:rsidRPr="00D326D4">
        <w:rPr>
          <w:rFonts w:cs="Arial"/>
        </w:rPr>
        <w:t>to help</w:t>
      </w:r>
      <w:r w:rsidRPr="00D326D4">
        <w:rPr>
          <w:rFonts w:cs="Arial"/>
        </w:rPr>
        <w:t xml:space="preserve"> children and young people to </w:t>
      </w:r>
      <w:r w:rsidR="00F72D00" w:rsidRPr="00D326D4">
        <w:rPr>
          <w:rFonts w:cs="Arial"/>
        </w:rPr>
        <w:t xml:space="preserve">further </w:t>
      </w:r>
      <w:r w:rsidRPr="00D326D4">
        <w:rPr>
          <w:rFonts w:cs="Arial"/>
        </w:rPr>
        <w:t>engage. As a result, three engagement opportunities were available during Hull’s summer activity events</w:t>
      </w:r>
      <w:r w:rsidR="00C0670D" w:rsidRPr="00D326D4">
        <w:rPr>
          <w:rFonts w:cs="Arial"/>
        </w:rPr>
        <w:t xml:space="preserve"> -</w:t>
      </w:r>
      <w:r w:rsidRPr="00D326D4">
        <w:rPr>
          <w:rFonts w:cs="Arial"/>
        </w:rPr>
        <w:t xml:space="preserve"> specifically the Leisure and Family Support Services </w:t>
      </w:r>
      <w:r w:rsidR="00C0670D" w:rsidRPr="00D326D4">
        <w:rPr>
          <w:rFonts w:cs="Arial"/>
        </w:rPr>
        <w:t>‘</w:t>
      </w:r>
      <w:r w:rsidRPr="00D326D4">
        <w:rPr>
          <w:rFonts w:cs="Arial"/>
        </w:rPr>
        <w:t>play van</w:t>
      </w:r>
      <w:r w:rsidR="00C0670D" w:rsidRPr="00D326D4">
        <w:rPr>
          <w:rFonts w:cs="Arial"/>
        </w:rPr>
        <w:t>’</w:t>
      </w:r>
      <w:r w:rsidRPr="00D326D4">
        <w:rPr>
          <w:rFonts w:cs="Arial"/>
        </w:rPr>
        <w:t xml:space="preserve"> events for SEND children and young people. </w:t>
      </w:r>
    </w:p>
    <w:p w14:paraId="3B1B665C" w14:textId="33940B22" w:rsidR="002D4EB5" w:rsidRPr="00D326D4" w:rsidRDefault="00961D0C" w:rsidP="002D4EB5">
      <w:pPr>
        <w:rPr>
          <w:rFonts w:cs="Arial"/>
        </w:rPr>
      </w:pPr>
      <w:r w:rsidRPr="00D326D4">
        <w:rPr>
          <w:rFonts w:cs="Arial"/>
        </w:rPr>
        <w:t>Ongoing</w:t>
      </w:r>
      <w:r w:rsidR="002D4EB5" w:rsidRPr="00D326D4">
        <w:rPr>
          <w:rFonts w:cs="Arial"/>
        </w:rPr>
        <w:t xml:space="preserve"> engagement, participation and feedback </w:t>
      </w:r>
      <w:r w:rsidRPr="00D326D4">
        <w:rPr>
          <w:rFonts w:cs="Arial"/>
        </w:rPr>
        <w:t xml:space="preserve">will continue </w:t>
      </w:r>
      <w:r w:rsidR="002D4EB5" w:rsidRPr="00D326D4">
        <w:rPr>
          <w:rFonts w:cs="Arial"/>
        </w:rPr>
        <w:t>from all stakeholders with a focus on children, young people and their parents who use the service over this period.</w:t>
      </w:r>
    </w:p>
    <w:p w14:paraId="2532B11D" w14:textId="0C8066E2" w:rsidR="002D4EB5" w:rsidRPr="00D326D4" w:rsidRDefault="002D4EB5" w:rsidP="002D4EB5">
      <w:pPr>
        <w:rPr>
          <w:rFonts w:cs="Arial"/>
          <w:color w:val="010101"/>
        </w:rPr>
      </w:pPr>
      <w:r w:rsidRPr="00D326D4">
        <w:rPr>
          <w:rFonts w:cs="Arial"/>
          <w:color w:val="010101"/>
        </w:rPr>
        <w:t>To support the test and learn phase of service development, and to ensure co-production continues to be embedded in the development of the service, a series of Reflective Discussion Panels are proposed. These sessions follow a citizen’s jury model, made up of key stakeholders who give feedback on their experience of the service, and help f</w:t>
      </w:r>
      <w:r w:rsidR="007C3347" w:rsidRPr="00D326D4">
        <w:rPr>
          <w:rFonts w:cs="Arial"/>
          <w:color w:val="010101"/>
        </w:rPr>
        <w:t>ind</w:t>
      </w:r>
      <w:r w:rsidRPr="00D326D4">
        <w:rPr>
          <w:rFonts w:cs="Arial"/>
          <w:color w:val="010101"/>
        </w:rPr>
        <w:t xml:space="preserve"> solutions to issues and to strengthen and share aspects that are working well.</w:t>
      </w:r>
      <w:r w:rsidR="007C3347" w:rsidRPr="00D326D4">
        <w:rPr>
          <w:rFonts w:cs="Arial"/>
          <w:color w:val="010101"/>
        </w:rPr>
        <w:t xml:space="preserve"> Furth</w:t>
      </w:r>
      <w:r w:rsidR="0055478C" w:rsidRPr="00D326D4">
        <w:rPr>
          <w:rFonts w:cs="Arial"/>
          <w:color w:val="010101"/>
        </w:rPr>
        <w:t>e</w:t>
      </w:r>
      <w:r w:rsidR="007C3347" w:rsidRPr="00D326D4">
        <w:rPr>
          <w:rFonts w:cs="Arial"/>
          <w:color w:val="010101"/>
        </w:rPr>
        <w:t xml:space="preserve">r information on the Neurodiversity service is on page </w:t>
      </w:r>
      <w:r w:rsidR="00A5244B" w:rsidRPr="00D326D4">
        <w:rPr>
          <w:rFonts w:cs="Arial"/>
          <w:color w:val="010101"/>
        </w:rPr>
        <w:t>18</w:t>
      </w:r>
      <w:r w:rsidR="007C3347" w:rsidRPr="00D326D4">
        <w:rPr>
          <w:rFonts w:cs="Arial"/>
          <w:color w:val="010101"/>
        </w:rPr>
        <w:t>.</w:t>
      </w:r>
    </w:p>
    <w:p w14:paraId="68A74CA8" w14:textId="64EF4A4B" w:rsidR="002D4EB5" w:rsidRPr="00D326D4" w:rsidRDefault="007C3347" w:rsidP="00650815">
      <w:pPr>
        <w:spacing w:after="0"/>
        <w:rPr>
          <w:rFonts w:cs="Arial"/>
          <w:b/>
          <w:bCs/>
          <w:color w:val="FF0000"/>
        </w:rPr>
      </w:pPr>
      <w:r w:rsidRPr="00D326D4">
        <w:rPr>
          <w:rFonts w:cs="Arial"/>
          <w:b/>
          <w:bCs/>
        </w:rPr>
        <w:t>Special Educational Needs and Disabilities (</w:t>
      </w:r>
      <w:r w:rsidR="002D4EB5" w:rsidRPr="00D326D4">
        <w:rPr>
          <w:rFonts w:cs="Arial"/>
          <w:b/>
          <w:bCs/>
        </w:rPr>
        <w:t>SEND</w:t>
      </w:r>
      <w:r w:rsidRPr="00D326D4">
        <w:rPr>
          <w:rFonts w:cs="Arial"/>
          <w:b/>
          <w:bCs/>
        </w:rPr>
        <w:t>)</w:t>
      </w:r>
      <w:r w:rsidR="002D4EB5" w:rsidRPr="00D326D4">
        <w:rPr>
          <w:rFonts w:cs="Arial"/>
          <w:b/>
          <w:bCs/>
        </w:rPr>
        <w:t xml:space="preserve"> </w:t>
      </w:r>
      <w:r w:rsidRPr="00D326D4">
        <w:rPr>
          <w:rFonts w:cs="Arial"/>
          <w:b/>
          <w:bCs/>
        </w:rPr>
        <w:t>c</w:t>
      </w:r>
      <w:r w:rsidR="002D4EB5" w:rsidRPr="00D326D4">
        <w:rPr>
          <w:rFonts w:cs="Arial"/>
          <w:b/>
          <w:bCs/>
        </w:rPr>
        <w:t xml:space="preserve">o-production work </w:t>
      </w:r>
    </w:p>
    <w:p w14:paraId="14403DB0" w14:textId="2B7BA151" w:rsidR="00CF61AD" w:rsidRPr="00D326D4" w:rsidRDefault="000F3B06" w:rsidP="00CB7961">
      <w:pPr>
        <w:spacing w:after="0"/>
        <w:rPr>
          <w:rFonts w:cs="Arial"/>
        </w:rPr>
      </w:pPr>
      <w:r w:rsidRPr="00D326D4">
        <w:rPr>
          <w:rFonts w:cs="Arial"/>
        </w:rPr>
        <w:t xml:space="preserve">In partnership with Hull Parent Carer </w:t>
      </w:r>
      <w:r w:rsidR="00822594" w:rsidRPr="00D326D4">
        <w:rPr>
          <w:rFonts w:cs="Arial"/>
        </w:rPr>
        <w:t>F</w:t>
      </w:r>
      <w:r w:rsidRPr="00D326D4">
        <w:rPr>
          <w:rFonts w:cs="Arial"/>
        </w:rPr>
        <w:t>orum and Hull City Council, we have launched Hull’s Children SEND Co-production Charter, which was itself co-produced with children and young people, parents and carers, and health and care staff. The Co-production Charter promises to</w:t>
      </w:r>
      <w:r w:rsidR="00CF61AD" w:rsidRPr="00D326D4">
        <w:rPr>
          <w:rFonts w:cs="Arial"/>
        </w:rPr>
        <w:t>:</w:t>
      </w:r>
    </w:p>
    <w:p w14:paraId="1FAFD11B" w14:textId="42173DED" w:rsidR="00CF61AD" w:rsidRPr="00D326D4" w:rsidRDefault="00CF61AD" w:rsidP="0062761B">
      <w:pPr>
        <w:pStyle w:val="ListParagraph"/>
        <w:numPr>
          <w:ilvl w:val="0"/>
          <w:numId w:val="17"/>
        </w:numPr>
        <w:rPr>
          <w:rFonts w:cs="Arial"/>
        </w:rPr>
      </w:pPr>
      <w:r w:rsidRPr="00D326D4">
        <w:rPr>
          <w:rFonts w:cs="Arial"/>
        </w:rPr>
        <w:t>L</w:t>
      </w:r>
      <w:r w:rsidR="000F3B06" w:rsidRPr="00D326D4">
        <w:rPr>
          <w:rFonts w:cs="Arial"/>
        </w:rPr>
        <w:t xml:space="preserve">isten and communicate </w:t>
      </w:r>
    </w:p>
    <w:p w14:paraId="071E2C0F" w14:textId="10AF71CF" w:rsidR="000F3B06" w:rsidRPr="00D326D4" w:rsidRDefault="00CF61AD" w:rsidP="0062761B">
      <w:pPr>
        <w:pStyle w:val="ListParagraph"/>
        <w:numPr>
          <w:ilvl w:val="0"/>
          <w:numId w:val="17"/>
        </w:numPr>
        <w:rPr>
          <w:rFonts w:cs="Arial"/>
        </w:rPr>
      </w:pPr>
      <w:r w:rsidRPr="00D326D4">
        <w:rPr>
          <w:rFonts w:cs="Arial"/>
        </w:rPr>
        <w:t>D</w:t>
      </w:r>
      <w:r w:rsidR="000F3B06" w:rsidRPr="00D326D4">
        <w:rPr>
          <w:rFonts w:cs="Arial"/>
        </w:rPr>
        <w:t>o what makes a difference</w:t>
      </w:r>
    </w:p>
    <w:p w14:paraId="35ADDB55" w14:textId="745A44F9" w:rsidR="00CF61AD" w:rsidRPr="00D326D4" w:rsidRDefault="00CF61AD" w:rsidP="0062761B">
      <w:pPr>
        <w:pStyle w:val="ListParagraph"/>
        <w:numPr>
          <w:ilvl w:val="0"/>
          <w:numId w:val="17"/>
        </w:numPr>
        <w:rPr>
          <w:rFonts w:cs="Arial"/>
        </w:rPr>
      </w:pPr>
      <w:r w:rsidRPr="00D326D4">
        <w:rPr>
          <w:rFonts w:cs="Arial"/>
        </w:rPr>
        <w:t>Be flexible and responsive</w:t>
      </w:r>
    </w:p>
    <w:p w14:paraId="43AFBB8E" w14:textId="31A310EC" w:rsidR="00CF61AD" w:rsidRPr="00D326D4" w:rsidRDefault="00CF61AD" w:rsidP="0062761B">
      <w:pPr>
        <w:pStyle w:val="ListParagraph"/>
        <w:numPr>
          <w:ilvl w:val="0"/>
          <w:numId w:val="17"/>
        </w:numPr>
        <w:rPr>
          <w:rFonts w:cs="Arial"/>
        </w:rPr>
      </w:pPr>
      <w:r w:rsidRPr="00D326D4">
        <w:rPr>
          <w:rFonts w:cs="Arial"/>
        </w:rPr>
        <w:t>Respect lived experience</w:t>
      </w:r>
    </w:p>
    <w:p w14:paraId="57CCF42A" w14:textId="18445E33" w:rsidR="00CF61AD" w:rsidRPr="00D326D4" w:rsidRDefault="00CF61AD" w:rsidP="0062761B">
      <w:pPr>
        <w:pStyle w:val="ListParagraph"/>
        <w:numPr>
          <w:ilvl w:val="0"/>
          <w:numId w:val="17"/>
        </w:numPr>
        <w:spacing w:after="0"/>
        <w:rPr>
          <w:rFonts w:cs="Arial"/>
        </w:rPr>
      </w:pPr>
      <w:r w:rsidRPr="00D326D4">
        <w:rPr>
          <w:rFonts w:cs="Arial"/>
        </w:rPr>
        <w:t>Grow relationships</w:t>
      </w:r>
    </w:p>
    <w:p w14:paraId="3B3D3354" w14:textId="5EDCB21F" w:rsidR="00CF61AD" w:rsidRPr="00F52BBE" w:rsidRDefault="00CF61AD" w:rsidP="00CB7961">
      <w:pPr>
        <w:pStyle w:val="NormalWeb"/>
        <w:shd w:val="clear" w:color="auto" w:fill="FFFFFF"/>
        <w:spacing w:before="0" w:line="276" w:lineRule="auto"/>
        <w:textAlignment w:val="baseline"/>
        <w:rPr>
          <w:rFonts w:ascii="Arial" w:hAnsi="Arial" w:cs="Arial"/>
          <w:color w:val="000000"/>
          <w:sz w:val="22"/>
          <w:szCs w:val="22"/>
        </w:rPr>
      </w:pPr>
      <w:r w:rsidRPr="00D326D4">
        <w:rPr>
          <w:rFonts w:ascii="Arial" w:hAnsi="Arial" w:cs="Arial"/>
          <w:color w:val="000000"/>
          <w:sz w:val="22"/>
          <w:szCs w:val="22"/>
        </w:rPr>
        <w:t>The charter outlines the partnership values</w:t>
      </w:r>
      <w:r w:rsidRPr="00F52BBE">
        <w:rPr>
          <w:rFonts w:ascii="Arial" w:hAnsi="Arial" w:cs="Arial"/>
          <w:color w:val="000000"/>
          <w:sz w:val="22"/>
          <w:szCs w:val="22"/>
        </w:rPr>
        <w:t xml:space="preserve"> and demonstrates a commitment to parent and carer involvement throughout SEND service delivery and development.</w:t>
      </w:r>
      <w:r w:rsidR="00F52BBE" w:rsidRPr="00F52BBE">
        <w:rPr>
          <w:rFonts w:ascii="Arial" w:hAnsi="Arial" w:cs="Arial"/>
          <w:color w:val="000000"/>
          <w:sz w:val="22"/>
          <w:szCs w:val="22"/>
        </w:rPr>
        <w:t xml:space="preserve"> </w:t>
      </w:r>
    </w:p>
    <w:p w14:paraId="35E7031F" w14:textId="631D96AE" w:rsidR="00CF61AD" w:rsidRPr="00F52BBE" w:rsidRDefault="00CF61AD" w:rsidP="00CB7961">
      <w:pPr>
        <w:pStyle w:val="NormalWeb"/>
        <w:shd w:val="clear" w:color="auto" w:fill="FFFFFF"/>
        <w:spacing w:line="276" w:lineRule="auto"/>
        <w:textAlignment w:val="baseline"/>
        <w:rPr>
          <w:rFonts w:ascii="Arial" w:hAnsi="Arial" w:cs="Arial"/>
          <w:color w:val="000000"/>
          <w:sz w:val="22"/>
          <w:szCs w:val="22"/>
        </w:rPr>
      </w:pPr>
      <w:r w:rsidRPr="00F52BBE">
        <w:rPr>
          <w:rFonts w:ascii="Arial" w:hAnsi="Arial" w:cs="Arial"/>
          <w:color w:val="000000"/>
          <w:sz w:val="22"/>
          <w:szCs w:val="22"/>
        </w:rPr>
        <w:t>Improvement work is now in progress following the listening events</w:t>
      </w:r>
      <w:r w:rsidR="00F52BBE" w:rsidRPr="00F52BBE">
        <w:rPr>
          <w:rFonts w:ascii="Arial" w:hAnsi="Arial" w:cs="Arial"/>
          <w:color w:val="000000"/>
          <w:sz w:val="22"/>
          <w:szCs w:val="22"/>
        </w:rPr>
        <w:t xml:space="preserve"> in 2021</w:t>
      </w:r>
      <w:r w:rsidRPr="00F52BBE">
        <w:rPr>
          <w:rFonts w:ascii="Arial" w:hAnsi="Arial" w:cs="Arial"/>
          <w:color w:val="000000"/>
          <w:sz w:val="22"/>
          <w:szCs w:val="22"/>
        </w:rPr>
        <w:t>, and new projects of work are to be started. Parents and carers will be involved from the outset, and throughout, so that the identified solutions are co</w:t>
      </w:r>
      <w:r w:rsidR="00650815">
        <w:rPr>
          <w:rFonts w:ascii="Arial" w:hAnsi="Arial" w:cs="Arial"/>
          <w:color w:val="000000"/>
          <w:sz w:val="22"/>
          <w:szCs w:val="22"/>
        </w:rPr>
        <w:t>-</w:t>
      </w:r>
      <w:r w:rsidRPr="00F52BBE">
        <w:rPr>
          <w:rFonts w:ascii="Arial" w:hAnsi="Arial" w:cs="Arial"/>
          <w:color w:val="000000"/>
          <w:sz w:val="22"/>
          <w:szCs w:val="22"/>
        </w:rPr>
        <w:t>produced. To help deliver this successfully, coproduction champions are being introduced.</w:t>
      </w:r>
    </w:p>
    <w:p w14:paraId="42031B9A" w14:textId="77777777" w:rsidR="00F52BBE" w:rsidRPr="00F52BBE" w:rsidRDefault="00F52BBE" w:rsidP="00CB7961">
      <w:pPr>
        <w:pStyle w:val="NormalWeb"/>
        <w:shd w:val="clear" w:color="auto" w:fill="FFFFFF"/>
        <w:spacing w:before="0" w:line="276" w:lineRule="auto"/>
        <w:textAlignment w:val="baseline"/>
        <w:rPr>
          <w:rFonts w:ascii="Arial" w:hAnsi="Arial" w:cs="Arial"/>
          <w:sz w:val="22"/>
          <w:szCs w:val="22"/>
        </w:rPr>
      </w:pPr>
    </w:p>
    <w:p w14:paraId="65DB8C8C" w14:textId="06A91961" w:rsidR="000F3B06" w:rsidRDefault="000F3B06" w:rsidP="00CB7961">
      <w:pPr>
        <w:pStyle w:val="NormalWeb"/>
        <w:shd w:val="clear" w:color="auto" w:fill="FFFFFF"/>
        <w:spacing w:before="0" w:line="276" w:lineRule="auto"/>
        <w:textAlignment w:val="baseline"/>
        <w:rPr>
          <w:rFonts w:ascii="Arial" w:hAnsi="Arial" w:cs="Arial"/>
          <w:color w:val="000000"/>
          <w:sz w:val="22"/>
          <w:szCs w:val="22"/>
          <w:shd w:val="clear" w:color="auto" w:fill="FFFFFF"/>
        </w:rPr>
      </w:pPr>
      <w:r w:rsidRPr="00F52BBE">
        <w:rPr>
          <w:rFonts w:ascii="Arial" w:hAnsi="Arial" w:cs="Arial"/>
          <w:sz w:val="22"/>
          <w:szCs w:val="22"/>
        </w:rPr>
        <w:t xml:space="preserve">NHS Hull CCG continues to promote the use </w:t>
      </w:r>
      <w:r w:rsidR="00822594">
        <w:rPr>
          <w:rFonts w:ascii="Arial" w:hAnsi="Arial" w:cs="Arial"/>
          <w:sz w:val="22"/>
          <w:szCs w:val="22"/>
        </w:rPr>
        <w:t xml:space="preserve">of the </w:t>
      </w:r>
      <w:r w:rsidRPr="00F52BBE">
        <w:rPr>
          <w:rFonts w:ascii="Arial" w:hAnsi="Arial" w:cs="Arial"/>
          <w:sz w:val="22"/>
          <w:szCs w:val="22"/>
        </w:rPr>
        <w:t>Co-production Charter, and its implementation in the daily practice of those supporting children and families living with SEND. The principles have shaped the involvement of parents carers and children in the development of SEND services including the Hull and East Riding Neurodiversity service.</w:t>
      </w:r>
      <w:r w:rsidR="00CF61AD" w:rsidRPr="00F52BBE">
        <w:rPr>
          <w:rFonts w:ascii="Arial" w:hAnsi="Arial" w:cs="Arial"/>
          <w:sz w:val="22"/>
          <w:szCs w:val="22"/>
        </w:rPr>
        <w:t xml:space="preserve"> </w:t>
      </w:r>
      <w:r w:rsidR="00F52BBE" w:rsidRPr="00F52BBE">
        <w:rPr>
          <w:rFonts w:ascii="Arial" w:hAnsi="Arial" w:cs="Arial"/>
          <w:color w:val="000000"/>
          <w:sz w:val="22"/>
          <w:szCs w:val="22"/>
          <w:shd w:val="clear" w:color="auto" w:fill="FFFFFF"/>
        </w:rPr>
        <w:t xml:space="preserve">Find out more </w:t>
      </w:r>
      <w:r w:rsidR="00F52BBE">
        <w:rPr>
          <w:rFonts w:ascii="Arial" w:hAnsi="Arial" w:cs="Arial"/>
          <w:color w:val="000000"/>
          <w:sz w:val="22"/>
          <w:szCs w:val="22"/>
          <w:shd w:val="clear" w:color="auto" w:fill="FFFFFF"/>
        </w:rPr>
        <w:t xml:space="preserve">by searching </w:t>
      </w:r>
      <w:r w:rsidR="00650815" w:rsidRPr="00650815">
        <w:rPr>
          <w:rFonts w:ascii="Arial" w:hAnsi="Arial" w:cs="Arial"/>
          <w:b/>
          <w:bCs/>
          <w:color w:val="000000"/>
          <w:sz w:val="22"/>
          <w:szCs w:val="22"/>
          <w:shd w:val="clear" w:color="auto" w:fill="FFFFFF"/>
        </w:rPr>
        <w:t>Hull Local Offer</w:t>
      </w:r>
      <w:r w:rsidR="00650815">
        <w:rPr>
          <w:rFonts w:ascii="Arial" w:hAnsi="Arial" w:cs="Arial"/>
          <w:color w:val="000000"/>
          <w:sz w:val="22"/>
          <w:szCs w:val="22"/>
          <w:shd w:val="clear" w:color="auto" w:fill="FFFFFF"/>
        </w:rPr>
        <w:t xml:space="preserve"> </w:t>
      </w:r>
      <w:r w:rsidR="00F52BBE" w:rsidRPr="00F52BBE">
        <w:rPr>
          <w:rFonts w:ascii="Arial" w:hAnsi="Arial" w:cs="Arial"/>
          <w:color w:val="000000"/>
          <w:sz w:val="22"/>
          <w:szCs w:val="22"/>
          <w:shd w:val="clear" w:color="auto" w:fill="FFFFFF"/>
        </w:rPr>
        <w:t>or contact </w:t>
      </w:r>
      <w:hyperlink r:id="rId29" w:history="1">
        <w:r w:rsidR="00F52BBE" w:rsidRPr="00F52BBE">
          <w:rPr>
            <w:rStyle w:val="Hyperlink"/>
            <w:rFonts w:ascii="Arial" w:eastAsia="Arial" w:hAnsi="Arial" w:cs="Arial"/>
            <w:b/>
            <w:bCs/>
            <w:color w:val="005A8C"/>
            <w:sz w:val="22"/>
            <w:szCs w:val="22"/>
            <w:bdr w:val="none" w:sz="0" w:space="0" w:color="auto" w:frame="1"/>
            <w:shd w:val="clear" w:color="auto" w:fill="FFFFFF"/>
          </w:rPr>
          <w:t>SEND.Management@hullcc.gov.uk</w:t>
        </w:r>
      </w:hyperlink>
      <w:r w:rsidR="00F52BBE" w:rsidRPr="00F52BBE">
        <w:rPr>
          <w:rFonts w:ascii="Arial" w:hAnsi="Arial" w:cs="Arial"/>
          <w:color w:val="000000"/>
          <w:sz w:val="22"/>
          <w:szCs w:val="22"/>
          <w:shd w:val="clear" w:color="auto" w:fill="FFFFFF"/>
        </w:rPr>
        <w:t>.</w:t>
      </w:r>
    </w:p>
    <w:p w14:paraId="4A9788A3" w14:textId="77777777" w:rsidR="007C3347" w:rsidRPr="00650815" w:rsidRDefault="007C3347" w:rsidP="00CB7961">
      <w:pPr>
        <w:pStyle w:val="NormalWeb"/>
        <w:shd w:val="clear" w:color="auto" w:fill="FFFFFF"/>
        <w:spacing w:before="0" w:line="276" w:lineRule="auto"/>
        <w:textAlignment w:val="baseline"/>
        <w:rPr>
          <w:rFonts w:ascii="Arial" w:hAnsi="Arial" w:cs="Arial"/>
          <w:color w:val="000000"/>
          <w:sz w:val="22"/>
          <w:szCs w:val="22"/>
        </w:rPr>
      </w:pPr>
    </w:p>
    <w:p w14:paraId="4AE79E8A" w14:textId="2FF220BA" w:rsidR="00596E5C" w:rsidRPr="00CE3683" w:rsidRDefault="00596E5C" w:rsidP="00CB7961">
      <w:pPr>
        <w:spacing w:after="0"/>
        <w:rPr>
          <w:b/>
          <w:bCs/>
        </w:rPr>
      </w:pPr>
      <w:r w:rsidRPr="00CE3683">
        <w:rPr>
          <w:b/>
          <w:bCs/>
        </w:rPr>
        <w:t xml:space="preserve">Humber Acute Services </w:t>
      </w:r>
      <w:r w:rsidR="007C3347">
        <w:rPr>
          <w:b/>
          <w:bCs/>
        </w:rPr>
        <w:t>p</w:t>
      </w:r>
      <w:r w:rsidRPr="00CE3683">
        <w:rPr>
          <w:b/>
          <w:bCs/>
        </w:rPr>
        <w:t xml:space="preserve">rogramme </w:t>
      </w:r>
      <w:r w:rsidR="007C3347">
        <w:rPr>
          <w:b/>
          <w:bCs/>
        </w:rPr>
        <w:t>e</w:t>
      </w:r>
      <w:r w:rsidRPr="00CE3683">
        <w:rPr>
          <w:b/>
          <w:bCs/>
        </w:rPr>
        <w:t xml:space="preserve">ngagement </w:t>
      </w:r>
    </w:p>
    <w:p w14:paraId="32B9FE75" w14:textId="77777777" w:rsidR="00596E5C" w:rsidRDefault="00596E5C" w:rsidP="00CB7961">
      <w:pPr>
        <w:spacing w:before="0" w:after="0"/>
      </w:pPr>
      <w:r>
        <w:t>The Humber Acute Services programme is currently developing a range of potential clinical models (options) for the future delivery of core hospital services including:</w:t>
      </w:r>
    </w:p>
    <w:p w14:paraId="24639EAE" w14:textId="77777777" w:rsidR="00596E5C" w:rsidRDefault="00596E5C" w:rsidP="0062761B">
      <w:pPr>
        <w:numPr>
          <w:ilvl w:val="0"/>
          <w:numId w:val="29"/>
        </w:numPr>
        <w:tabs>
          <w:tab w:val="clear" w:pos="2835"/>
          <w:tab w:val="clear" w:pos="5670"/>
          <w:tab w:val="clear" w:pos="9016"/>
        </w:tabs>
        <w:spacing w:before="0" w:after="0"/>
        <w:ind w:left="714" w:hanging="357"/>
        <w:contextualSpacing/>
      </w:pPr>
      <w:r>
        <w:t>Urgent and Emergency Care</w:t>
      </w:r>
    </w:p>
    <w:p w14:paraId="1CCB3A53" w14:textId="77777777" w:rsidR="00596E5C" w:rsidRDefault="00596E5C" w:rsidP="0062761B">
      <w:pPr>
        <w:numPr>
          <w:ilvl w:val="0"/>
          <w:numId w:val="29"/>
        </w:numPr>
        <w:tabs>
          <w:tab w:val="clear" w:pos="2835"/>
          <w:tab w:val="clear" w:pos="5670"/>
          <w:tab w:val="clear" w:pos="9016"/>
        </w:tabs>
        <w:spacing w:before="0" w:after="0"/>
        <w:ind w:left="714" w:hanging="357"/>
        <w:contextualSpacing/>
      </w:pPr>
      <w:r>
        <w:lastRenderedPageBreak/>
        <w:t>Maternity, Neonatal Care and Paediatrics</w:t>
      </w:r>
    </w:p>
    <w:p w14:paraId="3B895613" w14:textId="77777777" w:rsidR="00596E5C" w:rsidRDefault="00596E5C" w:rsidP="0062761B">
      <w:pPr>
        <w:numPr>
          <w:ilvl w:val="0"/>
          <w:numId w:val="29"/>
        </w:numPr>
        <w:tabs>
          <w:tab w:val="clear" w:pos="2835"/>
          <w:tab w:val="clear" w:pos="5670"/>
          <w:tab w:val="clear" w:pos="9016"/>
        </w:tabs>
        <w:spacing w:before="0" w:after="200"/>
        <w:ind w:left="714" w:hanging="357"/>
      </w:pPr>
      <w:r>
        <w:t>Planned Care and Diagnostics</w:t>
      </w:r>
    </w:p>
    <w:p w14:paraId="1EB7DB2A" w14:textId="77777777" w:rsidR="00596E5C" w:rsidRPr="002B3235" w:rsidRDefault="00596E5C" w:rsidP="00596E5C">
      <w:pPr>
        <w:spacing w:after="0"/>
      </w:pPr>
      <w:r>
        <w:t>Throughout 2021-2022 we engaged with over 9,000 stakeholders, including:</w:t>
      </w:r>
    </w:p>
    <w:p w14:paraId="0E5F9FF2" w14:textId="77777777" w:rsidR="00596E5C" w:rsidRPr="004F631A" w:rsidRDefault="00596E5C" w:rsidP="0062761B">
      <w:pPr>
        <w:pStyle w:val="ListParagraph"/>
        <w:numPr>
          <w:ilvl w:val="0"/>
          <w:numId w:val="30"/>
        </w:numPr>
        <w:tabs>
          <w:tab w:val="clear" w:pos="2835"/>
          <w:tab w:val="clear" w:pos="5670"/>
          <w:tab w:val="clear" w:pos="9016"/>
        </w:tabs>
        <w:spacing w:before="0" w:after="0" w:line="259" w:lineRule="auto"/>
      </w:pPr>
      <w:r w:rsidRPr="002B3235">
        <w:rPr>
          <w:b/>
          <w:bCs/>
        </w:rPr>
        <w:t>Current and future patients, staff, the public</w:t>
      </w:r>
      <w:r w:rsidRPr="002B3235">
        <w:t xml:space="preserve"> and their representatives about what matters most to them when they need hospital care (around 4000 people took part, February to October 2021)</w:t>
      </w:r>
    </w:p>
    <w:p w14:paraId="0587B78C" w14:textId="77777777" w:rsidR="00596E5C" w:rsidRDefault="00596E5C" w:rsidP="0062761B">
      <w:pPr>
        <w:pStyle w:val="ListParagraph"/>
        <w:numPr>
          <w:ilvl w:val="0"/>
          <w:numId w:val="30"/>
        </w:numPr>
        <w:tabs>
          <w:tab w:val="clear" w:pos="2835"/>
          <w:tab w:val="clear" w:pos="5670"/>
          <w:tab w:val="clear" w:pos="9016"/>
        </w:tabs>
        <w:spacing w:before="0" w:after="200" w:line="259" w:lineRule="auto"/>
      </w:pPr>
      <w:r w:rsidRPr="002B3235">
        <w:rPr>
          <w:b/>
          <w:bCs/>
        </w:rPr>
        <w:t>Women, birthing people, their partners and families</w:t>
      </w:r>
      <w:r w:rsidRPr="002B3235">
        <w:t xml:space="preserve"> on where and how they would like to be cared for when giving birth (around 1150 people responded, June to July 2021)</w:t>
      </w:r>
    </w:p>
    <w:p w14:paraId="429924EA" w14:textId="77777777" w:rsidR="00596E5C" w:rsidRDefault="00596E5C" w:rsidP="0062761B">
      <w:pPr>
        <w:pStyle w:val="ListParagraph"/>
        <w:numPr>
          <w:ilvl w:val="0"/>
          <w:numId w:val="30"/>
        </w:numPr>
        <w:tabs>
          <w:tab w:val="clear" w:pos="2835"/>
          <w:tab w:val="clear" w:pos="5670"/>
          <w:tab w:val="clear" w:pos="9016"/>
        </w:tabs>
        <w:spacing w:before="0" w:after="200" w:line="259" w:lineRule="auto"/>
      </w:pPr>
      <w:r w:rsidRPr="002B3235">
        <w:rPr>
          <w:b/>
          <w:bCs/>
        </w:rPr>
        <w:t>People who had visited Emergency Departments</w:t>
      </w:r>
      <w:r w:rsidRPr="002B3235">
        <w:t xml:space="preserve"> about their experiences and what could be done to help them access care in a different way (around 2000 people responded, July to August 2020)</w:t>
      </w:r>
    </w:p>
    <w:p w14:paraId="082A018C" w14:textId="77777777" w:rsidR="00596E5C" w:rsidRPr="002B3235" w:rsidRDefault="00596E5C" w:rsidP="0062761B">
      <w:pPr>
        <w:pStyle w:val="ListParagraph"/>
        <w:numPr>
          <w:ilvl w:val="0"/>
          <w:numId w:val="30"/>
        </w:numPr>
        <w:tabs>
          <w:tab w:val="clear" w:pos="2835"/>
          <w:tab w:val="clear" w:pos="5670"/>
          <w:tab w:val="clear" w:pos="9016"/>
        </w:tabs>
        <w:spacing w:before="0" w:after="200" w:line="259" w:lineRule="auto"/>
      </w:pPr>
      <w:r w:rsidRPr="002B3235">
        <w:rPr>
          <w:b/>
          <w:bCs/>
        </w:rPr>
        <w:t>People and communities who face additional barriers</w:t>
      </w:r>
      <w:r w:rsidRPr="002B3235">
        <w:t xml:space="preserve"> to accessing care, their representatives and others working alongside them to find out how we can address the barriers they face.</w:t>
      </w:r>
    </w:p>
    <w:p w14:paraId="4E8A17D9" w14:textId="77777777" w:rsidR="00596E5C" w:rsidRPr="002B3235" w:rsidRDefault="00596E5C" w:rsidP="0062761B">
      <w:pPr>
        <w:pStyle w:val="ListParagraph"/>
        <w:numPr>
          <w:ilvl w:val="0"/>
          <w:numId w:val="30"/>
        </w:numPr>
        <w:tabs>
          <w:tab w:val="clear" w:pos="2835"/>
          <w:tab w:val="clear" w:pos="5670"/>
          <w:tab w:val="clear" w:pos="9016"/>
        </w:tabs>
        <w:spacing w:before="0" w:after="200" w:line="259" w:lineRule="auto"/>
      </w:pPr>
      <w:r w:rsidRPr="002B3235">
        <w:rPr>
          <w:b/>
          <w:bCs/>
        </w:rPr>
        <w:t>Children, young people, their parents and carers</w:t>
      </w:r>
      <w:r w:rsidRPr="002B3235">
        <w:t xml:space="preserve"> on what matters to them when receiving hospital care (around 300 people took part, November to December 2021)</w:t>
      </w:r>
    </w:p>
    <w:p w14:paraId="22C1BE52" w14:textId="77777777" w:rsidR="00596E5C" w:rsidRDefault="00596E5C" w:rsidP="00596E5C">
      <w:pPr>
        <w:spacing w:after="200"/>
      </w:pPr>
      <w:r>
        <w:t xml:space="preserve">Overall, people told us that being seen and treated quickly, being kept safe and well looked after and having enough staff with the right skills and experience were the most important things to them when thinking about their hospital care.  For parents, carers and people using maternity services safety was the number one priority overall.  For staff in our hospitals, addressing workforce shortages and having a better work-life balance were highlighted as key priorities.  </w:t>
      </w:r>
    </w:p>
    <w:p w14:paraId="522CF122" w14:textId="46508D57" w:rsidR="00596E5C" w:rsidRDefault="00596E5C" w:rsidP="00596E5C">
      <w:r>
        <w:t>Taking on board the feedback and insights from patients, staff, service-users and other stakeholders, our clinical teams have continued to develop and refine the different potential scenarios for how services could be organised in the future. Different ideas have been added in and/or discounted at various stages, based on evidence and feedback from clinical teams and wider stakeholders.</w:t>
      </w:r>
    </w:p>
    <w:p w14:paraId="5D072C58" w14:textId="2C824C81" w:rsidR="00596E5C" w:rsidRDefault="00596E5C" w:rsidP="00596E5C">
      <w:r>
        <w:t>The</w:t>
      </w:r>
      <w:r w:rsidRPr="009045BE">
        <w:t xml:space="preserve"> clinical design process has produced a range of possible scenarios, which could potentially address the issues and challenges within our hospital services. </w:t>
      </w:r>
      <w:r>
        <w:t xml:space="preserve"> Evaluation of these potential scenarios began during February and March 2022, involving a wide range of stakeholders, and is continuing during spring 2022. This will support the development of a Pre-Consultation Business Case, which will be published later in 2022. </w:t>
      </w:r>
    </w:p>
    <w:p w14:paraId="1FA98AB9" w14:textId="773D085A" w:rsidR="00596E5C" w:rsidRPr="00F02111" w:rsidRDefault="00596E5C" w:rsidP="00F02111">
      <w:r w:rsidRPr="00F02111">
        <w:t xml:space="preserve">For more information on the Humber Acute Services Programme can be found at </w:t>
      </w:r>
      <w:hyperlink r:id="rId30" w:history="1">
        <w:r w:rsidRPr="00F02111">
          <w:rPr>
            <w:rStyle w:val="Hyperlink"/>
          </w:rPr>
          <w:t>https://humberandnorthyorkshire.org.uk/our-work/humber-acute-services-review/</w:t>
        </w:r>
      </w:hyperlink>
    </w:p>
    <w:p w14:paraId="77E27A6E" w14:textId="26A4EEAA" w:rsidR="00E21C21" w:rsidRDefault="006E44F2" w:rsidP="00596E5C">
      <w:pPr>
        <w:pStyle w:val="Heading3"/>
        <w:rPr>
          <w:rStyle w:val="Heading3Char"/>
          <w:b/>
          <w:bCs/>
          <w:color w:val="FF0000"/>
        </w:rPr>
      </w:pPr>
      <w:bookmarkStart w:id="38" w:name="_Toc103695029"/>
      <w:r w:rsidRPr="00684BD0">
        <w:rPr>
          <w:rStyle w:val="Heading3Char"/>
          <w:b/>
          <w:bCs/>
        </w:rPr>
        <w:t>Digital storytelling</w:t>
      </w:r>
      <w:bookmarkEnd w:id="38"/>
      <w:r w:rsidR="004E36F6" w:rsidRPr="00684BD0">
        <w:rPr>
          <w:rStyle w:val="Heading3Char"/>
          <w:b/>
          <w:bCs/>
        </w:rPr>
        <w:t xml:space="preserve"> </w:t>
      </w:r>
    </w:p>
    <w:p w14:paraId="3BBCBD80" w14:textId="74F45B92" w:rsidR="00EA1004" w:rsidRDefault="00EA1004" w:rsidP="00EA1004">
      <w:pPr>
        <w:rPr>
          <w:rFonts w:cs="Arial"/>
        </w:rPr>
      </w:pPr>
      <w:r w:rsidRPr="00B90244">
        <w:rPr>
          <w:rFonts w:cs="Arial"/>
        </w:rPr>
        <w:t xml:space="preserve">Digital online communication has a key role in enhancing our communications and engagement work. Our website and social media channels are a well-established source of information for patients, public, staff, stakeholders and potential employees. Our website meets accessibility standards and is enhanced with language translation options and Browsealoud software to support the visually impaired. </w:t>
      </w:r>
      <w:r>
        <w:rPr>
          <w:rFonts w:cs="Arial"/>
        </w:rPr>
        <w:t xml:space="preserve">This year we have developed a small number of microsites which provide a hub of information for specific projects. These include a dedicated local walk-in vaccination website: </w:t>
      </w:r>
      <w:hyperlink r:id="rId31" w:history="1">
        <w:r w:rsidRPr="005654B3">
          <w:rPr>
            <w:rStyle w:val="Hyperlink"/>
            <w:rFonts w:cs="Arial"/>
          </w:rPr>
          <w:t>www.vaccinatehullandeastriding.co.uk</w:t>
        </w:r>
      </w:hyperlink>
      <w:r>
        <w:rPr>
          <w:rFonts w:cs="Arial"/>
        </w:rPr>
        <w:t xml:space="preserve"> and</w:t>
      </w:r>
      <w:r w:rsidR="008D695B">
        <w:rPr>
          <w:rFonts w:cs="Arial"/>
        </w:rPr>
        <w:t xml:space="preserve"> our dedicated site for Armed Forces/Veteran mental health:</w:t>
      </w:r>
      <w:r>
        <w:rPr>
          <w:rFonts w:cs="Arial"/>
        </w:rPr>
        <w:t xml:space="preserve"> </w:t>
      </w:r>
      <w:hyperlink r:id="rId32" w:history="1">
        <w:r w:rsidR="008D695B">
          <w:rPr>
            <w:rStyle w:val="Hyperlink"/>
          </w:rPr>
          <w:t>www.hullandeastyorkshireveteransupport.co.uk</w:t>
        </w:r>
      </w:hyperlink>
      <w:r w:rsidR="008D695B">
        <w:rPr>
          <w:rStyle w:val="Hyperlink"/>
        </w:rPr>
        <w:t xml:space="preserve">  </w:t>
      </w:r>
    </w:p>
    <w:p w14:paraId="52BEBC94" w14:textId="4821F31D" w:rsidR="00EA1004" w:rsidRDefault="00EA1004" w:rsidP="00EA1004">
      <w:pPr>
        <w:rPr>
          <w:rFonts w:cs="Arial"/>
        </w:rPr>
      </w:pPr>
      <w:r>
        <w:rPr>
          <w:rFonts w:cs="Arial"/>
        </w:rPr>
        <w:t xml:space="preserve">Our social media accounts have continued to build a strong following which enables us to reach vast numbers and a wide range of people Hull. We work in partnership with local organisations to support initiatives across a wider social media footprint locally by sharing content. We also use paid for social media adverts to promote key areas of work and reach a larger or more targeted audience. In 2021 we </w:t>
      </w:r>
      <w:r>
        <w:rPr>
          <w:rFonts w:cs="Arial"/>
        </w:rPr>
        <w:lastRenderedPageBreak/>
        <w:t>utilised our social media following to engage with local patients through a live COVID-19 vaccination Q&amp;A with Dr James Crick</w:t>
      </w:r>
      <w:r w:rsidR="00822594">
        <w:rPr>
          <w:rFonts w:cs="Arial"/>
        </w:rPr>
        <w:t>, the CCG’s Associate Medical Director,</w:t>
      </w:r>
      <w:r>
        <w:rPr>
          <w:rFonts w:cs="Arial"/>
        </w:rPr>
        <w:t xml:space="preserve"> and in 2022 hosted a Facebook and Instagram story poll to select a new brand for the Hull Mental Health Support Teams. </w:t>
      </w:r>
    </w:p>
    <w:p w14:paraId="7A5554E0" w14:textId="77777777" w:rsidR="00EA1004" w:rsidRDefault="00EA1004" w:rsidP="00EA1004">
      <w:pPr>
        <w:rPr>
          <w:rFonts w:cs="Arial"/>
        </w:rPr>
      </w:pPr>
      <w:r>
        <w:rPr>
          <w:rFonts w:cs="Arial"/>
        </w:rPr>
        <w:t>Throughout 2021-22 we developed several podcasts on a range of topics aimed at young people in Hull. Examples include:</w:t>
      </w:r>
    </w:p>
    <w:p w14:paraId="36A610C8" w14:textId="77777777" w:rsidR="00EA1004" w:rsidRDefault="00EA1004" w:rsidP="0062761B">
      <w:pPr>
        <w:pStyle w:val="ListParagraph"/>
        <w:numPr>
          <w:ilvl w:val="0"/>
          <w:numId w:val="27"/>
        </w:numPr>
        <w:tabs>
          <w:tab w:val="clear" w:pos="2835"/>
          <w:tab w:val="clear" w:pos="5670"/>
          <w:tab w:val="clear" w:pos="9016"/>
        </w:tabs>
        <w:spacing w:before="0" w:after="160"/>
        <w:rPr>
          <w:rFonts w:cs="Arial"/>
        </w:rPr>
      </w:pPr>
      <w:r w:rsidRPr="00573559">
        <w:rPr>
          <w:rFonts w:cs="Arial"/>
        </w:rPr>
        <w:t>Kooth’s Booths</w:t>
      </w:r>
      <w:r>
        <w:rPr>
          <w:rFonts w:cs="Arial"/>
        </w:rPr>
        <w:t xml:space="preserve"> -</w:t>
      </w:r>
      <w:r w:rsidRPr="00573559">
        <w:rPr>
          <w:rFonts w:cs="Arial"/>
        </w:rPr>
        <w:t xml:space="preserve"> a podcast created by young people, for young people, focusing on different topics of mental health</w:t>
      </w:r>
      <w:r>
        <w:rPr>
          <w:rFonts w:cs="Arial"/>
        </w:rPr>
        <w:t>. These podcasts</w:t>
      </w:r>
      <w:r w:rsidRPr="00573559">
        <w:rPr>
          <w:rFonts w:cs="Arial"/>
        </w:rPr>
        <w:t xml:space="preserve"> promote</w:t>
      </w:r>
      <w:r>
        <w:rPr>
          <w:rFonts w:cs="Arial"/>
        </w:rPr>
        <w:t>d</w:t>
      </w:r>
      <w:r w:rsidRPr="00573559">
        <w:rPr>
          <w:rFonts w:cs="Arial"/>
        </w:rPr>
        <w:t xml:space="preserve"> Kooth, a</w:t>
      </w:r>
      <w:r>
        <w:rPr>
          <w:rFonts w:cs="Arial"/>
        </w:rPr>
        <w:t xml:space="preserve"> regionally commissioned</w:t>
      </w:r>
      <w:r w:rsidRPr="00573559">
        <w:rPr>
          <w:rFonts w:cs="Arial"/>
        </w:rPr>
        <w:t xml:space="preserve"> online mental health platform for young people</w:t>
      </w:r>
      <w:r>
        <w:rPr>
          <w:rFonts w:cs="Arial"/>
        </w:rPr>
        <w:t>.</w:t>
      </w:r>
      <w:r w:rsidRPr="00573559">
        <w:rPr>
          <w:rFonts w:cs="Arial"/>
        </w:rPr>
        <w:t xml:space="preserve"> </w:t>
      </w:r>
    </w:p>
    <w:p w14:paraId="1BDEA8CB" w14:textId="6D27FB71" w:rsidR="00EA1004" w:rsidRPr="00573559" w:rsidRDefault="00EA1004" w:rsidP="0062761B">
      <w:pPr>
        <w:pStyle w:val="ListParagraph"/>
        <w:numPr>
          <w:ilvl w:val="0"/>
          <w:numId w:val="27"/>
        </w:numPr>
        <w:tabs>
          <w:tab w:val="clear" w:pos="2835"/>
          <w:tab w:val="clear" w:pos="5670"/>
          <w:tab w:val="clear" w:pos="9016"/>
        </w:tabs>
        <w:spacing w:before="0" w:after="160"/>
        <w:rPr>
          <w:rFonts w:cs="Arial"/>
        </w:rPr>
      </w:pPr>
      <w:r w:rsidRPr="00573559">
        <w:rPr>
          <w:rFonts w:cs="Arial"/>
        </w:rPr>
        <w:t xml:space="preserve">Get </w:t>
      </w:r>
      <w:r>
        <w:rPr>
          <w:rFonts w:cs="Arial"/>
        </w:rPr>
        <w:t>Y</w:t>
      </w:r>
      <w:r w:rsidRPr="00573559">
        <w:rPr>
          <w:rFonts w:cs="Arial"/>
        </w:rPr>
        <w:t>our Vax straight</w:t>
      </w:r>
      <w:r>
        <w:rPr>
          <w:rFonts w:cs="Arial"/>
        </w:rPr>
        <w:t xml:space="preserve"> - a</w:t>
      </w:r>
      <w:r w:rsidRPr="00573559">
        <w:rPr>
          <w:rFonts w:cs="Arial"/>
        </w:rPr>
        <w:t xml:space="preserve"> podcast led by young people with </w:t>
      </w:r>
      <w:r>
        <w:rPr>
          <w:rFonts w:cs="Arial"/>
        </w:rPr>
        <w:t xml:space="preserve">guest </w:t>
      </w:r>
      <w:r w:rsidRPr="00573559">
        <w:rPr>
          <w:rFonts w:cs="Arial"/>
        </w:rPr>
        <w:t>Dr James Crick</w:t>
      </w:r>
      <w:r>
        <w:rPr>
          <w:rFonts w:cs="Arial"/>
        </w:rPr>
        <w:t xml:space="preserve"> aiming to bust</w:t>
      </w:r>
      <w:r w:rsidRPr="00573559">
        <w:rPr>
          <w:rFonts w:cs="Arial"/>
        </w:rPr>
        <w:t xml:space="preserve"> myths around the COVID-19 vaccine</w:t>
      </w:r>
      <w:r>
        <w:rPr>
          <w:rFonts w:cs="Arial"/>
        </w:rPr>
        <w:t xml:space="preserve"> and encourage uptake in young people</w:t>
      </w:r>
      <w:r w:rsidRPr="00573559">
        <w:rPr>
          <w:rFonts w:cs="Arial"/>
        </w:rPr>
        <w:t xml:space="preserve">. </w:t>
      </w:r>
    </w:p>
    <w:p w14:paraId="47FE28F2" w14:textId="77777777" w:rsidR="00EA1004" w:rsidRDefault="00EA1004" w:rsidP="00EA1004">
      <w:pPr>
        <w:rPr>
          <w:rFonts w:cs="Arial"/>
        </w:rPr>
      </w:pPr>
      <w:r>
        <w:rPr>
          <w:rFonts w:cs="Arial"/>
        </w:rPr>
        <w:t>We have continued to utilise video to promote key projects and tell patient stories. Some examples of video story telling include:</w:t>
      </w:r>
    </w:p>
    <w:p w14:paraId="7C75A467" w14:textId="77777777" w:rsidR="00EA1004" w:rsidRDefault="00EA1004" w:rsidP="0062761B">
      <w:pPr>
        <w:pStyle w:val="ListParagraph"/>
        <w:numPr>
          <w:ilvl w:val="0"/>
          <w:numId w:val="26"/>
        </w:numPr>
        <w:tabs>
          <w:tab w:val="clear" w:pos="2835"/>
          <w:tab w:val="clear" w:pos="5670"/>
          <w:tab w:val="clear" w:pos="9016"/>
        </w:tabs>
        <w:spacing w:before="0" w:after="160"/>
        <w:rPr>
          <w:rFonts w:cs="Arial"/>
        </w:rPr>
      </w:pPr>
      <w:r>
        <w:rPr>
          <w:rFonts w:cs="Arial"/>
        </w:rPr>
        <w:t>#GrabaJab like Tommy Coyle! – Local boxing hero Tommy Coyle took viewers along to his second COVID-19 vaccination appointment at a local walk-in pop-up site which showed how easy it is to access vaccinations within the community.</w:t>
      </w:r>
    </w:p>
    <w:p w14:paraId="4830F11D" w14:textId="77777777" w:rsidR="00EA1004" w:rsidRDefault="00EA1004" w:rsidP="0062761B">
      <w:pPr>
        <w:pStyle w:val="ListParagraph"/>
        <w:numPr>
          <w:ilvl w:val="0"/>
          <w:numId w:val="26"/>
        </w:numPr>
        <w:tabs>
          <w:tab w:val="clear" w:pos="2835"/>
          <w:tab w:val="clear" w:pos="5670"/>
          <w:tab w:val="clear" w:pos="9016"/>
        </w:tabs>
        <w:spacing w:before="0" w:after="160"/>
        <w:rPr>
          <w:rFonts w:cs="Arial"/>
        </w:rPr>
      </w:pPr>
      <w:bookmarkStart w:id="39" w:name="_Hlk99634140"/>
      <w:r>
        <w:rPr>
          <w:rFonts w:cs="Arial"/>
        </w:rPr>
        <w:t>Targeted Lung Health Checks – Danny and Christine’s Story – this case study video featured local couple Danny and Christine Whisby who attended their lung health check in January 2020. Unfortunately, Danny’s scan found that he had lung cancer. However, with the early diagnosis and quick treatment, Danny is now cancer free and looking forward to summer holidays with his wife Christine. This story featured in Health and Social Care Secretary Sajid Javid’s speech at the Francis Crick Institute in February 2022.</w:t>
      </w:r>
    </w:p>
    <w:bookmarkEnd w:id="39"/>
    <w:p w14:paraId="189EBC61" w14:textId="31E60860" w:rsidR="00EA1004" w:rsidRPr="00594735" w:rsidRDefault="00EA1004" w:rsidP="0062761B">
      <w:pPr>
        <w:pStyle w:val="ListParagraph"/>
        <w:numPr>
          <w:ilvl w:val="0"/>
          <w:numId w:val="26"/>
        </w:numPr>
        <w:tabs>
          <w:tab w:val="clear" w:pos="2835"/>
          <w:tab w:val="clear" w:pos="5670"/>
          <w:tab w:val="clear" w:pos="9016"/>
        </w:tabs>
        <w:spacing w:before="0" w:after="160"/>
        <w:rPr>
          <w:rFonts w:cs="Arial"/>
        </w:rPr>
      </w:pPr>
      <w:r>
        <w:rPr>
          <w:rFonts w:cs="Arial"/>
        </w:rPr>
        <w:t>Bowel screening instructional video for people with learning disabilities – this walk-through video gave accessible instructions on how to use a home bow</w:t>
      </w:r>
      <w:r w:rsidR="00EA2739">
        <w:rPr>
          <w:rFonts w:cs="Arial"/>
        </w:rPr>
        <w:t>e</w:t>
      </w:r>
      <w:r>
        <w:rPr>
          <w:rFonts w:cs="Arial"/>
        </w:rPr>
        <w:t xml:space="preserve">l screening kit for people with learning disabilities. </w:t>
      </w:r>
      <w:r w:rsidRPr="00594735">
        <w:rPr>
          <w:rFonts w:cs="Arial"/>
        </w:rPr>
        <w:t>The video featured Colleen Hemswort</w:t>
      </w:r>
      <w:r w:rsidR="00594735" w:rsidRPr="00594735">
        <w:rPr>
          <w:rFonts w:cs="Arial"/>
        </w:rPr>
        <w:t xml:space="preserve">h, a volunteer </w:t>
      </w:r>
      <w:r w:rsidR="00594735">
        <w:rPr>
          <w:rFonts w:cs="Arial"/>
        </w:rPr>
        <w:t>with</w:t>
      </w:r>
      <w:r w:rsidR="00594735" w:rsidRPr="00594735">
        <w:rPr>
          <w:rFonts w:cs="Arial"/>
        </w:rPr>
        <w:t xml:space="preserve"> City </w:t>
      </w:r>
      <w:r w:rsidR="00594735">
        <w:rPr>
          <w:rFonts w:cs="Arial"/>
        </w:rPr>
        <w:t>H</w:t>
      </w:r>
      <w:r w:rsidR="00594735" w:rsidRPr="00594735">
        <w:rPr>
          <w:rFonts w:cs="Arial"/>
        </w:rPr>
        <w:t xml:space="preserve">ealth </w:t>
      </w:r>
      <w:r w:rsidR="00594735">
        <w:rPr>
          <w:rFonts w:cs="Arial"/>
        </w:rPr>
        <w:t>C</w:t>
      </w:r>
      <w:r w:rsidR="00594735" w:rsidRPr="00594735">
        <w:rPr>
          <w:rFonts w:cs="Arial"/>
        </w:rPr>
        <w:t xml:space="preserve">are </w:t>
      </w:r>
      <w:r w:rsidR="00594735">
        <w:rPr>
          <w:rFonts w:cs="Arial"/>
        </w:rPr>
        <w:t>P</w:t>
      </w:r>
      <w:r w:rsidR="00594735" w:rsidRPr="00594735">
        <w:rPr>
          <w:rFonts w:cs="Arial"/>
        </w:rPr>
        <w:t>artnership’s Wellbeing service and prominent member of our local learning disability community.</w:t>
      </w:r>
    </w:p>
    <w:p w14:paraId="1CAD9CB9" w14:textId="77777777" w:rsidR="00EA1004" w:rsidRDefault="00EA1004" w:rsidP="0062761B">
      <w:pPr>
        <w:pStyle w:val="ListParagraph"/>
        <w:numPr>
          <w:ilvl w:val="0"/>
          <w:numId w:val="26"/>
        </w:numPr>
        <w:tabs>
          <w:tab w:val="clear" w:pos="2835"/>
          <w:tab w:val="clear" w:pos="5670"/>
          <w:tab w:val="clear" w:pos="9016"/>
        </w:tabs>
        <w:spacing w:before="0" w:after="160"/>
        <w:rPr>
          <w:rFonts w:cs="Arial"/>
        </w:rPr>
      </w:pPr>
      <w:r>
        <w:rPr>
          <w:rFonts w:cs="Arial"/>
        </w:rPr>
        <w:t xml:space="preserve">What is a Mental Health Support Team animation – this animation was co-produced with schools, parents and carers and children and young people to provide a clear, digestible explanation of what a Mental Health Support Team is for young children. </w:t>
      </w:r>
    </w:p>
    <w:p w14:paraId="73DC41C7" w14:textId="5EF81AE3" w:rsidR="00E21C21" w:rsidRPr="00911EC1" w:rsidRDefault="00EA1004" w:rsidP="0062761B">
      <w:pPr>
        <w:pStyle w:val="ListParagraph"/>
        <w:numPr>
          <w:ilvl w:val="0"/>
          <w:numId w:val="26"/>
        </w:numPr>
        <w:tabs>
          <w:tab w:val="clear" w:pos="2835"/>
          <w:tab w:val="clear" w:pos="5670"/>
          <w:tab w:val="clear" w:pos="9016"/>
        </w:tabs>
        <w:spacing w:before="0" w:after="160"/>
        <w:rPr>
          <w:rFonts w:eastAsia="Times New Roman" w:cs="Arial"/>
        </w:rPr>
      </w:pPr>
      <w:r w:rsidRPr="004A62E4">
        <w:rPr>
          <w:rFonts w:eastAsia="Times New Roman" w:cs="Arial"/>
        </w:rPr>
        <w:t>Humber Children’s Palliative and End of Life Care- Children and families’ stories- a series of videos were produced to highlight the experiences of children, young people and their families through their palliative and end of life care journey. Each video focuses on key elements of the journey including diagnosis, ongoing care, end of life, bereavement, and transition; giving insight into the strengths, challenges and gaps in current services and support across the Humber.</w:t>
      </w:r>
    </w:p>
    <w:p w14:paraId="1ACD8822" w14:textId="182C8EAB" w:rsidR="00AC01FD" w:rsidRDefault="00E21C21" w:rsidP="00B66DE2">
      <w:pPr>
        <w:tabs>
          <w:tab w:val="clear" w:pos="2835"/>
          <w:tab w:val="clear" w:pos="5670"/>
          <w:tab w:val="clear" w:pos="9016"/>
        </w:tabs>
        <w:spacing w:before="0" w:after="0" w:line="240" w:lineRule="auto"/>
        <w:contextualSpacing/>
        <w:rPr>
          <w:rFonts w:cs="Arial"/>
        </w:rPr>
      </w:pPr>
      <w:r>
        <w:rPr>
          <w:rFonts w:cs="Arial"/>
        </w:rPr>
        <w:t xml:space="preserve">Search </w:t>
      </w:r>
      <w:r w:rsidRPr="00E21C21">
        <w:rPr>
          <w:rFonts w:cs="Arial"/>
          <w:b/>
          <w:bCs/>
        </w:rPr>
        <w:t>NHS Hull CCG</w:t>
      </w:r>
      <w:r>
        <w:rPr>
          <w:rFonts w:cs="Arial"/>
        </w:rPr>
        <w:t xml:space="preserve"> on youtube or visit </w:t>
      </w:r>
      <w:hyperlink r:id="rId33" w:history="1">
        <w:r w:rsidRPr="00950C9D">
          <w:rPr>
            <w:rStyle w:val="Hyperlink"/>
            <w:rFonts w:cs="Arial"/>
          </w:rPr>
          <w:t>www.hullccg.nhs.uk</w:t>
        </w:r>
      </w:hyperlink>
      <w:r>
        <w:rPr>
          <w:rFonts w:cs="Arial"/>
        </w:rPr>
        <w:t xml:space="preserve"> to see our films</w:t>
      </w:r>
      <w:r w:rsidR="001105B7">
        <w:rPr>
          <w:rFonts w:cs="Arial"/>
        </w:rPr>
        <w:t>.</w:t>
      </w:r>
    </w:p>
    <w:p w14:paraId="73F3804C" w14:textId="77777777" w:rsidR="00E21C21" w:rsidRPr="00E21C21" w:rsidRDefault="00E21C21" w:rsidP="00B66DE2">
      <w:pPr>
        <w:tabs>
          <w:tab w:val="clear" w:pos="2835"/>
          <w:tab w:val="clear" w:pos="5670"/>
          <w:tab w:val="clear" w:pos="9016"/>
        </w:tabs>
        <w:spacing w:before="0" w:after="0" w:line="240" w:lineRule="auto"/>
        <w:contextualSpacing/>
        <w:rPr>
          <w:rFonts w:cs="Arial"/>
        </w:rPr>
      </w:pPr>
    </w:p>
    <w:p w14:paraId="497B09CC" w14:textId="2E44B4CA" w:rsidR="007A4B6B" w:rsidRPr="00E21C21" w:rsidRDefault="00C95542" w:rsidP="00B66DE2">
      <w:pPr>
        <w:spacing w:before="0" w:after="0"/>
        <w:rPr>
          <w:rFonts w:cs="Arial"/>
          <w:b/>
          <w:iCs/>
        </w:rPr>
      </w:pPr>
      <w:r w:rsidRPr="00E21C21">
        <w:rPr>
          <w:rFonts w:cs="Arial"/>
          <w:b/>
          <w:iCs/>
        </w:rPr>
        <w:t>Newsletters</w:t>
      </w:r>
      <w:r w:rsidR="00580D8C">
        <w:rPr>
          <w:rFonts w:cs="Arial"/>
          <w:b/>
          <w:iCs/>
        </w:rPr>
        <w:t xml:space="preserve"> </w:t>
      </w:r>
    </w:p>
    <w:p w14:paraId="3090279F" w14:textId="3C3904A1" w:rsidR="001757C6" w:rsidRDefault="006E44F2" w:rsidP="00B66DE2">
      <w:pPr>
        <w:spacing w:before="0" w:after="0"/>
        <w:rPr>
          <w:rStyle w:val="Hyperlink"/>
          <w:rFonts w:cs="Arial"/>
        </w:rPr>
      </w:pPr>
      <w:r w:rsidRPr="00A558A4">
        <w:rPr>
          <w:rFonts w:cs="Arial"/>
        </w:rPr>
        <w:t>We produce a number of newsletters to update on CCG work programmes</w:t>
      </w:r>
      <w:r w:rsidR="00580D8C">
        <w:rPr>
          <w:rFonts w:cs="Arial"/>
        </w:rPr>
        <w:t xml:space="preserve"> which include</w:t>
      </w:r>
      <w:r w:rsidRPr="00A558A4">
        <w:rPr>
          <w:rFonts w:cs="Arial"/>
        </w:rPr>
        <w:t xml:space="preserve">: </w:t>
      </w:r>
      <w:r w:rsidR="00C95542" w:rsidRPr="00A558A4">
        <w:rPr>
          <w:rFonts w:cs="Arial"/>
        </w:rPr>
        <w:t xml:space="preserve">My city, my health, my care </w:t>
      </w:r>
      <w:r w:rsidR="00E77AA1" w:rsidRPr="00A558A4">
        <w:rPr>
          <w:rFonts w:cs="Arial"/>
          <w:color w:val="1F497D"/>
        </w:rPr>
        <w:t xml:space="preserve">- </w:t>
      </w:r>
      <w:r w:rsidR="00C95542" w:rsidRPr="00A558A4">
        <w:rPr>
          <w:rFonts w:cs="Arial"/>
          <w:color w:val="000000" w:themeColor="text1"/>
          <w:kern w:val="24"/>
        </w:rPr>
        <w:t>highlights</w:t>
      </w:r>
      <w:r w:rsidRPr="00A558A4">
        <w:rPr>
          <w:rFonts w:cs="Arial"/>
          <w:color w:val="000000" w:themeColor="text1"/>
          <w:kern w:val="24"/>
        </w:rPr>
        <w:t xml:space="preserve"> developments in primary care</w:t>
      </w:r>
      <w:r w:rsidR="00C95542" w:rsidRPr="00A558A4">
        <w:rPr>
          <w:rFonts w:cs="Arial"/>
          <w:color w:val="000000" w:themeColor="text1"/>
          <w:kern w:val="24"/>
        </w:rPr>
        <w:t xml:space="preserve"> </w:t>
      </w:r>
      <w:hyperlink r:id="rId34" w:history="1">
        <w:r w:rsidR="00C95542" w:rsidRPr="00A558A4">
          <w:rPr>
            <w:rStyle w:val="Hyperlink"/>
            <w:rFonts w:cs="Arial"/>
          </w:rPr>
          <w:t>https://www.hullccg.nhs.uk/primary-care-blueprint/</w:t>
        </w:r>
      </w:hyperlink>
      <w:r w:rsidRPr="00A558A4">
        <w:rPr>
          <w:rFonts w:cs="Arial"/>
          <w:color w:val="000000" w:themeColor="text1"/>
          <w:kern w:val="24"/>
        </w:rPr>
        <w:t xml:space="preserve">, and </w:t>
      </w:r>
      <w:r w:rsidR="00C95542" w:rsidRPr="00A558A4">
        <w:rPr>
          <w:rFonts w:cs="Arial"/>
          <w:color w:val="000000" w:themeColor="text1"/>
          <w:kern w:val="24"/>
        </w:rPr>
        <w:t xml:space="preserve">our bi-monthly </w:t>
      </w:r>
      <w:r w:rsidRPr="00A558A4">
        <w:rPr>
          <w:rFonts w:cs="Arial"/>
          <w:color w:val="000000" w:themeColor="text1"/>
          <w:kern w:val="24"/>
        </w:rPr>
        <w:t xml:space="preserve">Chief Executive Update </w:t>
      </w:r>
      <w:r w:rsidR="00C95542" w:rsidRPr="00A558A4">
        <w:rPr>
          <w:rFonts w:cs="Arial"/>
          <w:color w:val="000000" w:themeColor="text1"/>
          <w:kern w:val="24"/>
        </w:rPr>
        <w:t xml:space="preserve">features work of the CCG </w:t>
      </w:r>
      <w:hyperlink r:id="rId35" w:anchor="section9" w:history="1">
        <w:r w:rsidR="00C95542" w:rsidRPr="00A558A4">
          <w:rPr>
            <w:rStyle w:val="Hyperlink"/>
            <w:rFonts w:cs="Arial"/>
          </w:rPr>
          <w:t>https://www.hullccg.nhs.uk/publications/a-z-of-publications/current/#section9</w:t>
        </w:r>
      </w:hyperlink>
      <w:r w:rsidR="00580D8C">
        <w:rPr>
          <w:rStyle w:val="Hyperlink"/>
          <w:rFonts w:cs="Arial"/>
        </w:rPr>
        <w:t xml:space="preserve"> </w:t>
      </w:r>
    </w:p>
    <w:p w14:paraId="0F6665E6" w14:textId="4DBBE7F6" w:rsidR="001757C6" w:rsidRPr="001757C6" w:rsidRDefault="001757C6" w:rsidP="001757C6">
      <w:r w:rsidRPr="001757C6">
        <w:t>To further reach households in Hull</w:t>
      </w:r>
      <w:r w:rsidR="002714AF">
        <w:t>,</w:t>
      </w:r>
      <w:r w:rsidRPr="001757C6">
        <w:t xml:space="preserve"> in print and online</w:t>
      </w:r>
      <w:r w:rsidR="002714AF">
        <w:t>,</w:t>
      </w:r>
      <w:r w:rsidRPr="001757C6">
        <w:t xml:space="preserve"> we contribute regularly to a number of platforms and publications with blogs, first person pieces, interviews and features. </w:t>
      </w:r>
    </w:p>
    <w:p w14:paraId="11A406B1" w14:textId="3CBE9638" w:rsidR="00C95542" w:rsidRPr="00E21C21" w:rsidRDefault="00C95542" w:rsidP="00B66DE2">
      <w:pPr>
        <w:spacing w:before="0" w:after="0"/>
        <w:rPr>
          <w:rFonts w:cs="Arial"/>
          <w:b/>
          <w:iCs/>
        </w:rPr>
      </w:pPr>
      <w:r w:rsidRPr="00E21C21">
        <w:rPr>
          <w:rFonts w:cs="Arial"/>
          <w:b/>
          <w:iCs/>
        </w:rPr>
        <w:t>Get involved</w:t>
      </w:r>
      <w:r w:rsidR="002A445F">
        <w:rPr>
          <w:rFonts w:cs="Arial"/>
          <w:b/>
          <w:iCs/>
        </w:rPr>
        <w:t xml:space="preserve"> </w:t>
      </w:r>
    </w:p>
    <w:p w14:paraId="3AE2A341" w14:textId="77777777" w:rsidR="006E44F2" w:rsidRPr="00A558A4" w:rsidRDefault="006E44F2" w:rsidP="00B66DE2">
      <w:pPr>
        <w:spacing w:before="0" w:after="0"/>
        <w:rPr>
          <w:rFonts w:cs="Arial"/>
        </w:rPr>
      </w:pPr>
      <w:r w:rsidRPr="00A558A4">
        <w:rPr>
          <w:rFonts w:cs="Arial"/>
        </w:rPr>
        <w:t xml:space="preserve">Twitter: @NHSHullCCG </w:t>
      </w:r>
      <w:r w:rsidR="005521ED" w:rsidRPr="00A558A4">
        <w:rPr>
          <w:rFonts w:cs="Arial"/>
        </w:rPr>
        <w:t>@HullChampions @ThePeoplesPanel</w:t>
      </w:r>
    </w:p>
    <w:p w14:paraId="239DC22B" w14:textId="77777777" w:rsidR="006E44F2" w:rsidRPr="00A558A4" w:rsidRDefault="006E44F2" w:rsidP="00B66DE2">
      <w:pPr>
        <w:spacing w:before="0" w:after="0"/>
        <w:rPr>
          <w:rFonts w:cs="Arial"/>
        </w:rPr>
      </w:pPr>
      <w:r w:rsidRPr="00A558A4">
        <w:rPr>
          <w:rFonts w:cs="Arial"/>
        </w:rPr>
        <w:lastRenderedPageBreak/>
        <w:t>Facebook</w:t>
      </w:r>
      <w:r w:rsidR="005521ED" w:rsidRPr="00A558A4">
        <w:rPr>
          <w:rFonts w:cs="Arial"/>
        </w:rPr>
        <w:t xml:space="preserve"> pages</w:t>
      </w:r>
      <w:r w:rsidRPr="00A558A4">
        <w:rPr>
          <w:rFonts w:cs="Arial"/>
        </w:rPr>
        <w:t>: NHSHullCCG</w:t>
      </w:r>
      <w:r w:rsidR="005521ED" w:rsidRPr="00A558A4">
        <w:rPr>
          <w:rFonts w:cs="Arial"/>
        </w:rPr>
        <w:t>,</w:t>
      </w:r>
      <w:r w:rsidRPr="00A558A4">
        <w:rPr>
          <w:rFonts w:cs="Arial"/>
        </w:rPr>
        <w:t xml:space="preserve"> </w:t>
      </w:r>
      <w:r w:rsidR="005521ED" w:rsidRPr="00A558A4">
        <w:rPr>
          <w:rFonts w:cs="Arial"/>
        </w:rPr>
        <w:t>Hull2020 Champions, The Peoples Panel and Healthier Hull.</w:t>
      </w:r>
      <w:r w:rsidRPr="00A558A4">
        <w:rPr>
          <w:rFonts w:cs="Arial"/>
        </w:rPr>
        <w:t xml:space="preserve"> </w:t>
      </w:r>
    </w:p>
    <w:p w14:paraId="762E9F05" w14:textId="77777777" w:rsidR="006E44F2" w:rsidRPr="00A558A4" w:rsidRDefault="006E44F2" w:rsidP="00B66DE2">
      <w:pPr>
        <w:spacing w:before="0" w:after="0"/>
        <w:rPr>
          <w:rFonts w:cs="Arial"/>
        </w:rPr>
      </w:pPr>
      <w:r w:rsidRPr="00A558A4">
        <w:rPr>
          <w:rFonts w:cs="Arial"/>
        </w:rPr>
        <w:t xml:space="preserve">Search </w:t>
      </w:r>
      <w:r w:rsidR="00C95542" w:rsidRPr="00A558A4">
        <w:rPr>
          <w:rFonts w:cs="Arial"/>
        </w:rPr>
        <w:t>‘</w:t>
      </w:r>
      <w:r w:rsidRPr="00A558A4">
        <w:rPr>
          <w:rFonts w:cs="Arial"/>
          <w:b/>
        </w:rPr>
        <w:t>NHS Hull CCG</w:t>
      </w:r>
      <w:r w:rsidR="00C95542" w:rsidRPr="00A558A4">
        <w:rPr>
          <w:rFonts w:cs="Arial"/>
          <w:b/>
        </w:rPr>
        <w:t>’</w:t>
      </w:r>
      <w:r w:rsidRPr="00A558A4">
        <w:rPr>
          <w:rFonts w:cs="Arial"/>
        </w:rPr>
        <w:t xml:space="preserve"> on youtube.</w:t>
      </w:r>
    </w:p>
    <w:p w14:paraId="759773E1" w14:textId="77777777" w:rsidR="006E44F2" w:rsidRPr="00A558A4" w:rsidRDefault="006E44F2" w:rsidP="00B66DE2">
      <w:pPr>
        <w:spacing w:before="0" w:after="0"/>
        <w:rPr>
          <w:rFonts w:cs="Arial"/>
        </w:rPr>
      </w:pPr>
      <w:r w:rsidRPr="00A558A4">
        <w:rPr>
          <w:rFonts w:cs="Arial"/>
        </w:rPr>
        <w:t xml:space="preserve">Our media policy can be found at </w:t>
      </w:r>
      <w:hyperlink r:id="rId36" w:history="1">
        <w:r w:rsidRPr="00A558A4">
          <w:rPr>
            <w:rStyle w:val="Hyperlink"/>
            <w:rFonts w:cs="Arial"/>
          </w:rPr>
          <w:t>www.hullccg.nhs.uk</w:t>
        </w:r>
      </w:hyperlink>
      <w:r w:rsidRPr="00A558A4">
        <w:rPr>
          <w:rFonts w:cs="Arial"/>
        </w:rPr>
        <w:t xml:space="preserve"> </w:t>
      </w:r>
    </w:p>
    <w:p w14:paraId="00535ED0" w14:textId="5AA74C4A" w:rsidR="00563952" w:rsidRPr="00A64440" w:rsidRDefault="00A66991" w:rsidP="00A64440">
      <w:pPr>
        <w:pStyle w:val="Heading3"/>
      </w:pPr>
      <w:bookmarkStart w:id="40" w:name="_Toc103695030"/>
      <w:bookmarkStart w:id="41" w:name="_Hlk69122275"/>
      <w:r w:rsidRPr="00684BD0">
        <w:t>Enhancing patient experience</w:t>
      </w:r>
      <w:bookmarkEnd w:id="40"/>
      <w:r w:rsidRPr="00684BD0">
        <w:t xml:space="preserve"> </w:t>
      </w:r>
      <w:bookmarkStart w:id="42" w:name="_Hlk69122204"/>
    </w:p>
    <w:bookmarkEnd w:id="42"/>
    <w:p w14:paraId="6209D6D1" w14:textId="77777777" w:rsidR="00FC40C0" w:rsidRPr="00A558A4" w:rsidRDefault="00FC40C0" w:rsidP="00FC40C0">
      <w:pPr>
        <w:pStyle w:val="NoSpacing"/>
        <w:spacing w:line="276" w:lineRule="auto"/>
        <w:rPr>
          <w:rFonts w:cs="Arial"/>
          <w:sz w:val="22"/>
        </w:rPr>
      </w:pPr>
      <w:r w:rsidRPr="00A558A4">
        <w:rPr>
          <w:rFonts w:cs="Arial"/>
          <w:b w:val="0"/>
          <w:color w:val="auto"/>
          <w:sz w:val="22"/>
        </w:rPr>
        <w:t xml:space="preserve">We are committed to making sure that the views and experiences of patients and the public inform every stage of the commissioning process. Seeking patient experience has been integral to our surveys and procurement of new health services during </w:t>
      </w:r>
      <w:r>
        <w:rPr>
          <w:rFonts w:cs="Arial"/>
          <w:b w:val="0"/>
          <w:color w:val="auto"/>
          <w:sz w:val="22"/>
        </w:rPr>
        <w:t>2021-22</w:t>
      </w:r>
      <w:r w:rsidRPr="00A558A4">
        <w:rPr>
          <w:rFonts w:cs="Arial"/>
          <w:b w:val="0"/>
          <w:color w:val="auto"/>
          <w:sz w:val="22"/>
        </w:rPr>
        <w:t xml:space="preserve">. </w:t>
      </w:r>
    </w:p>
    <w:p w14:paraId="2E82EE30" w14:textId="77777777" w:rsidR="00FC40C0" w:rsidRPr="00A558A4" w:rsidRDefault="00FC40C0" w:rsidP="00FC40C0">
      <w:pPr>
        <w:pStyle w:val="NoSpacing"/>
        <w:spacing w:before="0" w:line="276" w:lineRule="auto"/>
        <w:ind w:left="720"/>
        <w:rPr>
          <w:rFonts w:cs="Arial"/>
          <w:b w:val="0"/>
          <w:color w:val="auto"/>
          <w:sz w:val="22"/>
        </w:rPr>
      </w:pPr>
    </w:p>
    <w:p w14:paraId="6FF86E3E" w14:textId="147F18CF" w:rsidR="00FC40C0" w:rsidRPr="00A558A4" w:rsidRDefault="00FC40C0" w:rsidP="00FC40C0">
      <w:pPr>
        <w:pStyle w:val="NoSpacing"/>
        <w:spacing w:before="0" w:line="276" w:lineRule="auto"/>
        <w:rPr>
          <w:rFonts w:cs="Arial"/>
          <w:b w:val="0"/>
          <w:color w:val="auto"/>
          <w:sz w:val="22"/>
        </w:rPr>
      </w:pPr>
      <w:r w:rsidRPr="00A558A4">
        <w:rPr>
          <w:rFonts w:cs="Arial"/>
          <w:b w:val="0"/>
          <w:color w:val="auto"/>
          <w:sz w:val="22"/>
        </w:rPr>
        <w:t xml:space="preserve">Our ‘in-house’ Patient Relations service provides valuable insight into the day to day experience of patients accessing the services we commission. This intelligence is used throughout the CCG in planning future services, quality monitoring and service improvement. Softer intelligence is discussed on a weekly basis at Senior Leadership Team meetings and reported to the Quality and Performance Committee which helps identify issues early and minimise any adverse impact for patients and the public. </w:t>
      </w:r>
      <w:r w:rsidRPr="00181694">
        <w:rPr>
          <w:rFonts w:cs="Arial"/>
          <w:b w:val="0"/>
          <w:color w:val="auto"/>
          <w:sz w:val="22"/>
        </w:rPr>
        <w:t xml:space="preserve">Please see page </w:t>
      </w:r>
      <w:r w:rsidR="00A5244B" w:rsidRPr="00181694">
        <w:rPr>
          <w:rFonts w:cs="Arial"/>
          <w:b w:val="0"/>
          <w:color w:val="auto"/>
          <w:sz w:val="22"/>
        </w:rPr>
        <w:t>5</w:t>
      </w:r>
      <w:r w:rsidR="00000FB8" w:rsidRPr="00181694">
        <w:rPr>
          <w:rFonts w:cs="Arial"/>
          <w:b w:val="0"/>
          <w:color w:val="auto"/>
          <w:sz w:val="22"/>
        </w:rPr>
        <w:t>3</w:t>
      </w:r>
      <w:r w:rsidRPr="00181694">
        <w:rPr>
          <w:rFonts w:cs="Arial"/>
          <w:b w:val="0"/>
          <w:color w:val="auto"/>
          <w:sz w:val="22"/>
        </w:rPr>
        <w:t xml:space="preserve"> in the Accountability Report for information on handling complaints in 2021-22.</w:t>
      </w:r>
      <w:r w:rsidRPr="00A558A4">
        <w:rPr>
          <w:rFonts w:cs="Arial"/>
          <w:b w:val="0"/>
          <w:color w:val="auto"/>
          <w:sz w:val="22"/>
        </w:rPr>
        <w:t xml:space="preserve"> </w:t>
      </w:r>
    </w:p>
    <w:p w14:paraId="28AA3351" w14:textId="77777777" w:rsidR="00FC40C0" w:rsidRPr="00A558A4" w:rsidRDefault="00FC40C0" w:rsidP="00FC40C0">
      <w:pPr>
        <w:pStyle w:val="NoSpacing"/>
        <w:spacing w:line="276" w:lineRule="auto"/>
        <w:rPr>
          <w:rFonts w:cs="Arial"/>
          <w:color w:val="auto"/>
          <w:sz w:val="22"/>
        </w:rPr>
      </w:pPr>
      <w:r w:rsidRPr="00EA2739">
        <w:rPr>
          <w:rFonts w:cs="Arial"/>
          <w:color w:val="auto"/>
          <w:sz w:val="22"/>
        </w:rPr>
        <w:t xml:space="preserve">We welcome feedback on experiences of local health services.  The Patient Relations service can be contacted with concerns, complaints and compliments via Freepost plus RTGL-RGEB-JABG, NHS Hull CCG, Patient Relations, 2nd Floor, Wilberforce Court, Alfred Gelder Street, Hull HU1 1UY Telephone 01482 335409 Email: </w:t>
      </w:r>
      <w:hyperlink r:id="rId37" w:history="1">
        <w:r w:rsidRPr="00EA2739">
          <w:rPr>
            <w:rFonts w:cs="Arial"/>
            <w:color w:val="auto"/>
            <w:sz w:val="22"/>
          </w:rPr>
          <w:t>HullCCG.Pals@nhs.net</w:t>
        </w:r>
      </w:hyperlink>
    </w:p>
    <w:p w14:paraId="6D747C7C" w14:textId="7B3C0BBF" w:rsidR="00B14EF6" w:rsidRPr="004E36F6" w:rsidRDefault="006E44F2" w:rsidP="00B66DE2">
      <w:pPr>
        <w:pStyle w:val="Heading3"/>
        <w:rPr>
          <w:color w:val="auto"/>
        </w:rPr>
      </w:pPr>
      <w:bookmarkStart w:id="43" w:name="_Toc512957148"/>
      <w:bookmarkStart w:id="44" w:name="_Toc103695031"/>
      <w:bookmarkEnd w:id="41"/>
      <w:r w:rsidRPr="00AC01FD">
        <w:rPr>
          <w:rStyle w:val="Heading3Char"/>
          <w:b/>
        </w:rPr>
        <w:t>Highlights of year in health</w:t>
      </w:r>
      <w:bookmarkEnd w:id="43"/>
      <w:r w:rsidRPr="00AC01FD">
        <w:rPr>
          <w:rStyle w:val="Heading3Char"/>
          <w:b/>
        </w:rPr>
        <w:t xml:space="preserve"> </w:t>
      </w:r>
      <w:r w:rsidR="001B17E6">
        <w:rPr>
          <w:rStyle w:val="Heading3Char"/>
          <w:b/>
        </w:rPr>
        <w:t>202</w:t>
      </w:r>
      <w:r w:rsidR="00814EAD">
        <w:rPr>
          <w:rStyle w:val="Heading3Char"/>
          <w:b/>
        </w:rPr>
        <w:t>1</w:t>
      </w:r>
      <w:r w:rsidR="001B17E6">
        <w:rPr>
          <w:rStyle w:val="Heading3Char"/>
          <w:b/>
        </w:rPr>
        <w:t>-2</w:t>
      </w:r>
      <w:r w:rsidR="00814EAD">
        <w:rPr>
          <w:rStyle w:val="Heading3Char"/>
          <w:b/>
        </w:rPr>
        <w:t>2</w:t>
      </w:r>
      <w:bookmarkEnd w:id="44"/>
      <w:r w:rsidR="000B5902" w:rsidRPr="00A558A4">
        <w:t xml:space="preserve"> </w:t>
      </w:r>
    </w:p>
    <w:bookmarkEnd w:id="34"/>
    <w:p w14:paraId="26E29AA4" w14:textId="77777777" w:rsidR="00EA1004" w:rsidRDefault="00EA1004" w:rsidP="00EA1004">
      <w:pPr>
        <w:spacing w:before="0" w:after="0"/>
        <w:rPr>
          <w:rFonts w:cs="Arial"/>
          <w:b/>
          <w:bCs/>
        </w:rPr>
      </w:pPr>
    </w:p>
    <w:p w14:paraId="6CBA9886" w14:textId="432CA3C0" w:rsidR="007B3AAC" w:rsidRPr="00BC0F3C" w:rsidRDefault="007B3AAC" w:rsidP="00EA1004">
      <w:pPr>
        <w:spacing w:before="0" w:after="0"/>
        <w:rPr>
          <w:rFonts w:cs="Arial"/>
          <w:b/>
          <w:bCs/>
        </w:rPr>
      </w:pPr>
      <w:r w:rsidRPr="00BC0F3C">
        <w:rPr>
          <w:rFonts w:cs="Arial"/>
          <w:b/>
          <w:bCs/>
        </w:rPr>
        <w:t>‘Our Best Years’ –</w:t>
      </w:r>
      <w:r w:rsidR="00982129">
        <w:rPr>
          <w:rFonts w:cs="Arial"/>
          <w:b/>
          <w:bCs/>
        </w:rPr>
        <w:t xml:space="preserve"> </w:t>
      </w:r>
      <w:r w:rsidRPr="00BC0F3C">
        <w:rPr>
          <w:rFonts w:cs="Arial"/>
          <w:b/>
          <w:bCs/>
        </w:rPr>
        <w:t>support</w:t>
      </w:r>
      <w:r w:rsidR="00982129">
        <w:rPr>
          <w:rFonts w:cs="Arial"/>
          <w:b/>
          <w:bCs/>
        </w:rPr>
        <w:t>ing</w:t>
      </w:r>
      <w:r w:rsidRPr="00BC0F3C">
        <w:rPr>
          <w:rFonts w:cs="Arial"/>
          <w:b/>
          <w:bCs/>
        </w:rPr>
        <w:t xml:space="preserve"> older people’s health and wellbeing</w:t>
      </w:r>
    </w:p>
    <w:p w14:paraId="66773C32" w14:textId="18B46D56" w:rsidR="007B3AAC" w:rsidRPr="00BC0F3C" w:rsidRDefault="007B3AAC" w:rsidP="004B2934">
      <w:pPr>
        <w:rPr>
          <w:rFonts w:cs="Arial"/>
        </w:rPr>
      </w:pPr>
      <w:r w:rsidRPr="00BC0F3C">
        <w:rPr>
          <w:rFonts w:cs="Arial"/>
        </w:rPr>
        <w:t xml:space="preserve">As part of the Teaming up for Health </w:t>
      </w:r>
      <w:r>
        <w:rPr>
          <w:rFonts w:cs="Arial"/>
        </w:rPr>
        <w:t>i</w:t>
      </w:r>
      <w:r w:rsidRPr="00BC0F3C">
        <w:rPr>
          <w:rFonts w:cs="Arial"/>
        </w:rPr>
        <w:t>nitiative,</w:t>
      </w:r>
      <w:r>
        <w:rPr>
          <w:rFonts w:cs="Arial"/>
        </w:rPr>
        <w:t xml:space="preserve"> NHS</w:t>
      </w:r>
      <w:r w:rsidRPr="00BC0F3C">
        <w:rPr>
          <w:rFonts w:cs="Arial"/>
        </w:rPr>
        <w:t xml:space="preserve"> Hull CCG worked together with Hull FC Foundation and Hull KR Foundation to </w:t>
      </w:r>
      <w:r w:rsidR="00EA1004">
        <w:rPr>
          <w:rFonts w:cs="Arial"/>
        </w:rPr>
        <w:t>launch</w:t>
      </w:r>
      <w:r w:rsidRPr="00BC0F3C">
        <w:rPr>
          <w:rFonts w:cs="Arial"/>
        </w:rPr>
        <w:t xml:space="preserve"> a new project </w:t>
      </w:r>
      <w:r w:rsidR="00EA1004">
        <w:rPr>
          <w:rFonts w:cs="Arial"/>
        </w:rPr>
        <w:t xml:space="preserve">in March 2022 </w:t>
      </w:r>
      <w:r w:rsidRPr="00BC0F3C">
        <w:rPr>
          <w:rFonts w:cs="Arial"/>
        </w:rPr>
        <w:t>aimed at tackling social isolation and improving physical wellbeing in older people. The project ‘Our Best Years’ combine</w:t>
      </w:r>
      <w:r>
        <w:rPr>
          <w:rFonts w:cs="Arial"/>
        </w:rPr>
        <w:t>s</w:t>
      </w:r>
      <w:r w:rsidRPr="00BC0F3C">
        <w:rPr>
          <w:rFonts w:cs="Arial"/>
        </w:rPr>
        <w:t xml:space="preserve"> fans</w:t>
      </w:r>
      <w:r w:rsidR="00EA2739">
        <w:rPr>
          <w:rFonts w:cs="Arial"/>
        </w:rPr>
        <w:t>’</w:t>
      </w:r>
      <w:r w:rsidRPr="00BC0F3C">
        <w:rPr>
          <w:rFonts w:cs="Arial"/>
        </w:rPr>
        <w:t xml:space="preserve"> love for rugby with physical wellbeing activities such as movement to music</w:t>
      </w:r>
      <w:r>
        <w:rPr>
          <w:rFonts w:cs="Arial"/>
        </w:rPr>
        <w:t xml:space="preserve"> and fun social activities like bingo and reminiscence</w:t>
      </w:r>
      <w:r w:rsidRPr="00BC0F3C">
        <w:rPr>
          <w:rFonts w:cs="Arial"/>
        </w:rPr>
        <w:t xml:space="preserve">.  </w:t>
      </w:r>
    </w:p>
    <w:p w14:paraId="695BB9F6" w14:textId="77777777" w:rsidR="00982129" w:rsidRPr="00982129" w:rsidRDefault="00982129" w:rsidP="00982129">
      <w:pPr>
        <w:spacing w:before="0" w:after="0" w:line="240" w:lineRule="auto"/>
        <w:rPr>
          <w:rFonts w:cs="Arial"/>
          <w:b/>
          <w:bCs/>
          <w:color w:val="000000"/>
          <w:shd w:val="clear" w:color="auto" w:fill="FFFFFF"/>
        </w:rPr>
      </w:pPr>
      <w:r w:rsidRPr="00982129">
        <w:rPr>
          <w:rFonts w:cs="Arial"/>
          <w:b/>
          <w:bCs/>
          <w:color w:val="000000"/>
          <w:shd w:val="clear" w:color="auto" w:fill="FFFFFF"/>
        </w:rPr>
        <w:t>Get Match Fit</w:t>
      </w:r>
    </w:p>
    <w:p w14:paraId="7EFA01C8" w14:textId="77777777" w:rsidR="00982129" w:rsidRPr="00982129" w:rsidRDefault="00982129" w:rsidP="004B2934">
      <w:pPr>
        <w:rPr>
          <w:rFonts w:eastAsiaTheme="minorHAnsi" w:cs="Arial"/>
          <w:noProof w:val="0"/>
        </w:rPr>
      </w:pPr>
      <w:r w:rsidRPr="00982129">
        <w:rPr>
          <w:rFonts w:cs="Arial"/>
          <w:color w:val="000000"/>
          <w:shd w:val="clear" w:color="auto" w:fill="FFFFFF"/>
        </w:rPr>
        <w:t xml:space="preserve">A new Hull FC Community Foundation project called ‘Match Fit’ launched in early 2022, helping men above the age of 35 get active. As part of the </w:t>
      </w:r>
      <w:r>
        <w:rPr>
          <w:rFonts w:cs="Arial"/>
          <w:color w:val="000000"/>
          <w:shd w:val="clear" w:color="auto" w:fill="FFFFFF"/>
        </w:rPr>
        <w:t xml:space="preserve">CCG’s </w:t>
      </w:r>
      <w:r w:rsidRPr="00982129">
        <w:rPr>
          <w:rFonts w:cs="Arial"/>
          <w:color w:val="000000"/>
          <w:shd w:val="clear" w:color="auto" w:fill="FFFFFF"/>
        </w:rPr>
        <w:t>Teaming up for Health initiative, ‘Match Fit’ sessions deliver a wide range of multi-sport activities, as well as several gym-based aerobic and anaerobic exercises. The sessions also offer the opportunity to promote wider messages about healthy lifestyles, mental resilience, and other opportunities to be active in the local community.</w:t>
      </w:r>
    </w:p>
    <w:p w14:paraId="074D3C35" w14:textId="2E8C83FD" w:rsidR="007B3AAC" w:rsidRPr="00BC0F3C" w:rsidRDefault="007B3AAC" w:rsidP="00EA1004">
      <w:pPr>
        <w:spacing w:after="0"/>
        <w:rPr>
          <w:rFonts w:cs="Arial"/>
          <w:b/>
          <w:bCs/>
        </w:rPr>
      </w:pPr>
      <w:r w:rsidRPr="00BC0F3C">
        <w:rPr>
          <w:rFonts w:cs="Arial"/>
          <w:b/>
          <w:bCs/>
        </w:rPr>
        <w:t>Recognition for Hull Mental Health Support Team</w:t>
      </w:r>
      <w:r w:rsidR="00EA2739">
        <w:rPr>
          <w:rFonts w:cs="Arial"/>
          <w:b/>
          <w:bCs/>
        </w:rPr>
        <w:t>s</w:t>
      </w:r>
      <w:r w:rsidRPr="00BC0F3C">
        <w:rPr>
          <w:rFonts w:cs="Arial"/>
          <w:b/>
          <w:bCs/>
        </w:rPr>
        <w:t xml:space="preserve"> at the Hull Live Golden Apples Awards</w:t>
      </w:r>
    </w:p>
    <w:p w14:paraId="09912959" w14:textId="283097DB" w:rsidR="007B3AAC" w:rsidRPr="00EA1004" w:rsidRDefault="007B3AAC" w:rsidP="007B3AAC">
      <w:pPr>
        <w:rPr>
          <w:rFonts w:cs="Arial"/>
          <w:shd w:val="clear" w:color="auto" w:fill="FFFFFF"/>
        </w:rPr>
      </w:pPr>
      <w:r w:rsidRPr="00BC0F3C">
        <w:rPr>
          <w:rFonts w:cs="Arial"/>
          <w:shd w:val="clear" w:color="auto" w:fill="FFFFFF"/>
        </w:rPr>
        <w:t>Hull Mental Health Support Teams w</w:t>
      </w:r>
      <w:r w:rsidR="00EA2739">
        <w:rPr>
          <w:rFonts w:cs="Arial"/>
          <w:shd w:val="clear" w:color="auto" w:fill="FFFFFF"/>
        </w:rPr>
        <w:t>ere</w:t>
      </w:r>
      <w:r w:rsidRPr="00BC0F3C">
        <w:rPr>
          <w:rFonts w:cs="Arial"/>
          <w:shd w:val="clear" w:color="auto" w:fill="FFFFFF"/>
        </w:rPr>
        <w:t xml:space="preserve"> recognised at the Hull Live Golden Apple awards </w:t>
      </w:r>
      <w:r w:rsidR="008D695B">
        <w:rPr>
          <w:rFonts w:cs="Arial"/>
          <w:shd w:val="clear" w:color="auto" w:fill="FFFFFF"/>
        </w:rPr>
        <w:t xml:space="preserve">in December 2021 </w:t>
      </w:r>
      <w:r w:rsidRPr="00BC0F3C">
        <w:rPr>
          <w:rFonts w:cs="Arial"/>
          <w:shd w:val="clear" w:color="auto" w:fill="FFFFFF"/>
        </w:rPr>
        <w:t xml:space="preserve">for </w:t>
      </w:r>
      <w:r w:rsidR="00EA2739">
        <w:rPr>
          <w:rFonts w:cs="Arial"/>
          <w:shd w:val="clear" w:color="auto" w:fill="FFFFFF"/>
        </w:rPr>
        <w:t>their</w:t>
      </w:r>
      <w:r w:rsidRPr="00BC0F3C">
        <w:rPr>
          <w:rFonts w:cs="Arial"/>
          <w:shd w:val="clear" w:color="auto" w:fill="FFFFFF"/>
        </w:rPr>
        <w:t xml:space="preserve"> work to provide mental health and wellbeing support to children, young people, parents and education staff in schools and colleges across Hull. The new NHS service, which is delivered in partnership between NHS Hull CCG, Hull City Council and Humber Teaching NHS Foundation Trust was </w:t>
      </w:r>
      <w:r>
        <w:rPr>
          <w:rFonts w:cs="Arial"/>
          <w:shd w:val="clear" w:color="auto" w:fill="FFFFFF"/>
        </w:rPr>
        <w:t>presented</w:t>
      </w:r>
      <w:r w:rsidRPr="00BC0F3C">
        <w:rPr>
          <w:rFonts w:cs="Arial"/>
          <w:shd w:val="clear" w:color="auto" w:fill="FFFFFF"/>
        </w:rPr>
        <w:t xml:space="preserve"> </w:t>
      </w:r>
      <w:r>
        <w:rPr>
          <w:rFonts w:cs="Arial"/>
          <w:shd w:val="clear" w:color="auto" w:fill="FFFFFF"/>
        </w:rPr>
        <w:t xml:space="preserve">with </w:t>
      </w:r>
      <w:r w:rsidRPr="00BC0F3C">
        <w:rPr>
          <w:rFonts w:cs="Arial"/>
          <w:shd w:val="clear" w:color="auto" w:fill="FFFFFF"/>
        </w:rPr>
        <w:t>the ‘Wellbeing Award’ at the event, which saw education staff, children and young people gather to celebrate the talent, skills and hard work that goes into teaching and providing education in Hull and East Riding.</w:t>
      </w:r>
      <w:r w:rsidR="00EA1004">
        <w:rPr>
          <w:rFonts w:cs="Arial"/>
          <w:shd w:val="clear" w:color="auto" w:fill="FFFFFF"/>
        </w:rPr>
        <w:t xml:space="preserve"> </w:t>
      </w:r>
    </w:p>
    <w:p w14:paraId="5B4FCE3B" w14:textId="77777777" w:rsidR="007B3AAC" w:rsidRPr="00BC0F3C" w:rsidRDefault="007B3AAC" w:rsidP="00EA1004">
      <w:pPr>
        <w:spacing w:after="0"/>
        <w:rPr>
          <w:rFonts w:cs="Arial"/>
          <w:b/>
          <w:bCs/>
          <w:shd w:val="clear" w:color="auto" w:fill="FFFFFF"/>
        </w:rPr>
      </w:pPr>
      <w:r w:rsidRPr="00BC0F3C">
        <w:rPr>
          <w:rFonts w:cs="Arial"/>
          <w:b/>
          <w:bCs/>
          <w:shd w:val="clear" w:color="auto" w:fill="FFFFFF"/>
        </w:rPr>
        <w:t xml:space="preserve">New Hull and East Riding Neurodiversity Service selects winner </w:t>
      </w:r>
      <w:r>
        <w:rPr>
          <w:rFonts w:cs="Arial"/>
          <w:b/>
          <w:bCs/>
          <w:shd w:val="clear" w:color="auto" w:fill="FFFFFF"/>
        </w:rPr>
        <w:t>following</w:t>
      </w:r>
      <w:r w:rsidRPr="00BC0F3C">
        <w:rPr>
          <w:rFonts w:cs="Arial"/>
          <w:b/>
          <w:bCs/>
          <w:shd w:val="clear" w:color="auto" w:fill="FFFFFF"/>
        </w:rPr>
        <w:t xml:space="preserve"> logo competition</w:t>
      </w:r>
    </w:p>
    <w:p w14:paraId="64D5A6C1" w14:textId="54996914" w:rsidR="00EA2739" w:rsidRPr="00982129" w:rsidRDefault="007B3AAC" w:rsidP="004B2934">
      <w:pPr>
        <w:rPr>
          <w:rFonts w:cs="Arial"/>
        </w:rPr>
      </w:pPr>
      <w:r w:rsidRPr="00BC0F3C">
        <w:rPr>
          <w:rFonts w:cs="Arial"/>
        </w:rPr>
        <w:t xml:space="preserve">A brand-new service to support children and young people with neurodiverse needs unveiled its new logo at an event in October 2021 after inviting young people to </w:t>
      </w:r>
      <w:r>
        <w:rPr>
          <w:rFonts w:cs="Arial"/>
        </w:rPr>
        <w:t xml:space="preserve">submit their </w:t>
      </w:r>
      <w:r w:rsidRPr="00BC0F3C">
        <w:rPr>
          <w:rFonts w:cs="Arial"/>
        </w:rPr>
        <w:t>design</w:t>
      </w:r>
      <w:r>
        <w:rPr>
          <w:rFonts w:cs="Arial"/>
        </w:rPr>
        <w:t>s</w:t>
      </w:r>
      <w:r w:rsidRPr="00BC0F3C">
        <w:rPr>
          <w:rFonts w:cs="Arial"/>
        </w:rPr>
        <w:t xml:space="preserve">. Following an </w:t>
      </w:r>
      <w:r w:rsidRPr="00BC0F3C">
        <w:rPr>
          <w:rFonts w:cs="Arial"/>
        </w:rPr>
        <w:lastRenderedPageBreak/>
        <w:t>abundance of entries, the final winner was voted for by over 500 members of the public as well as NHS management</w:t>
      </w:r>
      <w:r>
        <w:rPr>
          <w:rFonts w:cs="Arial"/>
        </w:rPr>
        <w:t xml:space="preserve"> and the winner, 17-year-old Chloe Keenan, was presented with a certificate and voucher at a celebration event.</w:t>
      </w:r>
    </w:p>
    <w:p w14:paraId="10477EBA" w14:textId="650DFDFC" w:rsidR="007B3AAC" w:rsidRDefault="007B3AAC" w:rsidP="00EA1004">
      <w:pPr>
        <w:spacing w:after="0"/>
        <w:rPr>
          <w:rFonts w:cs="Arial"/>
          <w:b/>
          <w:bCs/>
        </w:rPr>
      </w:pPr>
      <w:r>
        <w:rPr>
          <w:rFonts w:cs="Arial"/>
          <w:b/>
          <w:bCs/>
        </w:rPr>
        <w:t>Working towards a greener NHS – new drop off sites launched for unwanted medical equipment</w:t>
      </w:r>
    </w:p>
    <w:p w14:paraId="21D54F4F" w14:textId="365024A1" w:rsidR="007B3AAC" w:rsidRPr="0064578A" w:rsidRDefault="00EA1004" w:rsidP="004B2934">
      <w:pPr>
        <w:rPr>
          <w:rFonts w:cs="Arial"/>
          <w:b/>
          <w:bCs/>
        </w:rPr>
      </w:pPr>
      <w:r w:rsidRPr="0084473D">
        <w:rPr>
          <w:rFonts w:cs="Arial"/>
          <w:shd w:val="clear" w:color="auto" w:fill="FFFFFF"/>
        </w:rPr>
        <w:t xml:space="preserve">In </w:t>
      </w:r>
      <w:r w:rsidR="0084473D" w:rsidRPr="0084473D">
        <w:rPr>
          <w:rFonts w:cs="Arial"/>
          <w:shd w:val="clear" w:color="auto" w:fill="FFFFFF"/>
        </w:rPr>
        <w:t>August</w:t>
      </w:r>
      <w:r w:rsidRPr="0084473D">
        <w:rPr>
          <w:rFonts w:cs="Arial"/>
          <w:shd w:val="clear" w:color="auto" w:fill="FFFFFF"/>
        </w:rPr>
        <w:t xml:space="preserve"> 2021 </w:t>
      </w:r>
      <w:r w:rsidR="007B3AAC" w:rsidRPr="0084473D">
        <w:rPr>
          <w:rFonts w:cs="Arial"/>
          <w:shd w:val="clear" w:color="auto" w:fill="FFFFFF"/>
        </w:rPr>
        <w:t>NHS Hull CCG, in partnership with NHS East Riding of Yorkshire CCG set up a new initiative to encoura</w:t>
      </w:r>
      <w:r w:rsidR="007B3AAC" w:rsidRPr="0064578A">
        <w:rPr>
          <w:rFonts w:cs="Arial"/>
          <w:shd w:val="clear" w:color="auto" w:fill="FFFFFF"/>
        </w:rPr>
        <w:t xml:space="preserve">ge residents to return medical equipment that is no longer needed such as crutches and commodes. Four new drop-off containers at </w:t>
      </w:r>
      <w:r w:rsidR="0064578A">
        <w:rPr>
          <w:rFonts w:cs="Arial"/>
          <w:shd w:val="clear" w:color="auto" w:fill="FFFFFF"/>
        </w:rPr>
        <w:t>h</w:t>
      </w:r>
      <w:r w:rsidR="007B3AAC" w:rsidRPr="0064578A">
        <w:rPr>
          <w:rFonts w:cs="Arial"/>
          <w:shd w:val="clear" w:color="auto" w:fill="FFFFFF"/>
        </w:rPr>
        <w:t xml:space="preserve">ousehold </w:t>
      </w:r>
      <w:r w:rsidR="0064578A">
        <w:rPr>
          <w:rFonts w:cs="Arial"/>
          <w:shd w:val="clear" w:color="auto" w:fill="FFFFFF"/>
        </w:rPr>
        <w:t>w</w:t>
      </w:r>
      <w:r w:rsidR="007B3AAC" w:rsidRPr="0064578A">
        <w:rPr>
          <w:rFonts w:cs="Arial"/>
          <w:shd w:val="clear" w:color="auto" w:fill="FFFFFF"/>
        </w:rPr>
        <w:t xml:space="preserve">aste </w:t>
      </w:r>
      <w:r w:rsidR="0064578A">
        <w:rPr>
          <w:rFonts w:cs="Arial"/>
          <w:shd w:val="clear" w:color="auto" w:fill="FFFFFF"/>
        </w:rPr>
        <w:t>r</w:t>
      </w:r>
      <w:r w:rsidR="007B3AAC" w:rsidRPr="0064578A">
        <w:rPr>
          <w:rFonts w:cs="Arial"/>
          <w:shd w:val="clear" w:color="auto" w:fill="FFFFFF"/>
        </w:rPr>
        <w:t xml:space="preserve">ecycling </w:t>
      </w:r>
      <w:r w:rsidR="0064578A">
        <w:rPr>
          <w:rFonts w:cs="Arial"/>
          <w:shd w:val="clear" w:color="auto" w:fill="FFFFFF"/>
        </w:rPr>
        <w:t>c</w:t>
      </w:r>
      <w:r w:rsidR="007B3AAC" w:rsidRPr="0064578A">
        <w:rPr>
          <w:rFonts w:cs="Arial"/>
          <w:shd w:val="clear" w:color="auto" w:fill="FFFFFF"/>
        </w:rPr>
        <w:t>entres in the area were allocated to help patients support a greener, more economic health service.</w:t>
      </w:r>
    </w:p>
    <w:p w14:paraId="7E47D0D8" w14:textId="60967BA3" w:rsidR="000B05E2" w:rsidRPr="002B504E" w:rsidRDefault="000B05E2" w:rsidP="002B504E">
      <w:pPr>
        <w:tabs>
          <w:tab w:val="clear" w:pos="2835"/>
          <w:tab w:val="clear" w:pos="5670"/>
          <w:tab w:val="clear" w:pos="9016"/>
        </w:tabs>
        <w:spacing w:before="0" w:after="0"/>
        <w:rPr>
          <w:rFonts w:eastAsia="Times New Roman" w:cs="Arial"/>
          <w:sz w:val="24"/>
          <w:szCs w:val="24"/>
        </w:rPr>
      </w:pPr>
      <w:bookmarkStart w:id="45" w:name="_Hlk101271524"/>
      <w:r w:rsidRPr="002B504E">
        <w:rPr>
          <w:rFonts w:eastAsia="Times New Roman" w:cs="Arial"/>
          <w:b/>
          <w:bCs/>
        </w:rPr>
        <w:t xml:space="preserve">Hull is home </w:t>
      </w:r>
      <w:r w:rsidR="00A153BD" w:rsidRPr="002B504E">
        <w:rPr>
          <w:rFonts w:eastAsia="Times New Roman" w:cs="Arial"/>
          <w:b/>
          <w:bCs/>
        </w:rPr>
        <w:t>to</w:t>
      </w:r>
      <w:r w:rsidRPr="002B504E">
        <w:rPr>
          <w:rFonts w:eastAsia="Times New Roman" w:cs="Arial"/>
          <w:b/>
          <w:bCs/>
        </w:rPr>
        <w:t xml:space="preserve"> </w:t>
      </w:r>
      <w:r w:rsidR="00A153BD" w:rsidRPr="002B504E">
        <w:rPr>
          <w:rFonts w:eastAsia="Times New Roman" w:cs="Arial"/>
          <w:b/>
          <w:bCs/>
        </w:rPr>
        <w:t xml:space="preserve">UK’s </w:t>
      </w:r>
      <w:r w:rsidRPr="002B504E">
        <w:rPr>
          <w:rFonts w:eastAsia="Times New Roman" w:cs="Arial"/>
          <w:b/>
          <w:bCs/>
        </w:rPr>
        <w:t xml:space="preserve">first CCG of Sanctuary </w:t>
      </w:r>
    </w:p>
    <w:p w14:paraId="7B11F718" w14:textId="6B39F8F5" w:rsidR="000B05E2" w:rsidRPr="00D5229D" w:rsidRDefault="000B05E2" w:rsidP="004B2934">
      <w:pPr>
        <w:shd w:val="clear" w:color="auto" w:fill="FFFFFF"/>
        <w:spacing w:after="300"/>
        <w:textAlignment w:val="baseline"/>
        <w:rPr>
          <w:rFonts w:eastAsia="Times New Roman" w:cs="Arial"/>
        </w:rPr>
      </w:pPr>
      <w:r w:rsidRPr="00D5229D">
        <w:rPr>
          <w:rFonts w:eastAsia="Times New Roman" w:cs="Arial"/>
        </w:rPr>
        <w:t>NHS Hull CCG celebrated achieving the status of ‘CCG of Sanctuary’ during Refugee Week 2021. On 16 June the CCG became the first commissioning organisation in the country to be awarded the accreditation from the City of Sanctuary UK.</w:t>
      </w:r>
      <w:r w:rsidR="00982129">
        <w:rPr>
          <w:rFonts w:eastAsia="Times New Roman" w:cs="Arial"/>
        </w:rPr>
        <w:t xml:space="preserve"> </w:t>
      </w:r>
      <w:r w:rsidRPr="00D5229D">
        <w:rPr>
          <w:rFonts w:eastAsia="Times New Roman" w:cs="Arial"/>
        </w:rPr>
        <w:t>Sanctuary status confirms that Hull CCG has a fundamental commitment to support refugees and asylum seekers when accessing healthcare services.</w:t>
      </w:r>
    </w:p>
    <w:p w14:paraId="7B4158CA" w14:textId="77777777" w:rsidR="000B05E2" w:rsidRPr="00D5229D" w:rsidRDefault="000B05E2" w:rsidP="000B05E2">
      <w:pPr>
        <w:shd w:val="clear" w:color="auto" w:fill="FFFFFF"/>
        <w:spacing w:after="300"/>
        <w:textAlignment w:val="baseline"/>
        <w:rPr>
          <w:rFonts w:eastAsia="Times New Roman" w:cs="Arial"/>
        </w:rPr>
      </w:pPr>
      <w:r w:rsidRPr="00D5229D">
        <w:rPr>
          <w:rFonts w:eastAsia="Times New Roman" w:cs="Arial"/>
        </w:rPr>
        <w:t>Hull CCG has a long tradition of working with migrant, refugee, and vulnerable populations, appreciating health and social difficulties these groups may face when accessing healthcare. An important part of the project is raising awareness and understanding among the frontline staff about the physical and mental health needs of migrants and asylum seekers and ensuring our local services in Hull are welcoming and responsive.</w:t>
      </w:r>
    </w:p>
    <w:p w14:paraId="2B721FFA" w14:textId="736B1DC4" w:rsidR="00A153BD" w:rsidRPr="00D5229D" w:rsidRDefault="000B05E2" w:rsidP="00A153BD">
      <w:r w:rsidRPr="00D5229D">
        <w:t>Dr Dan Roper, Chair</w:t>
      </w:r>
      <w:r w:rsidR="00A153BD" w:rsidRPr="00D5229D">
        <w:t xml:space="preserve"> of </w:t>
      </w:r>
      <w:r w:rsidRPr="00D5229D">
        <w:t xml:space="preserve">NHS Hull CCG, </w:t>
      </w:r>
      <w:r w:rsidR="00A153BD" w:rsidRPr="00D5229D">
        <w:t xml:space="preserve">who led the programme </w:t>
      </w:r>
      <w:r w:rsidRPr="00D5229D">
        <w:t xml:space="preserve">said: “When the Sanctuary organisation approached us to become the first CCG of Sanctuary in the country, we thought it was a fantastic opportunity to showcase some of the great services that we provide locally. Our city already has strong links with the movement. </w:t>
      </w:r>
      <w:r w:rsidR="00A153BD" w:rsidRPr="00D5229D">
        <w:t>This sta</w:t>
      </w:r>
      <w:r w:rsidR="00EA2739">
        <w:t>t</w:t>
      </w:r>
      <w:r w:rsidR="00A153BD" w:rsidRPr="00D5229D">
        <w:t>us is in recognition of work to provide equality of healthcare for migrants and asylum seekers, and t</w:t>
      </w:r>
      <w:r w:rsidRPr="00D5229D">
        <w:t>he CCG is proud to sit alongside Hull City of Sanctuary and the Hull University of Sanctuary</w:t>
      </w:r>
      <w:r w:rsidR="00A153BD" w:rsidRPr="00D5229D">
        <w:t xml:space="preserve">. </w:t>
      </w:r>
    </w:p>
    <w:p w14:paraId="293BCE85" w14:textId="7A757B42" w:rsidR="00D5229D" w:rsidRDefault="00A153BD" w:rsidP="00D5229D">
      <w:r w:rsidRPr="00D5229D">
        <w:t xml:space="preserve">The CCG has also produced a QR code, which staff can attach to a key fob, which can be scanned on a mobile phone to provide a direct link to its website with useful healthcare related information. </w:t>
      </w:r>
      <w:r w:rsidR="000B05E2" w:rsidRPr="00D5229D">
        <w:rPr>
          <w:rFonts w:eastAsia="Times New Roman" w:cs="Arial"/>
        </w:rPr>
        <w:t xml:space="preserve">Find out </w:t>
      </w:r>
      <w:r w:rsidR="000B05E2" w:rsidRPr="00953CF5">
        <w:rPr>
          <w:rFonts w:eastAsia="Times New Roman" w:cs="Arial"/>
          <w:color w:val="3D3D3D"/>
        </w:rPr>
        <w:t xml:space="preserve">more at </w:t>
      </w:r>
      <w:r w:rsidRPr="00BA18D4">
        <w:rPr>
          <w:rStyle w:val="Heading2Char"/>
          <w:b w:val="0"/>
          <w:sz w:val="22"/>
          <w:szCs w:val="22"/>
        </w:rPr>
        <w:t>www.hullccg.nhs.uk/our-work/current-projects/ccg-of-sanctuary/refugee-support/</w:t>
      </w:r>
    </w:p>
    <w:p w14:paraId="766E9FA7" w14:textId="17B68B35" w:rsidR="00D5229D" w:rsidRDefault="00D5229D" w:rsidP="0064578A">
      <w:pPr>
        <w:spacing w:before="0" w:after="0"/>
        <w:rPr>
          <w:b/>
          <w:bCs/>
        </w:rPr>
      </w:pPr>
      <w:r>
        <w:rPr>
          <w:b/>
          <w:bCs/>
        </w:rPr>
        <w:t xml:space="preserve">CCG </w:t>
      </w:r>
      <w:r w:rsidR="00EA2739">
        <w:rPr>
          <w:b/>
          <w:bCs/>
        </w:rPr>
        <w:t>r</w:t>
      </w:r>
      <w:r>
        <w:rPr>
          <w:b/>
          <w:bCs/>
        </w:rPr>
        <w:t xml:space="preserve">ecognised for dedication to veterans and their health </w:t>
      </w:r>
    </w:p>
    <w:p w14:paraId="62CA883E" w14:textId="0FD57F33" w:rsidR="00D5229D" w:rsidRDefault="00D5229D" w:rsidP="00D5229D">
      <w:r>
        <w:t xml:space="preserve">August 2021 saw NHS Hull CCG recognised for its work supporting veterans </w:t>
      </w:r>
      <w:r w:rsidR="000601A8">
        <w:t>achieving</w:t>
      </w:r>
      <w:r>
        <w:t xml:space="preserve"> Silver Accreditation from the Armed Forces Covenant. The Covenant publicly recognises the efforts made by an organisation to support defence personnel.</w:t>
      </w:r>
    </w:p>
    <w:p w14:paraId="4C632C84" w14:textId="4951F21F" w:rsidR="00D5229D" w:rsidRDefault="00D5229D" w:rsidP="00D5229D">
      <w:r>
        <w:t>Having joined the Covenant in 2019, an ongoing scheme of work and in-person events were planned to highlight the ways in which primary care (GP services) could support Armed Forces personnel and veterans</w:t>
      </w:r>
      <w:r w:rsidR="000601A8">
        <w:t>,</w:t>
      </w:r>
      <w:r>
        <w:t xml:space="preserve"> </w:t>
      </w:r>
      <w:r w:rsidR="000601A8">
        <w:t>d</w:t>
      </w:r>
      <w:r>
        <w:t>espite the COVID-19 pandemic putting immense pressure on health services</w:t>
      </w:r>
      <w:r w:rsidR="000601A8">
        <w:t>.</w:t>
      </w:r>
    </w:p>
    <w:p w14:paraId="5A291A6D" w14:textId="2A10C6E4" w:rsidR="00D5229D" w:rsidRDefault="000601A8" w:rsidP="00D5229D">
      <w:r>
        <w:t>More than</w:t>
      </w:r>
      <w:r w:rsidR="00D5229D">
        <w:t xml:space="preserve"> 3000 veterans inform</w:t>
      </w:r>
      <w:r>
        <w:t>ed</w:t>
      </w:r>
      <w:r w:rsidR="00D5229D">
        <w:t xml:space="preserve"> their GP practice of their ex-Armed Forces status in this short period of time. This allows </w:t>
      </w:r>
      <w:r>
        <w:t>them</w:t>
      </w:r>
      <w:r w:rsidR="00D5229D">
        <w:t xml:space="preserve"> to receive tailored support for their individual health needs and provides clinicians and supporting staff with the insight required to best support </w:t>
      </w:r>
      <w:r>
        <w:t>them</w:t>
      </w:r>
      <w:r w:rsidR="00D5229D">
        <w:t xml:space="preserve">. </w:t>
      </w:r>
      <w:r>
        <w:t xml:space="preserve">Additionally, the launch of the new </w:t>
      </w:r>
      <w:hyperlink r:id="rId38" w:history="1">
        <w:r>
          <w:rPr>
            <w:rStyle w:val="Hyperlink"/>
          </w:rPr>
          <w:t>www.hullandeastyorkshireveteransupport.co.uk</w:t>
        </w:r>
      </w:hyperlink>
      <w:r>
        <w:t xml:space="preserve"> website, brings together local support services aimed at promoting better mental health for </w:t>
      </w:r>
      <w:r w:rsidR="009200AB">
        <w:t xml:space="preserve">people </w:t>
      </w:r>
      <w:r>
        <w:t xml:space="preserve">serving in the forces, veterans and their families. </w:t>
      </w:r>
    </w:p>
    <w:p w14:paraId="60AAE447" w14:textId="77777777" w:rsidR="00982129" w:rsidRDefault="00982129" w:rsidP="00D5229D"/>
    <w:bookmarkEnd w:id="45"/>
    <w:p w14:paraId="483E66F2" w14:textId="3E4D4A22" w:rsidR="00D11D9F" w:rsidRPr="00D11D9F" w:rsidRDefault="00A153BD" w:rsidP="00D11D9F">
      <w:pPr>
        <w:tabs>
          <w:tab w:val="clear" w:pos="2835"/>
          <w:tab w:val="clear" w:pos="5670"/>
          <w:tab w:val="clear" w:pos="9016"/>
        </w:tabs>
        <w:spacing w:before="0" w:after="200"/>
        <w:rPr>
          <w:rStyle w:val="Heading2Char"/>
        </w:rPr>
      </w:pPr>
      <w:r>
        <w:rPr>
          <w:rStyle w:val="Heading2Char"/>
          <w:b w:val="0"/>
        </w:rPr>
        <w:br w:type="page"/>
      </w:r>
      <w:bookmarkStart w:id="46" w:name="_Toc103695032"/>
      <w:r w:rsidR="000F19CA" w:rsidRPr="000F19CA">
        <w:rPr>
          <w:rStyle w:val="Heading2Char"/>
        </w:rPr>
        <w:lastRenderedPageBreak/>
        <w:t>Improving Quality</w:t>
      </w:r>
      <w:bookmarkEnd w:id="46"/>
      <w:r w:rsidR="004E36F6">
        <w:rPr>
          <w:rStyle w:val="Heading2Char"/>
        </w:rPr>
        <w:t xml:space="preserve"> </w:t>
      </w:r>
    </w:p>
    <w:p w14:paraId="3471AF01" w14:textId="26CD3611" w:rsidR="00D11D9F" w:rsidRDefault="00D11D9F" w:rsidP="00D11D9F">
      <w:pPr>
        <w:rPr>
          <w:rFonts w:eastAsia="Calibri" w:cs="Arial"/>
          <w:szCs w:val="24"/>
        </w:rPr>
      </w:pPr>
      <w:bookmarkStart w:id="47" w:name="_Toc481760943"/>
      <w:bookmarkStart w:id="48" w:name="_Toc512957151"/>
      <w:r>
        <w:rPr>
          <w:rFonts w:eastAsia="Calibri" w:cs="Arial"/>
          <w:szCs w:val="24"/>
        </w:rPr>
        <w:t xml:space="preserve">NHS Hull </w:t>
      </w:r>
      <w:r w:rsidRPr="0093772B">
        <w:rPr>
          <w:rFonts w:eastAsia="Calibri" w:cs="Arial"/>
          <w:szCs w:val="24"/>
        </w:rPr>
        <w:t xml:space="preserve">CCG </w:t>
      </w:r>
      <w:r>
        <w:rPr>
          <w:rFonts w:eastAsia="Calibri" w:cs="Arial"/>
          <w:szCs w:val="24"/>
        </w:rPr>
        <w:t xml:space="preserve">is </w:t>
      </w:r>
      <w:r w:rsidRPr="00D36602">
        <w:rPr>
          <w:rFonts w:eastAsia="Calibri" w:cs="Arial"/>
          <w:szCs w:val="24"/>
        </w:rPr>
        <w:t>passionate about ensuring high quality services are commissioned for our local population, not only now but also for our future generations</w:t>
      </w:r>
      <w:r>
        <w:rPr>
          <w:rFonts w:eastAsia="Calibri" w:cs="Arial"/>
          <w:szCs w:val="24"/>
        </w:rPr>
        <w:t xml:space="preserve">, </w:t>
      </w:r>
      <w:r w:rsidRPr="0093772B">
        <w:rPr>
          <w:rFonts w:eastAsia="Calibri" w:cs="Arial"/>
          <w:szCs w:val="24"/>
        </w:rPr>
        <w:t>plac</w:t>
      </w:r>
      <w:r>
        <w:rPr>
          <w:rFonts w:eastAsia="Calibri" w:cs="Arial"/>
          <w:szCs w:val="24"/>
        </w:rPr>
        <w:t>ing</w:t>
      </w:r>
      <w:r w:rsidRPr="0093772B">
        <w:rPr>
          <w:rFonts w:eastAsia="Calibri" w:cs="Arial"/>
          <w:szCs w:val="24"/>
        </w:rPr>
        <w:t xml:space="preserve"> quality at the core of commissioning services. We continually review our commissioning intentions, setting measurable quality standards and placing the needs of our patients and population at the heart of our commissioning decisions and plans. </w:t>
      </w:r>
    </w:p>
    <w:p w14:paraId="08539800" w14:textId="59C22580" w:rsidR="00D11D9F" w:rsidRDefault="00D11D9F" w:rsidP="00D11D9F">
      <w:pPr>
        <w:rPr>
          <w:rFonts w:eastAsia="Calibri" w:cs="Arial"/>
          <w:szCs w:val="24"/>
        </w:rPr>
      </w:pPr>
      <w:r w:rsidRPr="00D36602">
        <w:rPr>
          <w:rFonts w:cs="Arial"/>
        </w:rPr>
        <w:t xml:space="preserve">With a clear focus on continuous quality improvement, </w:t>
      </w:r>
      <w:r w:rsidR="001B7A15">
        <w:rPr>
          <w:rFonts w:cs="Arial"/>
        </w:rPr>
        <w:t>the</w:t>
      </w:r>
      <w:r w:rsidRPr="00D36602">
        <w:rPr>
          <w:rFonts w:cs="Arial"/>
        </w:rPr>
        <w:t xml:space="preserve"> CCG </w:t>
      </w:r>
      <w:r w:rsidR="001B7A15">
        <w:rPr>
          <w:rFonts w:cs="Arial"/>
        </w:rPr>
        <w:t>is</w:t>
      </w:r>
      <w:r w:rsidRPr="00D36602">
        <w:rPr>
          <w:rFonts w:cs="Arial"/>
        </w:rPr>
        <w:t xml:space="preserve"> able to drive innovation and support a healthier future for our local population. This is achieved through strong partnership and collaborative working across the whole system which has strengthened significantly throughout the last year, as together we have responded to the C</w:t>
      </w:r>
      <w:r w:rsidR="001B7A15">
        <w:rPr>
          <w:rFonts w:cs="Arial"/>
        </w:rPr>
        <w:t>OVID</w:t>
      </w:r>
      <w:r w:rsidRPr="00D36602">
        <w:rPr>
          <w:rFonts w:cs="Arial"/>
        </w:rPr>
        <w:t>-19 pandemic</w:t>
      </w:r>
    </w:p>
    <w:p w14:paraId="09FAFB4A" w14:textId="77777777" w:rsidR="00D11D9F" w:rsidRPr="0093772B" w:rsidRDefault="00D11D9F" w:rsidP="001B7A15">
      <w:pPr>
        <w:spacing w:after="0"/>
        <w:rPr>
          <w:rFonts w:eastAsia="Calibri" w:cs="Arial"/>
          <w:szCs w:val="24"/>
        </w:rPr>
      </w:pPr>
      <w:r w:rsidRPr="0093772B">
        <w:rPr>
          <w:rFonts w:eastAsia="Calibri" w:cs="Arial"/>
          <w:szCs w:val="24"/>
        </w:rPr>
        <w:t xml:space="preserve">Working collaboratively we continue set quality standards for all our providers which are above the essential requirements and with the emphasis on ensuring continuous improvement and in improving patient outcomes and population health. This work is underpinned by the following key elements of quality: </w:t>
      </w:r>
    </w:p>
    <w:p w14:paraId="7C86FDB3" w14:textId="77777777" w:rsidR="00D11D9F" w:rsidRPr="0093772B" w:rsidRDefault="00D11D9F" w:rsidP="0062761B">
      <w:pPr>
        <w:numPr>
          <w:ilvl w:val="0"/>
          <w:numId w:val="33"/>
        </w:numPr>
        <w:spacing w:after="0"/>
        <w:contextualSpacing/>
        <w:jc w:val="both"/>
        <w:rPr>
          <w:rFonts w:eastAsia="Calibri" w:cs="Arial"/>
          <w:szCs w:val="24"/>
        </w:rPr>
      </w:pPr>
      <w:r w:rsidRPr="0093772B">
        <w:rPr>
          <w:rFonts w:eastAsia="Calibri" w:cs="Arial"/>
          <w:szCs w:val="24"/>
        </w:rPr>
        <w:t xml:space="preserve">Ensuring patient safety. </w:t>
      </w:r>
    </w:p>
    <w:p w14:paraId="61BFC897" w14:textId="77777777" w:rsidR="00D11D9F" w:rsidRPr="0093772B" w:rsidRDefault="00D11D9F" w:rsidP="0062761B">
      <w:pPr>
        <w:numPr>
          <w:ilvl w:val="0"/>
          <w:numId w:val="33"/>
        </w:numPr>
        <w:spacing w:after="0"/>
        <w:contextualSpacing/>
        <w:jc w:val="both"/>
        <w:rPr>
          <w:rFonts w:eastAsia="Calibri" w:cs="Arial"/>
          <w:szCs w:val="24"/>
        </w:rPr>
      </w:pPr>
      <w:r w:rsidRPr="0093772B">
        <w:rPr>
          <w:rFonts w:eastAsia="Calibri" w:cs="Arial"/>
          <w:szCs w:val="24"/>
        </w:rPr>
        <w:t xml:space="preserve">Capturing the patient experience. </w:t>
      </w:r>
    </w:p>
    <w:p w14:paraId="157F3FC5" w14:textId="77777777" w:rsidR="00D11D9F" w:rsidRPr="0093772B" w:rsidRDefault="00D11D9F" w:rsidP="0062761B">
      <w:pPr>
        <w:numPr>
          <w:ilvl w:val="0"/>
          <w:numId w:val="33"/>
        </w:numPr>
        <w:spacing w:after="0"/>
        <w:contextualSpacing/>
        <w:jc w:val="both"/>
        <w:rPr>
          <w:rFonts w:eastAsia="Calibri" w:cs="Arial"/>
          <w:szCs w:val="24"/>
        </w:rPr>
      </w:pPr>
      <w:r w:rsidRPr="0093772B">
        <w:rPr>
          <w:rFonts w:eastAsia="Calibri" w:cs="Arial"/>
          <w:szCs w:val="24"/>
        </w:rPr>
        <w:t>Being clinically effective and responsive to the service and to our patients.</w:t>
      </w:r>
    </w:p>
    <w:p w14:paraId="4DBE2628" w14:textId="77777777" w:rsidR="00D11D9F" w:rsidRPr="0093772B" w:rsidRDefault="00D11D9F" w:rsidP="0062761B">
      <w:pPr>
        <w:numPr>
          <w:ilvl w:val="0"/>
          <w:numId w:val="33"/>
        </w:numPr>
        <w:spacing w:after="0"/>
        <w:contextualSpacing/>
        <w:jc w:val="both"/>
        <w:rPr>
          <w:rFonts w:eastAsia="Calibri" w:cs="Arial"/>
          <w:szCs w:val="24"/>
        </w:rPr>
      </w:pPr>
      <w:r w:rsidRPr="0093772B">
        <w:rPr>
          <w:rFonts w:eastAsia="Calibri" w:cs="Arial"/>
          <w:szCs w:val="24"/>
        </w:rPr>
        <w:t>Being well-led.</w:t>
      </w:r>
    </w:p>
    <w:p w14:paraId="3F1BAB30" w14:textId="77777777" w:rsidR="00D11D9F" w:rsidRPr="00EA2739" w:rsidRDefault="00D11D9F" w:rsidP="00D11D9F">
      <w:pPr>
        <w:spacing w:after="0" w:line="240" w:lineRule="auto"/>
        <w:jc w:val="both"/>
        <w:rPr>
          <w:rFonts w:eastAsia="Calibri" w:cs="Arial"/>
          <w:b/>
        </w:rPr>
      </w:pPr>
      <w:r w:rsidRPr="00EA2739">
        <w:rPr>
          <w:rFonts w:eastAsia="Calibri" w:cs="Arial"/>
          <w:b/>
        </w:rPr>
        <w:t>Quality assurance during the COVID-19 pandemic</w:t>
      </w:r>
    </w:p>
    <w:p w14:paraId="2383337F" w14:textId="334488DE" w:rsidR="00D11D9F" w:rsidRPr="00632CAD" w:rsidRDefault="00D11D9F" w:rsidP="00381968">
      <w:pPr>
        <w:spacing w:after="0"/>
        <w:rPr>
          <w:rFonts w:cs="Arial"/>
        </w:rPr>
      </w:pPr>
      <w:r w:rsidRPr="00FF7A4F">
        <w:rPr>
          <w:rFonts w:cs="Arial"/>
        </w:rPr>
        <w:t xml:space="preserve">A core function of the CCG is to ensure commissioned services deliver safe, effective and high-quality care. This has been exceptionally important throughout 2021-22 as all provider organisations continued to respond the COVID-19 pandemic and </w:t>
      </w:r>
      <w:r w:rsidR="001B7A15">
        <w:rPr>
          <w:rFonts w:cs="Arial"/>
        </w:rPr>
        <w:t>adapted</w:t>
      </w:r>
      <w:r w:rsidRPr="00FF7A4F">
        <w:rPr>
          <w:rFonts w:cs="Arial"/>
        </w:rPr>
        <w:t xml:space="preserve"> the way they delivered services </w:t>
      </w:r>
      <w:r w:rsidR="001B7A15">
        <w:rPr>
          <w:rFonts w:cs="Arial"/>
        </w:rPr>
        <w:t>as a result</w:t>
      </w:r>
      <w:r w:rsidRPr="00FF7A4F">
        <w:rPr>
          <w:rFonts w:cs="Arial"/>
        </w:rPr>
        <w:t xml:space="preserve">. </w:t>
      </w:r>
      <w:r w:rsidR="001B7A15">
        <w:rPr>
          <w:rFonts w:eastAsia="Calibri" w:cs="Arial"/>
        </w:rPr>
        <w:t>The</w:t>
      </w:r>
      <w:r>
        <w:rPr>
          <w:rFonts w:eastAsia="Calibri" w:cs="Arial"/>
        </w:rPr>
        <w:t xml:space="preserve"> CCG has</w:t>
      </w:r>
      <w:r w:rsidRPr="0093772B">
        <w:rPr>
          <w:rFonts w:eastAsia="Calibri" w:cs="Arial"/>
        </w:rPr>
        <w:t xml:space="preserve"> </w:t>
      </w:r>
      <w:r w:rsidR="00381968">
        <w:rPr>
          <w:rFonts w:eastAsia="Calibri" w:cs="Arial"/>
        </w:rPr>
        <w:t xml:space="preserve">also </w:t>
      </w:r>
      <w:r w:rsidRPr="0093772B">
        <w:rPr>
          <w:rFonts w:eastAsia="Calibri" w:cs="Arial"/>
        </w:rPr>
        <w:t xml:space="preserve">adapted existing mechanism of delivery to further strengthen and support provider organisations, developing new approaches whilst ensuring robust oversight and assurance of existing services. </w:t>
      </w:r>
    </w:p>
    <w:p w14:paraId="7B5B478E" w14:textId="79F83ABB" w:rsidR="00D11D9F" w:rsidRDefault="00D11D9F" w:rsidP="00B6716A">
      <w:pPr>
        <w:rPr>
          <w:rFonts w:eastAsia="Calibri" w:cs="Arial"/>
          <w:szCs w:val="24"/>
        </w:rPr>
      </w:pPr>
      <w:r>
        <w:rPr>
          <w:rFonts w:eastAsia="Calibri" w:cs="Arial"/>
          <w:szCs w:val="24"/>
        </w:rPr>
        <w:t xml:space="preserve">Working </w:t>
      </w:r>
      <w:r w:rsidRPr="0093772B">
        <w:rPr>
          <w:rFonts w:eastAsia="Calibri" w:cs="Arial"/>
          <w:szCs w:val="24"/>
        </w:rPr>
        <w:t>collaborati</w:t>
      </w:r>
      <w:r>
        <w:rPr>
          <w:rFonts w:eastAsia="Calibri" w:cs="Arial"/>
          <w:szCs w:val="24"/>
        </w:rPr>
        <w:t>vely</w:t>
      </w:r>
      <w:r w:rsidRPr="0093772B">
        <w:rPr>
          <w:rFonts w:eastAsia="Calibri" w:cs="Arial"/>
          <w:szCs w:val="24"/>
        </w:rPr>
        <w:t xml:space="preserve"> with Hull City Council, the Jean Bishop Integrated Care Centre, our Primary Care Networks and all other providers</w:t>
      </w:r>
      <w:r>
        <w:rPr>
          <w:rFonts w:eastAsia="Calibri" w:cs="Arial"/>
          <w:szCs w:val="24"/>
        </w:rPr>
        <w:t xml:space="preserve"> we continue to</w:t>
      </w:r>
      <w:r w:rsidRPr="0093772B">
        <w:rPr>
          <w:rFonts w:eastAsia="Calibri" w:cs="Arial"/>
          <w:szCs w:val="24"/>
        </w:rPr>
        <w:t xml:space="preserve"> ensur</w:t>
      </w:r>
      <w:r>
        <w:rPr>
          <w:rFonts w:eastAsia="Calibri" w:cs="Arial"/>
          <w:szCs w:val="24"/>
        </w:rPr>
        <w:t>e</w:t>
      </w:r>
      <w:r w:rsidRPr="0093772B">
        <w:rPr>
          <w:rFonts w:eastAsia="Calibri" w:cs="Arial"/>
          <w:szCs w:val="24"/>
        </w:rPr>
        <w:t xml:space="preserve"> an integrated, whole system response</w:t>
      </w:r>
      <w:r>
        <w:rPr>
          <w:rFonts w:eastAsia="Calibri" w:cs="Arial"/>
          <w:szCs w:val="24"/>
        </w:rPr>
        <w:t>,</w:t>
      </w:r>
      <w:r w:rsidRPr="0093772B">
        <w:rPr>
          <w:rFonts w:eastAsia="Calibri" w:cs="Arial"/>
          <w:szCs w:val="24"/>
        </w:rPr>
        <w:t xml:space="preserve"> using nationally produced guidance </w:t>
      </w:r>
      <w:r w:rsidR="00B6716A">
        <w:rPr>
          <w:rFonts w:eastAsia="Calibri" w:cs="Arial"/>
          <w:szCs w:val="24"/>
        </w:rPr>
        <w:t>and</w:t>
      </w:r>
      <w:r w:rsidRPr="0093772B">
        <w:rPr>
          <w:rFonts w:eastAsia="Calibri" w:cs="Arial"/>
          <w:szCs w:val="24"/>
        </w:rPr>
        <w:t xml:space="preserve"> ensuring safe local delivery. This has included supporting the COVID-19 vaccination programme</w:t>
      </w:r>
      <w:r>
        <w:rPr>
          <w:rFonts w:eastAsia="Calibri" w:cs="Arial"/>
          <w:szCs w:val="24"/>
        </w:rPr>
        <w:t>, testing</w:t>
      </w:r>
      <w:r w:rsidRPr="0093772B">
        <w:rPr>
          <w:rFonts w:eastAsia="Calibri" w:cs="Arial"/>
          <w:szCs w:val="24"/>
        </w:rPr>
        <w:t xml:space="preserve"> and moving to the recovery phase</w:t>
      </w:r>
      <w:r>
        <w:rPr>
          <w:rFonts w:eastAsia="Calibri" w:cs="Arial"/>
          <w:szCs w:val="24"/>
        </w:rPr>
        <w:t xml:space="preserve"> as we learn to live with COVID-19. </w:t>
      </w:r>
      <w:r w:rsidRPr="0093772B">
        <w:rPr>
          <w:rFonts w:eastAsia="Calibri" w:cs="Arial"/>
          <w:szCs w:val="24"/>
        </w:rPr>
        <w:t xml:space="preserve"> </w:t>
      </w:r>
    </w:p>
    <w:p w14:paraId="77D50A2B" w14:textId="4872A074" w:rsidR="00D11D9F" w:rsidRPr="0093772B" w:rsidRDefault="00D11D9F" w:rsidP="00EA2739">
      <w:pPr>
        <w:rPr>
          <w:rFonts w:eastAsia="Calibri" w:cs="Arial"/>
          <w:szCs w:val="24"/>
        </w:rPr>
      </w:pPr>
      <w:r>
        <w:rPr>
          <w:rFonts w:cs="Arial"/>
        </w:rPr>
        <w:t>In acknowledging the pressures</w:t>
      </w:r>
      <w:r w:rsidR="00B6716A">
        <w:rPr>
          <w:rFonts w:cs="Arial"/>
        </w:rPr>
        <w:t>,</w:t>
      </w:r>
      <w:r>
        <w:rPr>
          <w:rFonts w:cs="Arial"/>
        </w:rPr>
        <w:t xml:space="preserve"> a</w:t>
      </w:r>
      <w:r w:rsidRPr="00B5444B">
        <w:rPr>
          <w:rFonts w:cs="Arial"/>
        </w:rPr>
        <w:t xml:space="preserve">ssurance meetings </w:t>
      </w:r>
      <w:r>
        <w:rPr>
          <w:rFonts w:cs="Arial"/>
        </w:rPr>
        <w:t xml:space="preserve">continue to be adapted, </w:t>
      </w:r>
      <w:r w:rsidRPr="00B5444B">
        <w:rPr>
          <w:rFonts w:cs="Arial"/>
        </w:rPr>
        <w:t>to reduce burden</w:t>
      </w:r>
      <w:r>
        <w:rPr>
          <w:rFonts w:cs="Arial"/>
        </w:rPr>
        <w:t xml:space="preserve"> but </w:t>
      </w:r>
      <w:r w:rsidRPr="00B5444B">
        <w:rPr>
          <w:rFonts w:cs="Arial"/>
        </w:rPr>
        <w:t xml:space="preserve">maintain scrutiny of </w:t>
      </w:r>
      <w:r>
        <w:rPr>
          <w:rFonts w:cs="Arial"/>
        </w:rPr>
        <w:t>quality outcomes</w:t>
      </w:r>
      <w:r w:rsidR="00B6716A">
        <w:rPr>
          <w:rFonts w:cs="Arial"/>
        </w:rPr>
        <w:t>.</w:t>
      </w:r>
      <w:r>
        <w:rPr>
          <w:rFonts w:cs="Arial"/>
        </w:rPr>
        <w:t xml:space="preserve"> </w:t>
      </w:r>
      <w:r w:rsidR="00B6716A">
        <w:rPr>
          <w:rFonts w:cs="Arial"/>
        </w:rPr>
        <w:t>The</w:t>
      </w:r>
      <w:r w:rsidRPr="00B5444B">
        <w:rPr>
          <w:rFonts w:cs="Arial"/>
        </w:rPr>
        <w:t xml:space="preserve"> CCG has continued to ensure quality indicators from provider</w:t>
      </w:r>
      <w:r w:rsidR="005C5DEB">
        <w:rPr>
          <w:rFonts w:cs="Arial"/>
        </w:rPr>
        <w:t>s</w:t>
      </w:r>
      <w:r w:rsidRPr="00B5444B">
        <w:rPr>
          <w:rFonts w:cs="Arial"/>
        </w:rPr>
        <w:t xml:space="preserve"> </w:t>
      </w:r>
      <w:r w:rsidR="005C5DEB">
        <w:rPr>
          <w:rFonts w:cs="Arial"/>
        </w:rPr>
        <w:t>are</w:t>
      </w:r>
      <w:r w:rsidRPr="00B5444B">
        <w:rPr>
          <w:rFonts w:cs="Arial"/>
        </w:rPr>
        <w:t xml:space="preserve"> monitored and reported </w:t>
      </w:r>
      <w:r w:rsidR="00EA2739">
        <w:rPr>
          <w:rFonts w:cs="Arial"/>
        </w:rPr>
        <w:t xml:space="preserve">to </w:t>
      </w:r>
      <w:r w:rsidR="005C5DEB">
        <w:rPr>
          <w:rFonts w:cs="Arial"/>
        </w:rPr>
        <w:t xml:space="preserve">its </w:t>
      </w:r>
      <w:r w:rsidRPr="00B5444B">
        <w:rPr>
          <w:rFonts w:cs="Arial"/>
        </w:rPr>
        <w:t>Quality and Performance Committee, which reports directly to the Governing Body</w:t>
      </w:r>
      <w:r>
        <w:rPr>
          <w:rFonts w:cs="Arial"/>
        </w:rPr>
        <w:t xml:space="preserve">. </w:t>
      </w:r>
    </w:p>
    <w:p w14:paraId="42F40FED" w14:textId="772ACBA1" w:rsidR="00D11D9F" w:rsidRPr="0093772B" w:rsidRDefault="00D11D9F" w:rsidP="00D11D9F">
      <w:pPr>
        <w:spacing w:after="0"/>
        <w:jc w:val="both"/>
        <w:rPr>
          <w:rFonts w:eastAsia="Calibri" w:cs="Arial"/>
          <w:b/>
          <w:bCs/>
          <w:szCs w:val="24"/>
        </w:rPr>
      </w:pPr>
      <w:r w:rsidRPr="0093772B">
        <w:rPr>
          <w:rFonts w:eastAsia="Calibri" w:cs="Arial"/>
          <w:b/>
          <w:bCs/>
          <w:szCs w:val="24"/>
        </w:rPr>
        <w:t xml:space="preserve">Patient safety - </w:t>
      </w:r>
      <w:r w:rsidR="005C5DEB">
        <w:rPr>
          <w:rFonts w:eastAsia="Calibri" w:cs="Arial"/>
          <w:b/>
          <w:bCs/>
          <w:szCs w:val="24"/>
        </w:rPr>
        <w:t>s</w:t>
      </w:r>
      <w:r w:rsidRPr="0093772B">
        <w:rPr>
          <w:rFonts w:eastAsia="Calibri" w:cs="Arial"/>
          <w:b/>
          <w:bCs/>
          <w:szCs w:val="24"/>
        </w:rPr>
        <w:t>erious incidents</w:t>
      </w:r>
    </w:p>
    <w:p w14:paraId="2813DE20" w14:textId="128D992B" w:rsidR="00D11D9F" w:rsidRPr="0093772B" w:rsidRDefault="00D11D9F" w:rsidP="0026620B">
      <w:pPr>
        <w:spacing w:after="0"/>
        <w:rPr>
          <w:rFonts w:eastAsia="Calibri" w:cs="Arial"/>
        </w:rPr>
      </w:pPr>
      <w:r w:rsidRPr="0093772B">
        <w:rPr>
          <w:rFonts w:eastAsia="Calibri" w:cs="Arial"/>
        </w:rPr>
        <w:t>The CCG has a robust serious incident (SI) management process</w:t>
      </w:r>
      <w:r>
        <w:rPr>
          <w:rFonts w:eastAsia="Calibri" w:cs="Arial"/>
        </w:rPr>
        <w:t xml:space="preserve"> and works with all provider organisations </w:t>
      </w:r>
      <w:r w:rsidR="005C5DEB">
        <w:rPr>
          <w:rFonts w:eastAsia="Calibri" w:cs="Arial"/>
        </w:rPr>
        <w:t>for</w:t>
      </w:r>
      <w:r>
        <w:rPr>
          <w:rFonts w:eastAsia="Calibri" w:cs="Arial"/>
        </w:rPr>
        <w:t xml:space="preserve"> </w:t>
      </w:r>
      <w:r w:rsidR="0026620B">
        <w:rPr>
          <w:rFonts w:eastAsia="Calibri" w:cs="Arial"/>
        </w:rPr>
        <w:t>continuous</w:t>
      </w:r>
      <w:r>
        <w:rPr>
          <w:rFonts w:eastAsia="Calibri" w:cs="Arial"/>
        </w:rPr>
        <w:t xml:space="preserve"> improvement in patient safety</w:t>
      </w:r>
      <w:r w:rsidR="0026620B">
        <w:rPr>
          <w:rFonts w:eastAsia="Calibri" w:cs="Arial"/>
        </w:rPr>
        <w:t>;</w:t>
      </w:r>
      <w:r>
        <w:rPr>
          <w:rFonts w:eastAsia="Calibri" w:cs="Arial"/>
        </w:rPr>
        <w:t xml:space="preserve"> agreeing on quality improvement pr</w:t>
      </w:r>
      <w:r w:rsidR="0026620B">
        <w:rPr>
          <w:rFonts w:eastAsia="Calibri" w:cs="Arial"/>
        </w:rPr>
        <w:t>i</w:t>
      </w:r>
      <w:r>
        <w:rPr>
          <w:rFonts w:eastAsia="Calibri" w:cs="Arial"/>
        </w:rPr>
        <w:t>orities</w:t>
      </w:r>
      <w:r w:rsidRPr="0093772B">
        <w:rPr>
          <w:rFonts w:eastAsia="Calibri" w:cs="Arial"/>
        </w:rPr>
        <w:t xml:space="preserve">. </w:t>
      </w:r>
      <w:r w:rsidR="0026620B">
        <w:rPr>
          <w:rFonts w:eastAsia="Calibri" w:cs="Arial"/>
        </w:rPr>
        <w:t>A</w:t>
      </w:r>
      <w:r w:rsidRPr="0093772B">
        <w:rPr>
          <w:rFonts w:eastAsia="Calibri" w:cs="Arial"/>
        </w:rPr>
        <w:t xml:space="preserve"> SI panel review meeting reviews completed investigation</w:t>
      </w:r>
      <w:r w:rsidR="0026620B">
        <w:rPr>
          <w:rFonts w:eastAsia="Calibri" w:cs="Arial"/>
        </w:rPr>
        <w:t>s</w:t>
      </w:r>
      <w:r w:rsidRPr="0093772B">
        <w:rPr>
          <w:rFonts w:eastAsia="Calibri" w:cs="Arial"/>
        </w:rPr>
        <w:t xml:space="preserve"> against a set of assurance expectations</w:t>
      </w:r>
      <w:r w:rsidR="0026620B" w:rsidRPr="0026620B">
        <w:rPr>
          <w:rFonts w:eastAsia="Calibri" w:cs="Arial"/>
        </w:rPr>
        <w:t xml:space="preserve">. </w:t>
      </w:r>
      <w:r w:rsidRPr="0026620B">
        <w:rPr>
          <w:rFonts w:eastAsia="Calibri" w:cs="Arial"/>
        </w:rPr>
        <w:t>F</w:t>
      </w:r>
      <w:r w:rsidRPr="0093772B">
        <w:rPr>
          <w:rFonts w:eastAsia="Calibri" w:cs="Arial"/>
        </w:rPr>
        <w:t xml:space="preserve">rom this, quality improvement plans can drive improvements contributing to </w:t>
      </w:r>
      <w:r w:rsidR="0026620B">
        <w:rPr>
          <w:rFonts w:eastAsia="Calibri" w:cs="Arial"/>
        </w:rPr>
        <w:t>an</w:t>
      </w:r>
      <w:r w:rsidRPr="0093772B">
        <w:rPr>
          <w:rFonts w:eastAsia="Calibri" w:cs="Arial"/>
        </w:rPr>
        <w:t xml:space="preserve"> overall improvement in patient safety and </w:t>
      </w:r>
      <w:r w:rsidR="0026620B">
        <w:rPr>
          <w:rFonts w:eastAsia="Calibri" w:cs="Arial"/>
        </w:rPr>
        <w:t>patient experience.</w:t>
      </w:r>
    </w:p>
    <w:p w14:paraId="1D3D421A" w14:textId="1656E196" w:rsidR="00D11D9F" w:rsidRDefault="0026620B" w:rsidP="0026620B">
      <w:pPr>
        <w:spacing w:after="0"/>
        <w:rPr>
          <w:rFonts w:eastAsia="Calibri" w:cs="Arial"/>
        </w:rPr>
      </w:pPr>
      <w:r>
        <w:rPr>
          <w:rFonts w:eastAsia="Calibri" w:cs="Arial"/>
        </w:rPr>
        <w:t>The</w:t>
      </w:r>
      <w:r w:rsidR="00D11D9F" w:rsidRPr="00C9749C">
        <w:rPr>
          <w:rFonts w:eastAsia="Calibri" w:cs="Arial"/>
        </w:rPr>
        <w:t xml:space="preserve"> transition to the new Patient Safety Incident Response Framework (PSIRF)</w:t>
      </w:r>
      <w:r w:rsidR="00D11D9F">
        <w:rPr>
          <w:rFonts w:eastAsia="Calibri" w:cs="Arial"/>
        </w:rPr>
        <w:t>,</w:t>
      </w:r>
      <w:r w:rsidR="00D11D9F" w:rsidRPr="00C9749C">
        <w:rPr>
          <w:rFonts w:eastAsia="Calibri" w:cs="Arial"/>
        </w:rPr>
        <w:t xml:space="preserve"> released later in 2022</w:t>
      </w:r>
      <w:r>
        <w:rPr>
          <w:rFonts w:eastAsia="Calibri" w:cs="Arial"/>
        </w:rPr>
        <w:t xml:space="preserve">, </w:t>
      </w:r>
      <w:r w:rsidR="00D11D9F" w:rsidRPr="00C9749C">
        <w:rPr>
          <w:rFonts w:eastAsia="Calibri" w:cs="Arial"/>
        </w:rPr>
        <w:t>focus</w:t>
      </w:r>
      <w:r>
        <w:rPr>
          <w:rFonts w:eastAsia="Calibri" w:cs="Arial"/>
        </w:rPr>
        <w:t>es</w:t>
      </w:r>
      <w:r w:rsidR="00D11D9F" w:rsidRPr="00C9749C">
        <w:rPr>
          <w:rFonts w:eastAsia="Calibri" w:cs="Arial"/>
        </w:rPr>
        <w:t xml:space="preserve"> on ensuring learning is embedded across the wider health economy.  </w:t>
      </w:r>
    </w:p>
    <w:p w14:paraId="521D9611" w14:textId="1E6823E3" w:rsidR="00D11D9F" w:rsidRDefault="0026620B" w:rsidP="000E5835">
      <w:pPr>
        <w:spacing w:after="0"/>
        <w:rPr>
          <w:rFonts w:eastAsia="Calibri" w:cs="Arial"/>
        </w:rPr>
      </w:pPr>
      <w:r>
        <w:rPr>
          <w:rFonts w:eastAsia="Calibri" w:cs="Arial"/>
        </w:rPr>
        <w:t>We are</w:t>
      </w:r>
      <w:r w:rsidR="00D11D9F" w:rsidRPr="00C9749C">
        <w:rPr>
          <w:rFonts w:eastAsia="Calibri" w:cs="Arial"/>
        </w:rPr>
        <w:t xml:space="preserve"> members of the co-design group</w:t>
      </w:r>
      <w:r w:rsidR="00D11D9F">
        <w:rPr>
          <w:rFonts w:eastAsia="Calibri" w:cs="Arial"/>
        </w:rPr>
        <w:t>,</w:t>
      </w:r>
      <w:r w:rsidR="00D11D9F" w:rsidRPr="00C9749C">
        <w:rPr>
          <w:rFonts w:eastAsia="Calibri" w:cs="Arial"/>
        </w:rPr>
        <w:t xml:space="preserve"> involving patients and families in serious incident investigations</w:t>
      </w:r>
      <w:r w:rsidR="00D11D9F">
        <w:rPr>
          <w:rFonts w:eastAsia="Calibri" w:cs="Arial"/>
        </w:rPr>
        <w:t xml:space="preserve"> and</w:t>
      </w:r>
      <w:r w:rsidR="00D11D9F" w:rsidRPr="00C9749C">
        <w:rPr>
          <w:rFonts w:eastAsia="Calibri" w:cs="Arial"/>
        </w:rPr>
        <w:t xml:space="preserve"> </w:t>
      </w:r>
      <w:r w:rsidR="00537591">
        <w:rPr>
          <w:rFonts w:eastAsia="Calibri" w:cs="Arial"/>
        </w:rPr>
        <w:t xml:space="preserve">we </w:t>
      </w:r>
      <w:r>
        <w:rPr>
          <w:rFonts w:eastAsia="Calibri" w:cs="Arial"/>
        </w:rPr>
        <w:t>contribute</w:t>
      </w:r>
      <w:r w:rsidR="00D11D9F" w:rsidRPr="00C9749C">
        <w:rPr>
          <w:rFonts w:eastAsia="Calibri" w:cs="Arial"/>
        </w:rPr>
        <w:t xml:space="preserve"> to the task and finish group for the </w:t>
      </w:r>
      <w:r w:rsidR="00537591">
        <w:rPr>
          <w:rFonts w:eastAsia="Calibri" w:cs="Arial"/>
        </w:rPr>
        <w:t>I</w:t>
      </w:r>
      <w:r w:rsidR="00D11D9F" w:rsidRPr="00C9749C">
        <w:rPr>
          <w:rFonts w:eastAsia="Calibri" w:cs="Arial"/>
        </w:rPr>
        <w:t xml:space="preserve">ntegrated </w:t>
      </w:r>
      <w:r w:rsidR="00537591">
        <w:rPr>
          <w:rFonts w:eastAsia="Calibri" w:cs="Arial"/>
        </w:rPr>
        <w:t>C</w:t>
      </w:r>
      <w:r w:rsidR="00D11D9F" w:rsidRPr="00C9749C">
        <w:rPr>
          <w:rFonts w:eastAsia="Calibri" w:cs="Arial"/>
        </w:rPr>
        <w:t xml:space="preserve">are </w:t>
      </w:r>
      <w:r w:rsidR="00537591">
        <w:rPr>
          <w:rFonts w:eastAsia="Calibri" w:cs="Arial"/>
        </w:rPr>
        <w:t>S</w:t>
      </w:r>
      <w:r w:rsidR="00D11D9F" w:rsidRPr="00C9749C">
        <w:rPr>
          <w:rFonts w:eastAsia="Calibri" w:cs="Arial"/>
        </w:rPr>
        <w:t xml:space="preserve">ystem (ICS) roles and responsibilities that will </w:t>
      </w:r>
      <w:r w:rsidR="00537591">
        <w:rPr>
          <w:rFonts w:eastAsia="Calibri" w:cs="Arial"/>
        </w:rPr>
        <w:t xml:space="preserve">eventually </w:t>
      </w:r>
      <w:r w:rsidR="00D11D9F" w:rsidRPr="00C9749C">
        <w:rPr>
          <w:rFonts w:eastAsia="Calibri" w:cs="Arial"/>
        </w:rPr>
        <w:t xml:space="preserve">form part of </w:t>
      </w:r>
      <w:r w:rsidR="00F10B3D">
        <w:rPr>
          <w:rFonts w:eastAsia="Calibri" w:cs="Arial"/>
        </w:rPr>
        <w:t>the Patient Safety Incident Response Framework.</w:t>
      </w:r>
      <w:r w:rsidR="00D11D9F">
        <w:rPr>
          <w:rFonts w:eastAsia="Calibri" w:cs="Arial"/>
        </w:rPr>
        <w:t xml:space="preserve"> </w:t>
      </w:r>
    </w:p>
    <w:p w14:paraId="5412F3F9" w14:textId="0348EAF7" w:rsidR="00D11D9F" w:rsidRPr="00C9749C" w:rsidRDefault="000E5835" w:rsidP="000E5835">
      <w:pPr>
        <w:spacing w:after="0"/>
        <w:rPr>
          <w:rFonts w:eastAsia="Calibri" w:cs="Arial"/>
        </w:rPr>
      </w:pPr>
      <w:r>
        <w:rPr>
          <w:rFonts w:eastAsia="Calibri" w:cs="Arial"/>
        </w:rPr>
        <w:lastRenderedPageBreak/>
        <w:t>We have two newly-</w:t>
      </w:r>
      <w:r w:rsidR="00D11D9F">
        <w:rPr>
          <w:rFonts w:eastAsia="Calibri" w:cs="Arial"/>
        </w:rPr>
        <w:t>appointed</w:t>
      </w:r>
      <w:r w:rsidR="00D11D9F" w:rsidRPr="00C9749C">
        <w:rPr>
          <w:rFonts w:eastAsia="Calibri" w:cs="Arial"/>
        </w:rPr>
        <w:t xml:space="preserve"> nominated patient safety specialists</w:t>
      </w:r>
      <w:r>
        <w:rPr>
          <w:rFonts w:eastAsia="Calibri" w:cs="Arial"/>
        </w:rPr>
        <w:t>,</w:t>
      </w:r>
      <w:r w:rsidR="00D11D9F" w:rsidRPr="00C9749C">
        <w:rPr>
          <w:rFonts w:eastAsia="Calibri" w:cs="Arial"/>
        </w:rPr>
        <w:t xml:space="preserve"> </w:t>
      </w:r>
      <w:r>
        <w:rPr>
          <w:rFonts w:eastAsia="Calibri" w:cs="Arial"/>
        </w:rPr>
        <w:t>one of which</w:t>
      </w:r>
      <w:r w:rsidR="00D11D9F" w:rsidRPr="00C9749C">
        <w:rPr>
          <w:rFonts w:eastAsia="Calibri" w:cs="Arial"/>
        </w:rPr>
        <w:t xml:space="preserve"> is the chair of the </w:t>
      </w:r>
      <w:r>
        <w:rPr>
          <w:rFonts w:eastAsia="Calibri" w:cs="Arial"/>
        </w:rPr>
        <w:t>Humber and North Yorkshire</w:t>
      </w:r>
      <w:r w:rsidR="00D11D9F" w:rsidRPr="00C9749C">
        <w:rPr>
          <w:rFonts w:eastAsia="Calibri" w:cs="Arial"/>
        </w:rPr>
        <w:t xml:space="preserve"> patient safety specialist delivery group</w:t>
      </w:r>
      <w:r>
        <w:rPr>
          <w:rFonts w:eastAsia="Calibri" w:cs="Arial"/>
        </w:rPr>
        <w:t xml:space="preserve"> and we </w:t>
      </w:r>
      <w:r w:rsidR="00D11D9F">
        <w:rPr>
          <w:rFonts w:eastAsia="Calibri" w:cs="Arial"/>
        </w:rPr>
        <w:t>continue to</w:t>
      </w:r>
      <w:r w:rsidR="00D11D9F" w:rsidRPr="00C9749C">
        <w:rPr>
          <w:rFonts w:eastAsia="Calibri" w:cs="Arial"/>
        </w:rPr>
        <w:t xml:space="preserve"> actively </w:t>
      </w:r>
      <w:r w:rsidR="00D11D9F">
        <w:rPr>
          <w:rFonts w:eastAsia="Calibri" w:cs="Arial"/>
        </w:rPr>
        <w:t xml:space="preserve">support the </w:t>
      </w:r>
      <w:r w:rsidR="00D11D9F" w:rsidRPr="00C9749C">
        <w:rPr>
          <w:rFonts w:eastAsia="Calibri" w:cs="Arial"/>
        </w:rPr>
        <w:t xml:space="preserve">delivering </w:t>
      </w:r>
      <w:r w:rsidR="00D11D9F">
        <w:rPr>
          <w:rFonts w:eastAsia="Calibri" w:cs="Arial"/>
        </w:rPr>
        <w:t xml:space="preserve">of </w:t>
      </w:r>
      <w:r w:rsidR="00D11D9F" w:rsidRPr="00C9749C">
        <w:rPr>
          <w:rFonts w:eastAsia="Calibri" w:cs="Arial"/>
        </w:rPr>
        <w:t>the National Patient Safety Strategy.</w:t>
      </w:r>
    </w:p>
    <w:p w14:paraId="3E92A2BA" w14:textId="3D154CC9" w:rsidR="00D11D9F" w:rsidRPr="00C90134" w:rsidRDefault="000E5835" w:rsidP="00C90134">
      <w:pPr>
        <w:spacing w:after="0"/>
        <w:rPr>
          <w:rFonts w:eastAsia="Calibri" w:cs="Arial"/>
        </w:rPr>
      </w:pPr>
      <w:r>
        <w:rPr>
          <w:rFonts w:eastAsia="Calibri" w:cs="Arial"/>
        </w:rPr>
        <w:t>E</w:t>
      </w:r>
      <w:r w:rsidR="00D11D9F" w:rsidRPr="00C9749C">
        <w:rPr>
          <w:rFonts w:eastAsia="Calibri" w:cs="Arial"/>
        </w:rPr>
        <w:t xml:space="preserve">nd-to-end reviews continue to identify and share learning, helping to embed change and improvements within </w:t>
      </w:r>
      <w:r>
        <w:rPr>
          <w:rFonts w:eastAsia="Calibri" w:cs="Arial"/>
        </w:rPr>
        <w:t xml:space="preserve">our </w:t>
      </w:r>
      <w:r w:rsidR="00D11D9F" w:rsidRPr="00C9749C">
        <w:rPr>
          <w:rFonts w:eastAsia="Calibri" w:cs="Arial"/>
        </w:rPr>
        <w:t>systems and processes</w:t>
      </w:r>
      <w:r>
        <w:rPr>
          <w:rFonts w:eastAsia="Calibri" w:cs="Arial"/>
        </w:rPr>
        <w:t>.</w:t>
      </w:r>
      <w:r w:rsidR="00D11D9F" w:rsidRPr="00C9749C">
        <w:rPr>
          <w:rFonts w:eastAsia="Calibri" w:cs="Arial"/>
        </w:rPr>
        <w:t xml:space="preserve"> </w:t>
      </w:r>
    </w:p>
    <w:p w14:paraId="1A798B05" w14:textId="77777777" w:rsidR="00D11D9F" w:rsidRPr="00641FE5" w:rsidRDefault="00D11D9F" w:rsidP="00D11D9F">
      <w:pPr>
        <w:spacing w:after="0"/>
        <w:jc w:val="both"/>
        <w:rPr>
          <w:rFonts w:eastAsia="Calibri" w:cs="Arial"/>
          <w:b/>
          <w:bCs/>
          <w:szCs w:val="24"/>
        </w:rPr>
      </w:pPr>
      <w:r w:rsidRPr="00641FE5">
        <w:rPr>
          <w:rFonts w:eastAsia="Calibri" w:cs="Arial"/>
          <w:b/>
          <w:bCs/>
          <w:szCs w:val="24"/>
        </w:rPr>
        <w:t>Learning Disabilities Mortality Review (LeDeR)</w:t>
      </w:r>
    </w:p>
    <w:p w14:paraId="43D7034D" w14:textId="1C356E58" w:rsidR="00D11D9F" w:rsidRDefault="00D11D9F" w:rsidP="000E5835">
      <w:pPr>
        <w:rPr>
          <w:rFonts w:eastAsia="Calibri" w:cs="Arial"/>
          <w:szCs w:val="24"/>
        </w:rPr>
      </w:pPr>
      <w:r w:rsidRPr="00641FE5">
        <w:rPr>
          <w:rFonts w:eastAsia="Calibri" w:cs="Arial"/>
          <w:szCs w:val="24"/>
        </w:rPr>
        <w:t xml:space="preserve">The CCG has continued to ensure robust process for the management of Learning Disability Mortality Reviews (LeDeR). All LeDeR reviews are aligned with the </w:t>
      </w:r>
      <w:r w:rsidR="000E5835">
        <w:rPr>
          <w:rFonts w:eastAsia="Calibri" w:cs="Arial"/>
          <w:szCs w:val="24"/>
        </w:rPr>
        <w:t>SI</w:t>
      </w:r>
      <w:r w:rsidRPr="00641FE5">
        <w:rPr>
          <w:rFonts w:eastAsia="Calibri" w:cs="Arial"/>
          <w:szCs w:val="24"/>
        </w:rPr>
        <w:t xml:space="preserve"> process</w:t>
      </w:r>
      <w:r>
        <w:rPr>
          <w:rFonts w:eastAsia="Calibri" w:cs="Arial"/>
          <w:szCs w:val="24"/>
        </w:rPr>
        <w:t xml:space="preserve"> and learning is shared</w:t>
      </w:r>
      <w:r w:rsidRPr="00641FE5">
        <w:rPr>
          <w:rFonts w:eastAsia="Calibri" w:cs="Arial"/>
          <w:szCs w:val="24"/>
        </w:rPr>
        <w:t xml:space="preserve">. </w:t>
      </w:r>
    </w:p>
    <w:p w14:paraId="2AA67B90" w14:textId="2DBDAC8C" w:rsidR="00D11D9F" w:rsidRDefault="000E5835" w:rsidP="00DF7F2F">
      <w:pPr>
        <w:rPr>
          <w:rFonts w:eastAsia="Calibri" w:cs="Arial"/>
          <w:szCs w:val="24"/>
        </w:rPr>
      </w:pPr>
      <w:r>
        <w:rPr>
          <w:rFonts w:eastAsia="Calibri" w:cs="Arial"/>
          <w:szCs w:val="24"/>
        </w:rPr>
        <w:t>The</w:t>
      </w:r>
      <w:r w:rsidR="00D11D9F" w:rsidRPr="00641FE5">
        <w:rPr>
          <w:rFonts w:eastAsia="Calibri" w:cs="Arial"/>
          <w:szCs w:val="24"/>
        </w:rPr>
        <w:t xml:space="preserve"> </w:t>
      </w:r>
      <w:r w:rsidR="00537591">
        <w:rPr>
          <w:rFonts w:eastAsia="Calibri" w:cs="Arial"/>
          <w:szCs w:val="24"/>
        </w:rPr>
        <w:t>l</w:t>
      </w:r>
      <w:r w:rsidR="00D11D9F" w:rsidRPr="00641FE5">
        <w:rPr>
          <w:rFonts w:eastAsia="Calibri" w:cs="Arial"/>
          <w:szCs w:val="24"/>
        </w:rPr>
        <w:t xml:space="preserve">ocal </w:t>
      </w:r>
      <w:r w:rsidR="00537591">
        <w:rPr>
          <w:rFonts w:eastAsia="Calibri" w:cs="Arial"/>
          <w:szCs w:val="24"/>
        </w:rPr>
        <w:t>a</w:t>
      </w:r>
      <w:r w:rsidR="00D11D9F" w:rsidRPr="00641FE5">
        <w:rPr>
          <w:rFonts w:eastAsia="Calibri" w:cs="Arial"/>
          <w:szCs w:val="24"/>
        </w:rPr>
        <w:t xml:space="preserve">rea </w:t>
      </w:r>
      <w:r w:rsidR="00537591">
        <w:rPr>
          <w:rFonts w:eastAsia="Calibri" w:cs="Arial"/>
          <w:szCs w:val="24"/>
        </w:rPr>
        <w:t>c</w:t>
      </w:r>
      <w:r w:rsidR="00D11D9F" w:rsidRPr="00641FE5">
        <w:rPr>
          <w:rFonts w:eastAsia="Calibri" w:cs="Arial"/>
          <w:szCs w:val="24"/>
        </w:rPr>
        <w:t>ontacts continue to established themselves as reviewers and</w:t>
      </w:r>
      <w:r>
        <w:rPr>
          <w:rFonts w:eastAsia="Calibri" w:cs="Arial"/>
          <w:szCs w:val="24"/>
        </w:rPr>
        <w:t>,</w:t>
      </w:r>
      <w:r w:rsidR="00D11D9F" w:rsidRPr="00641FE5">
        <w:rPr>
          <w:rFonts w:eastAsia="Calibri" w:cs="Arial"/>
          <w:szCs w:val="24"/>
        </w:rPr>
        <w:t xml:space="preserve"> in offering support </w:t>
      </w:r>
      <w:r>
        <w:rPr>
          <w:rFonts w:eastAsia="Calibri" w:cs="Arial"/>
          <w:szCs w:val="24"/>
        </w:rPr>
        <w:t xml:space="preserve">to </w:t>
      </w:r>
      <w:r w:rsidR="00D11D9F" w:rsidRPr="00641FE5">
        <w:rPr>
          <w:rFonts w:eastAsia="Calibri" w:cs="Arial"/>
          <w:szCs w:val="24"/>
        </w:rPr>
        <w:t>families</w:t>
      </w:r>
      <w:r>
        <w:rPr>
          <w:rFonts w:eastAsia="Calibri" w:cs="Arial"/>
          <w:szCs w:val="24"/>
        </w:rPr>
        <w:t>,</w:t>
      </w:r>
      <w:r w:rsidR="00D11D9F" w:rsidRPr="00641FE5">
        <w:rPr>
          <w:rFonts w:eastAsia="Calibri" w:cs="Arial"/>
          <w:szCs w:val="24"/>
        </w:rPr>
        <w:t xml:space="preserve"> carers</w:t>
      </w:r>
      <w:r w:rsidR="00D11D9F">
        <w:rPr>
          <w:rFonts w:eastAsia="Calibri" w:cs="Arial"/>
          <w:szCs w:val="24"/>
        </w:rPr>
        <w:t xml:space="preserve"> and our</w:t>
      </w:r>
      <w:r w:rsidR="00D11D9F" w:rsidRPr="00641FE5">
        <w:rPr>
          <w:rFonts w:eastAsia="Calibri" w:cs="Arial"/>
          <w:szCs w:val="24"/>
        </w:rPr>
        <w:t xml:space="preserve"> safeguarding team</w:t>
      </w:r>
      <w:r>
        <w:rPr>
          <w:rFonts w:eastAsia="Calibri" w:cs="Arial"/>
          <w:szCs w:val="24"/>
        </w:rPr>
        <w:t>,</w:t>
      </w:r>
      <w:r w:rsidR="00D11D9F" w:rsidRPr="00641FE5">
        <w:rPr>
          <w:rFonts w:eastAsia="Calibri" w:cs="Arial"/>
          <w:szCs w:val="24"/>
        </w:rPr>
        <w:t xml:space="preserve"> </w:t>
      </w:r>
      <w:r w:rsidR="00D11D9F">
        <w:rPr>
          <w:rFonts w:eastAsia="Calibri" w:cs="Arial"/>
          <w:szCs w:val="24"/>
        </w:rPr>
        <w:t>continue to be an</w:t>
      </w:r>
      <w:r w:rsidR="00D11D9F" w:rsidRPr="00641FE5">
        <w:rPr>
          <w:rFonts w:eastAsia="Calibri" w:cs="Arial"/>
          <w:szCs w:val="24"/>
        </w:rPr>
        <w:t xml:space="preserve"> integral to the LeDeR process</w:t>
      </w:r>
      <w:r w:rsidR="00D11D9F">
        <w:rPr>
          <w:rFonts w:eastAsia="Calibri" w:cs="Arial"/>
          <w:szCs w:val="24"/>
        </w:rPr>
        <w:t>.</w:t>
      </w:r>
    </w:p>
    <w:p w14:paraId="4FDF0DF1" w14:textId="3151348D" w:rsidR="00D11D9F" w:rsidRDefault="00D11D9F" w:rsidP="00DF7F2F">
      <w:pPr>
        <w:rPr>
          <w:rFonts w:eastAsia="Calibri" w:cs="Arial"/>
          <w:szCs w:val="24"/>
        </w:rPr>
      </w:pPr>
      <w:r>
        <w:rPr>
          <w:rFonts w:eastAsia="Calibri" w:cs="Arial"/>
          <w:szCs w:val="24"/>
        </w:rPr>
        <w:t>Reporting to the Safeguarding Adults and Children</w:t>
      </w:r>
      <w:r w:rsidR="00537591">
        <w:rPr>
          <w:rFonts w:eastAsia="Calibri" w:cs="Arial"/>
          <w:szCs w:val="24"/>
        </w:rPr>
        <w:t>’</w:t>
      </w:r>
      <w:r>
        <w:rPr>
          <w:rFonts w:eastAsia="Calibri" w:cs="Arial"/>
          <w:szCs w:val="24"/>
        </w:rPr>
        <w:t>s Board</w:t>
      </w:r>
      <w:r w:rsidR="000E5835">
        <w:rPr>
          <w:rFonts w:eastAsia="Calibri" w:cs="Arial"/>
          <w:szCs w:val="24"/>
        </w:rPr>
        <w:t xml:space="preserve">, our </w:t>
      </w:r>
      <w:r>
        <w:rPr>
          <w:rFonts w:eastAsia="Calibri" w:cs="Arial"/>
          <w:szCs w:val="24"/>
        </w:rPr>
        <w:t xml:space="preserve">learning informs the work of the system, our priorities for improvements and </w:t>
      </w:r>
      <w:r w:rsidR="00DF7F2F">
        <w:rPr>
          <w:rFonts w:eastAsia="Calibri" w:cs="Arial"/>
          <w:szCs w:val="24"/>
        </w:rPr>
        <w:t>supports</w:t>
      </w:r>
      <w:r>
        <w:rPr>
          <w:rFonts w:eastAsia="Calibri" w:cs="Arial"/>
          <w:szCs w:val="24"/>
        </w:rPr>
        <w:t xml:space="preserve"> education </w:t>
      </w:r>
      <w:r w:rsidR="00DF7F2F">
        <w:rPr>
          <w:rFonts w:eastAsia="Calibri" w:cs="Arial"/>
          <w:szCs w:val="24"/>
        </w:rPr>
        <w:t>for</w:t>
      </w:r>
      <w:r>
        <w:rPr>
          <w:rFonts w:eastAsia="Calibri" w:cs="Arial"/>
          <w:szCs w:val="24"/>
        </w:rPr>
        <w:t xml:space="preserve"> partners across the system. </w:t>
      </w:r>
    </w:p>
    <w:p w14:paraId="3B26AD18" w14:textId="5A7D5839" w:rsidR="00D11D9F" w:rsidRPr="00641FE5" w:rsidRDefault="00D11D9F" w:rsidP="00DF7F2F">
      <w:pPr>
        <w:rPr>
          <w:rFonts w:eastAsia="Calibri" w:cs="Arial"/>
          <w:szCs w:val="24"/>
        </w:rPr>
      </w:pPr>
      <w:r>
        <w:rPr>
          <w:rFonts w:eastAsia="Calibri" w:cs="Arial"/>
          <w:szCs w:val="24"/>
        </w:rPr>
        <w:t xml:space="preserve">Hull CCG continues to support the national team, </w:t>
      </w:r>
      <w:r w:rsidR="00DF7F2F">
        <w:rPr>
          <w:rFonts w:eastAsia="Calibri" w:cs="Arial"/>
          <w:szCs w:val="24"/>
        </w:rPr>
        <w:t>and during 2021-22</w:t>
      </w:r>
      <w:r>
        <w:rPr>
          <w:rFonts w:eastAsia="Calibri" w:cs="Arial"/>
          <w:szCs w:val="24"/>
        </w:rPr>
        <w:t xml:space="preserve"> </w:t>
      </w:r>
      <w:r w:rsidR="00DF7F2F">
        <w:rPr>
          <w:rFonts w:eastAsia="Calibri" w:cs="Arial"/>
          <w:szCs w:val="24"/>
        </w:rPr>
        <w:t xml:space="preserve">we have </w:t>
      </w:r>
      <w:r>
        <w:rPr>
          <w:rFonts w:eastAsia="Calibri" w:cs="Arial"/>
          <w:szCs w:val="24"/>
        </w:rPr>
        <w:t>contribute</w:t>
      </w:r>
      <w:r w:rsidR="00DF7F2F">
        <w:rPr>
          <w:rFonts w:eastAsia="Calibri" w:cs="Arial"/>
          <w:szCs w:val="24"/>
        </w:rPr>
        <w:t>d</w:t>
      </w:r>
      <w:r>
        <w:rPr>
          <w:rFonts w:eastAsia="Calibri" w:cs="Arial"/>
          <w:szCs w:val="24"/>
        </w:rPr>
        <w:t xml:space="preserve"> towards national learning from deaths of people with COVID-19 and in the development of revised processes for LeDeR in implementing the national policy. </w:t>
      </w:r>
    </w:p>
    <w:p w14:paraId="55CB43B0" w14:textId="77777777" w:rsidR="00D11D9F" w:rsidRPr="00D73410" w:rsidRDefault="00D11D9F" w:rsidP="00D11D9F">
      <w:pPr>
        <w:spacing w:after="0"/>
        <w:jc w:val="both"/>
        <w:rPr>
          <w:rFonts w:eastAsia="Calibri" w:cs="Arial"/>
          <w:szCs w:val="24"/>
        </w:rPr>
      </w:pPr>
      <w:r w:rsidRPr="00D73410">
        <w:rPr>
          <w:rFonts w:eastAsia="Calibri" w:cs="Arial"/>
          <w:b/>
          <w:bCs/>
          <w:szCs w:val="24"/>
        </w:rPr>
        <w:t xml:space="preserve">Safeguarding </w:t>
      </w:r>
      <w:r>
        <w:rPr>
          <w:rFonts w:eastAsia="Calibri" w:cs="Arial"/>
          <w:b/>
          <w:bCs/>
          <w:szCs w:val="24"/>
        </w:rPr>
        <w:t>A</w:t>
      </w:r>
      <w:r w:rsidRPr="00D73410">
        <w:rPr>
          <w:rFonts w:eastAsia="Calibri" w:cs="Arial"/>
          <w:b/>
          <w:bCs/>
          <w:szCs w:val="24"/>
        </w:rPr>
        <w:t xml:space="preserve">dults </w:t>
      </w:r>
    </w:p>
    <w:p w14:paraId="71F0AC33" w14:textId="67BD3AEE" w:rsidR="00D11D9F" w:rsidRPr="006C03D8" w:rsidRDefault="0055123B" w:rsidP="0055123B">
      <w:pPr>
        <w:spacing w:after="0"/>
        <w:rPr>
          <w:rFonts w:eastAsia="Calibri" w:cs="Arial"/>
          <w:strike/>
          <w:szCs w:val="24"/>
        </w:rPr>
      </w:pPr>
      <w:r>
        <w:rPr>
          <w:rFonts w:cs="Arial"/>
        </w:rPr>
        <w:t>The</w:t>
      </w:r>
      <w:r w:rsidR="00D11D9F" w:rsidRPr="0070752F">
        <w:rPr>
          <w:rFonts w:cs="Arial"/>
        </w:rPr>
        <w:t xml:space="preserve"> CCG has fulfilled its safeguarding responsibilities and delivery as one of the organisation’s non-C</w:t>
      </w:r>
      <w:r w:rsidR="00DF7F2F">
        <w:rPr>
          <w:rFonts w:cs="Arial"/>
        </w:rPr>
        <w:t>OVID</w:t>
      </w:r>
      <w:r w:rsidR="00D11D9F" w:rsidRPr="0070752F">
        <w:rPr>
          <w:rFonts w:cs="Arial"/>
        </w:rPr>
        <w:t xml:space="preserve">-19 priorities in year, maintaining a daily commitment to working on a multi-agency basis with children’s and adult social care safeguarding teams. </w:t>
      </w:r>
    </w:p>
    <w:p w14:paraId="390B04A2" w14:textId="77777777" w:rsidR="00D11D9F" w:rsidRPr="00D73410" w:rsidRDefault="00D11D9F" w:rsidP="00D11D9F">
      <w:pPr>
        <w:jc w:val="both"/>
        <w:rPr>
          <w:rFonts w:eastAsia="Calibri" w:cs="Arial"/>
          <w:szCs w:val="24"/>
        </w:rPr>
      </w:pPr>
      <w:r w:rsidRPr="00D73410">
        <w:rPr>
          <w:rFonts w:eastAsia="Calibri" w:cs="Arial"/>
          <w:szCs w:val="24"/>
        </w:rPr>
        <w:t>The CCG continues to strenthen its safeguard</w:t>
      </w:r>
      <w:r>
        <w:rPr>
          <w:rFonts w:eastAsia="Calibri" w:cs="Arial"/>
          <w:szCs w:val="24"/>
        </w:rPr>
        <w:t>i</w:t>
      </w:r>
      <w:r w:rsidRPr="00D73410">
        <w:rPr>
          <w:rFonts w:eastAsia="Calibri" w:cs="Arial"/>
          <w:szCs w:val="24"/>
        </w:rPr>
        <w:t xml:space="preserve">ng arrangements </w:t>
      </w:r>
      <w:r>
        <w:rPr>
          <w:rFonts w:eastAsia="Calibri" w:cs="Arial"/>
          <w:szCs w:val="24"/>
        </w:rPr>
        <w:t xml:space="preserve">through its </w:t>
      </w:r>
      <w:r w:rsidRPr="00D73410">
        <w:rPr>
          <w:rFonts w:eastAsia="Calibri" w:cs="Arial"/>
          <w:szCs w:val="24"/>
        </w:rPr>
        <w:t>Safeguarding Assurance Group (SAG)</w:t>
      </w:r>
      <w:r>
        <w:rPr>
          <w:rFonts w:eastAsia="Calibri" w:cs="Arial"/>
          <w:szCs w:val="24"/>
        </w:rPr>
        <w:t>,</w:t>
      </w:r>
      <w:r w:rsidRPr="00D73410">
        <w:rPr>
          <w:rFonts w:eastAsia="Calibri" w:cs="Arial"/>
          <w:szCs w:val="24"/>
        </w:rPr>
        <w:t xml:space="preserve"> ensuring the strategic oversight of safeguarding activity. NHS Hull CCG continues to be a key partner in fulfilling both Executive and Operational support to the Hull Safeguarding Adults Partnership Board. </w:t>
      </w:r>
    </w:p>
    <w:p w14:paraId="601B31B3" w14:textId="1359C6A3" w:rsidR="00D11D9F" w:rsidRPr="00D73410" w:rsidRDefault="006C03D8" w:rsidP="00262F53">
      <w:pPr>
        <w:rPr>
          <w:rFonts w:eastAsia="Calibri" w:cs="Arial"/>
          <w:szCs w:val="24"/>
        </w:rPr>
      </w:pPr>
      <w:r>
        <w:rPr>
          <w:rFonts w:eastAsia="Calibri" w:cs="Arial"/>
          <w:szCs w:val="24"/>
        </w:rPr>
        <w:t>We have worked in partnership</w:t>
      </w:r>
      <w:r w:rsidR="00D11D9F" w:rsidRPr="00D73410">
        <w:rPr>
          <w:rFonts w:eastAsia="Calibri" w:cs="Arial"/>
          <w:szCs w:val="24"/>
        </w:rPr>
        <w:t xml:space="preserve"> with the Hull Domestic Abuse Partnership (DAP)</w:t>
      </w:r>
      <w:r w:rsidR="00D11D9F">
        <w:rPr>
          <w:rFonts w:eastAsia="Calibri" w:cs="Arial"/>
          <w:szCs w:val="24"/>
        </w:rPr>
        <w:t xml:space="preserve"> in the development of the Domestic Abuse Strategy 2021-24. </w:t>
      </w:r>
      <w:r>
        <w:rPr>
          <w:rFonts w:eastAsia="Calibri" w:cs="Arial"/>
          <w:szCs w:val="24"/>
        </w:rPr>
        <w:t>The</w:t>
      </w:r>
      <w:r w:rsidR="00D11D9F">
        <w:rPr>
          <w:rFonts w:eastAsia="Calibri" w:cs="Arial"/>
          <w:szCs w:val="24"/>
        </w:rPr>
        <w:t xml:space="preserve"> </w:t>
      </w:r>
      <w:r w:rsidR="00D11D9F" w:rsidRPr="002E0B9E">
        <w:rPr>
          <w:rFonts w:eastAsia="Calibri" w:cs="Arial"/>
          <w:szCs w:val="24"/>
        </w:rPr>
        <w:t>C</w:t>
      </w:r>
      <w:r>
        <w:rPr>
          <w:rFonts w:eastAsia="Calibri" w:cs="Arial"/>
          <w:szCs w:val="24"/>
        </w:rPr>
        <w:t>OVID</w:t>
      </w:r>
      <w:r w:rsidR="00D11D9F" w:rsidRPr="002E0B9E">
        <w:rPr>
          <w:rFonts w:eastAsia="Calibri" w:cs="Arial"/>
          <w:szCs w:val="24"/>
        </w:rPr>
        <w:t xml:space="preserve">-19 pandemic changed so many aspects of </w:t>
      </w:r>
      <w:r w:rsidR="00D11D9F">
        <w:rPr>
          <w:rFonts w:eastAsia="Calibri" w:cs="Arial"/>
          <w:szCs w:val="24"/>
        </w:rPr>
        <w:t xml:space="preserve">our </w:t>
      </w:r>
      <w:r w:rsidR="00D11D9F" w:rsidRPr="002E0B9E">
        <w:rPr>
          <w:rFonts w:eastAsia="Calibri" w:cs="Arial"/>
          <w:szCs w:val="24"/>
        </w:rPr>
        <w:t>daily lives</w:t>
      </w:r>
      <w:r w:rsidR="00D11D9F">
        <w:rPr>
          <w:rFonts w:eastAsia="Calibri" w:cs="Arial"/>
          <w:szCs w:val="24"/>
        </w:rPr>
        <w:t xml:space="preserve"> and </w:t>
      </w:r>
      <w:r w:rsidR="00D11D9F" w:rsidRPr="002E0B9E">
        <w:rPr>
          <w:rFonts w:eastAsia="Calibri" w:cs="Arial"/>
          <w:szCs w:val="24"/>
        </w:rPr>
        <w:t xml:space="preserve"> </w:t>
      </w:r>
      <w:r w:rsidR="00D11D9F">
        <w:rPr>
          <w:rFonts w:eastAsia="Calibri" w:cs="Arial"/>
          <w:szCs w:val="24"/>
        </w:rPr>
        <w:t>n</w:t>
      </w:r>
      <w:r w:rsidR="00D11D9F" w:rsidRPr="002E0B9E">
        <w:rPr>
          <w:rFonts w:eastAsia="Calibri" w:cs="Arial"/>
          <w:szCs w:val="24"/>
        </w:rPr>
        <w:t>ationally there was recognition that victims of</w:t>
      </w:r>
      <w:r w:rsidR="00D11D9F">
        <w:rPr>
          <w:rFonts w:eastAsia="Calibri" w:cs="Arial"/>
          <w:szCs w:val="24"/>
        </w:rPr>
        <w:t xml:space="preserve"> </w:t>
      </w:r>
      <w:r w:rsidR="00D11D9F" w:rsidRPr="002E0B9E">
        <w:rPr>
          <w:rFonts w:eastAsia="Calibri" w:cs="Arial"/>
          <w:szCs w:val="24"/>
        </w:rPr>
        <w:t>domestic abuse living at home</w:t>
      </w:r>
      <w:r>
        <w:rPr>
          <w:rFonts w:eastAsia="Calibri" w:cs="Arial"/>
          <w:szCs w:val="24"/>
        </w:rPr>
        <w:t xml:space="preserve"> </w:t>
      </w:r>
      <w:r w:rsidR="00D11D9F" w:rsidRPr="002E0B9E">
        <w:rPr>
          <w:rFonts w:eastAsia="Calibri" w:cs="Arial"/>
          <w:szCs w:val="24"/>
        </w:rPr>
        <w:t>would struggle even more. Locally the Community Safety Partnership worked quickly to make sure that victims could still reach out for help, using highly creative channels to contact victims</w:t>
      </w:r>
      <w:r w:rsidR="00262F53">
        <w:rPr>
          <w:rFonts w:eastAsia="Calibri" w:cs="Arial"/>
          <w:szCs w:val="24"/>
        </w:rPr>
        <w:t xml:space="preserve">. </w:t>
      </w:r>
      <w:r w:rsidR="00D11D9F">
        <w:rPr>
          <w:rFonts w:eastAsia="Calibri" w:cs="Arial"/>
          <w:szCs w:val="24"/>
        </w:rPr>
        <w:t>The CCG continue</w:t>
      </w:r>
      <w:r w:rsidR="00262F53">
        <w:rPr>
          <w:rFonts w:eastAsia="Calibri" w:cs="Arial"/>
          <w:szCs w:val="24"/>
        </w:rPr>
        <w:t>s</w:t>
      </w:r>
      <w:r w:rsidR="00D11D9F">
        <w:rPr>
          <w:rFonts w:eastAsia="Calibri" w:cs="Arial"/>
          <w:szCs w:val="24"/>
        </w:rPr>
        <w:t xml:space="preserve"> to </w:t>
      </w:r>
      <w:r w:rsidR="00D11D9F" w:rsidRPr="00D73410">
        <w:rPr>
          <w:rFonts w:eastAsia="Calibri" w:cs="Arial"/>
          <w:szCs w:val="24"/>
        </w:rPr>
        <w:t xml:space="preserve">support proactive work </w:t>
      </w:r>
      <w:r w:rsidR="00262F53">
        <w:rPr>
          <w:rFonts w:eastAsia="Calibri" w:cs="Arial"/>
          <w:szCs w:val="24"/>
        </w:rPr>
        <w:t>including the</w:t>
      </w:r>
      <w:r w:rsidR="00D11D9F" w:rsidRPr="00D73410">
        <w:rPr>
          <w:rFonts w:eastAsia="Calibri" w:cs="Arial"/>
          <w:szCs w:val="24"/>
        </w:rPr>
        <w:t xml:space="preserve"> national white ribbon and ‘Ask ANI’ campaigns. </w:t>
      </w:r>
    </w:p>
    <w:p w14:paraId="0E4E7B5E" w14:textId="1EBE8B5A" w:rsidR="00D11D9F" w:rsidRPr="0030402D" w:rsidRDefault="00262F53" w:rsidP="00262F53">
      <w:pPr>
        <w:rPr>
          <w:rFonts w:eastAsia="Calibri" w:cs="Arial"/>
          <w:szCs w:val="24"/>
        </w:rPr>
      </w:pPr>
      <w:r>
        <w:rPr>
          <w:rFonts w:eastAsia="Calibri" w:cs="Arial"/>
          <w:szCs w:val="24"/>
        </w:rPr>
        <w:t>S</w:t>
      </w:r>
      <w:r w:rsidR="00D11D9F" w:rsidRPr="00D73410">
        <w:rPr>
          <w:rFonts w:eastAsia="Calibri" w:cs="Arial"/>
          <w:szCs w:val="24"/>
        </w:rPr>
        <w:t xml:space="preserve">pecific challenges </w:t>
      </w:r>
      <w:r>
        <w:rPr>
          <w:rFonts w:eastAsia="Calibri" w:cs="Arial"/>
          <w:szCs w:val="24"/>
        </w:rPr>
        <w:t xml:space="preserve">exist </w:t>
      </w:r>
      <w:r w:rsidR="00D11D9F" w:rsidRPr="00D73410">
        <w:rPr>
          <w:rFonts w:eastAsia="Calibri" w:cs="Arial"/>
          <w:szCs w:val="24"/>
        </w:rPr>
        <w:t xml:space="preserve">in relation to </w:t>
      </w:r>
      <w:r w:rsidR="00D11D9F">
        <w:rPr>
          <w:rFonts w:eastAsia="Calibri" w:cs="Arial"/>
          <w:szCs w:val="24"/>
        </w:rPr>
        <w:t>families and</w:t>
      </w:r>
      <w:r w:rsidR="00D11D9F" w:rsidRPr="00D73410">
        <w:rPr>
          <w:rFonts w:eastAsia="Calibri" w:cs="Arial"/>
          <w:szCs w:val="24"/>
        </w:rPr>
        <w:t xml:space="preserve"> </w:t>
      </w:r>
      <w:r>
        <w:rPr>
          <w:rFonts w:eastAsia="Calibri" w:cs="Arial"/>
          <w:szCs w:val="24"/>
        </w:rPr>
        <w:t xml:space="preserve">isolated </w:t>
      </w:r>
      <w:r w:rsidR="00D11D9F" w:rsidRPr="00D73410">
        <w:rPr>
          <w:rFonts w:eastAsia="Calibri" w:cs="Arial"/>
          <w:szCs w:val="24"/>
        </w:rPr>
        <w:t xml:space="preserve">children </w:t>
      </w:r>
      <w:r>
        <w:rPr>
          <w:rFonts w:eastAsia="Calibri" w:cs="Arial"/>
          <w:szCs w:val="24"/>
        </w:rPr>
        <w:t>who are less visible outside</w:t>
      </w:r>
      <w:r w:rsidR="00D11D9F" w:rsidRPr="00D73410">
        <w:rPr>
          <w:rFonts w:eastAsia="Calibri" w:cs="Arial"/>
          <w:szCs w:val="24"/>
        </w:rPr>
        <w:t xml:space="preserve"> settings such as schools</w:t>
      </w:r>
      <w:r w:rsidR="00D11D9F">
        <w:rPr>
          <w:rFonts w:eastAsia="Calibri" w:cs="Arial"/>
          <w:szCs w:val="24"/>
        </w:rPr>
        <w:t xml:space="preserve"> and support centres. </w:t>
      </w:r>
      <w:r>
        <w:rPr>
          <w:rFonts w:eastAsia="Calibri" w:cs="Arial"/>
          <w:szCs w:val="24"/>
        </w:rPr>
        <w:t xml:space="preserve">We have </w:t>
      </w:r>
      <w:r w:rsidR="00D11D9F" w:rsidRPr="0030402D">
        <w:rPr>
          <w:rFonts w:eastAsia="Calibri" w:cs="Arial"/>
          <w:szCs w:val="24"/>
        </w:rPr>
        <w:t>continued to address these challenges in seeking new ways to provide consultations and support the contin</w:t>
      </w:r>
      <w:r>
        <w:rPr>
          <w:rFonts w:eastAsia="Calibri" w:cs="Arial"/>
          <w:szCs w:val="24"/>
        </w:rPr>
        <w:t>u</w:t>
      </w:r>
      <w:r w:rsidR="00D11D9F" w:rsidRPr="0030402D">
        <w:rPr>
          <w:rFonts w:eastAsia="Calibri" w:cs="Arial"/>
          <w:szCs w:val="24"/>
        </w:rPr>
        <w:t xml:space="preserve">ity of accessing healthcare, including dental care.  </w:t>
      </w:r>
    </w:p>
    <w:p w14:paraId="73DF88BB" w14:textId="4134BCD0" w:rsidR="00D11D9F" w:rsidRPr="0030402D" w:rsidRDefault="00D11D9F" w:rsidP="0055123B">
      <w:pPr>
        <w:spacing w:before="0" w:after="0"/>
        <w:rPr>
          <w:rFonts w:eastAsia="Calibri" w:cs="Arial"/>
          <w:szCs w:val="24"/>
        </w:rPr>
      </w:pPr>
      <w:r>
        <w:rPr>
          <w:rFonts w:eastAsia="Calibri" w:cs="Arial"/>
          <w:szCs w:val="24"/>
        </w:rPr>
        <w:t>Buidling on previous years</w:t>
      </w:r>
      <w:r w:rsidR="00537591">
        <w:rPr>
          <w:rFonts w:eastAsia="Calibri" w:cs="Arial"/>
          <w:szCs w:val="24"/>
        </w:rPr>
        <w:t>,</w:t>
      </w:r>
      <w:r>
        <w:rPr>
          <w:rFonts w:eastAsia="Calibri" w:cs="Arial"/>
          <w:szCs w:val="24"/>
        </w:rPr>
        <w:t xml:space="preserve"> both the</w:t>
      </w:r>
      <w:r w:rsidRPr="0030402D">
        <w:rPr>
          <w:rFonts w:eastAsia="Calibri" w:cs="Arial"/>
          <w:szCs w:val="24"/>
        </w:rPr>
        <w:t xml:space="preserve"> Designated Professional for Safeguarding Adults and Named GP continued to </w:t>
      </w:r>
      <w:r w:rsidR="00262F53">
        <w:rPr>
          <w:rFonts w:eastAsia="Calibri" w:cs="Arial"/>
          <w:szCs w:val="24"/>
        </w:rPr>
        <w:t>support</w:t>
      </w:r>
      <w:r w:rsidRPr="0030402D">
        <w:rPr>
          <w:rFonts w:eastAsia="Calibri" w:cs="Arial"/>
          <w:szCs w:val="24"/>
        </w:rPr>
        <w:t xml:space="preserve"> multi-agenc</w:t>
      </w:r>
      <w:r w:rsidR="0055123B">
        <w:rPr>
          <w:rFonts w:eastAsia="Calibri" w:cs="Arial"/>
          <w:szCs w:val="24"/>
        </w:rPr>
        <w:t>y</w:t>
      </w:r>
      <w:r w:rsidRPr="0030402D">
        <w:rPr>
          <w:rFonts w:eastAsia="Calibri" w:cs="Arial"/>
          <w:szCs w:val="24"/>
        </w:rPr>
        <w:t xml:space="preserve"> safeguarding reviews during 202</w:t>
      </w:r>
      <w:r w:rsidR="00814EAD">
        <w:rPr>
          <w:rFonts w:eastAsia="Calibri" w:cs="Arial"/>
          <w:szCs w:val="24"/>
        </w:rPr>
        <w:t>1</w:t>
      </w:r>
      <w:r w:rsidRPr="0030402D">
        <w:rPr>
          <w:rFonts w:eastAsia="Calibri" w:cs="Arial"/>
          <w:szCs w:val="24"/>
        </w:rPr>
        <w:t>-2</w:t>
      </w:r>
      <w:r w:rsidR="00814EAD">
        <w:rPr>
          <w:rFonts w:eastAsia="Calibri" w:cs="Arial"/>
          <w:szCs w:val="24"/>
        </w:rPr>
        <w:t>2</w:t>
      </w:r>
      <w:r w:rsidRPr="0030402D">
        <w:rPr>
          <w:rFonts w:eastAsia="Calibri" w:cs="Arial"/>
          <w:szCs w:val="24"/>
        </w:rPr>
        <w:t xml:space="preserve"> and have supported primary care </w:t>
      </w:r>
      <w:r w:rsidR="0055123B">
        <w:rPr>
          <w:rFonts w:eastAsia="Calibri" w:cs="Arial"/>
          <w:szCs w:val="24"/>
        </w:rPr>
        <w:t xml:space="preserve">colleagues </w:t>
      </w:r>
      <w:r w:rsidRPr="0030402D">
        <w:rPr>
          <w:rFonts w:eastAsia="Calibri" w:cs="Arial"/>
          <w:szCs w:val="24"/>
        </w:rPr>
        <w:t>via the remote delivery of three Level 3 adult safeguarding training events for GPs. The CCG is also a key partner in the following organisations:</w:t>
      </w:r>
    </w:p>
    <w:p w14:paraId="618D67FD" w14:textId="77777777" w:rsidR="00D11D9F" w:rsidRPr="0030402D" w:rsidRDefault="00D11D9F" w:rsidP="0062761B">
      <w:pPr>
        <w:numPr>
          <w:ilvl w:val="0"/>
          <w:numId w:val="32"/>
        </w:numPr>
        <w:spacing w:after="0"/>
        <w:contextualSpacing/>
        <w:jc w:val="both"/>
        <w:rPr>
          <w:rFonts w:cs="Arial"/>
        </w:rPr>
      </w:pPr>
      <w:r w:rsidRPr="0030402D">
        <w:rPr>
          <w:rFonts w:eastAsia="Calibri" w:cs="Arial"/>
          <w:szCs w:val="24"/>
        </w:rPr>
        <w:t xml:space="preserve">Community Safety Partnership </w:t>
      </w:r>
    </w:p>
    <w:p w14:paraId="08DB5112" w14:textId="77777777" w:rsidR="00D11D9F" w:rsidRPr="0030402D" w:rsidRDefault="00D11D9F" w:rsidP="0062761B">
      <w:pPr>
        <w:numPr>
          <w:ilvl w:val="0"/>
          <w:numId w:val="32"/>
        </w:numPr>
        <w:spacing w:after="0"/>
        <w:contextualSpacing/>
        <w:jc w:val="both"/>
        <w:rPr>
          <w:rFonts w:cs="Arial"/>
        </w:rPr>
      </w:pPr>
      <w:r w:rsidRPr="0030402D">
        <w:rPr>
          <w:rFonts w:cs="Arial"/>
        </w:rPr>
        <w:t>Humber Modern Slavery Partnership</w:t>
      </w:r>
    </w:p>
    <w:p w14:paraId="60C1D230" w14:textId="77777777" w:rsidR="00D11D9F" w:rsidRPr="0030402D" w:rsidRDefault="00D11D9F" w:rsidP="0062761B">
      <w:pPr>
        <w:numPr>
          <w:ilvl w:val="0"/>
          <w:numId w:val="32"/>
        </w:numPr>
        <w:spacing w:after="0"/>
        <w:contextualSpacing/>
        <w:jc w:val="both"/>
        <w:rPr>
          <w:rFonts w:cs="Arial"/>
        </w:rPr>
      </w:pPr>
      <w:r w:rsidRPr="0030402D">
        <w:rPr>
          <w:rFonts w:eastAsia="Calibri" w:cs="Arial"/>
          <w:szCs w:val="24"/>
        </w:rPr>
        <w:t>Multi Agency Public Protection Arrangements (MAPPA)</w:t>
      </w:r>
    </w:p>
    <w:p w14:paraId="06A9738D" w14:textId="77777777" w:rsidR="00D11D9F" w:rsidRPr="0030402D" w:rsidRDefault="00D11D9F" w:rsidP="0062761B">
      <w:pPr>
        <w:numPr>
          <w:ilvl w:val="0"/>
          <w:numId w:val="32"/>
        </w:numPr>
        <w:spacing w:after="0"/>
        <w:contextualSpacing/>
        <w:jc w:val="both"/>
        <w:rPr>
          <w:rFonts w:eastAsia="Calibri" w:cs="Arial"/>
          <w:szCs w:val="24"/>
        </w:rPr>
      </w:pPr>
      <w:r w:rsidRPr="0030402D">
        <w:rPr>
          <w:rFonts w:eastAsia="Calibri" w:cs="Arial"/>
          <w:szCs w:val="24"/>
        </w:rPr>
        <w:t>Counter Terrorism Prevent</w:t>
      </w:r>
    </w:p>
    <w:p w14:paraId="2DC2A238" w14:textId="77777777" w:rsidR="00D11D9F" w:rsidRDefault="00D11D9F" w:rsidP="00D11D9F">
      <w:pPr>
        <w:spacing w:after="0"/>
        <w:contextualSpacing/>
        <w:jc w:val="both"/>
        <w:rPr>
          <w:rFonts w:eastAsia="Calibri" w:cs="Arial"/>
          <w:color w:val="FF0000"/>
          <w:szCs w:val="24"/>
        </w:rPr>
      </w:pPr>
    </w:p>
    <w:p w14:paraId="1ED60873" w14:textId="77777777" w:rsidR="00D11D9F" w:rsidRDefault="00D11D9F" w:rsidP="00D11D9F">
      <w:pPr>
        <w:spacing w:after="0"/>
        <w:contextualSpacing/>
        <w:jc w:val="both"/>
        <w:rPr>
          <w:rFonts w:eastAsia="Calibri" w:cs="Arial"/>
          <w:color w:val="FF0000"/>
          <w:szCs w:val="24"/>
        </w:rPr>
      </w:pPr>
    </w:p>
    <w:p w14:paraId="1C165FBD" w14:textId="3058A815" w:rsidR="00D11D9F" w:rsidRPr="003F1101" w:rsidRDefault="00D11D9F" w:rsidP="00D11D9F">
      <w:pPr>
        <w:spacing w:after="0"/>
        <w:contextualSpacing/>
        <w:jc w:val="both"/>
        <w:rPr>
          <w:rFonts w:eastAsia="Calibri" w:cs="Arial"/>
          <w:color w:val="FF0000"/>
          <w:szCs w:val="24"/>
        </w:rPr>
      </w:pPr>
      <w:r w:rsidRPr="00DC6558">
        <w:rPr>
          <w:rFonts w:eastAsia="Calibri" w:cs="Arial"/>
          <w:b/>
          <w:bCs/>
          <w:szCs w:val="24"/>
        </w:rPr>
        <w:lastRenderedPageBreak/>
        <w:t xml:space="preserve">Safeguarding Children </w:t>
      </w:r>
    </w:p>
    <w:p w14:paraId="06484A95" w14:textId="517B5955" w:rsidR="00D11D9F" w:rsidRDefault="00D11D9F" w:rsidP="0055123B">
      <w:pPr>
        <w:spacing w:after="0"/>
        <w:rPr>
          <w:rFonts w:eastAsia="Calibri" w:cs="Arial"/>
          <w:szCs w:val="24"/>
        </w:rPr>
      </w:pPr>
      <w:r w:rsidRPr="009B5C5A">
        <w:rPr>
          <w:rFonts w:eastAsia="Calibri" w:cs="Arial"/>
          <w:szCs w:val="24"/>
        </w:rPr>
        <w:t xml:space="preserve">The CCG continued to fulfil legal requirements and responsibilities for safeguarding </w:t>
      </w:r>
      <w:r>
        <w:rPr>
          <w:rFonts w:eastAsia="Calibri" w:cs="Arial"/>
          <w:szCs w:val="24"/>
        </w:rPr>
        <w:t>children</w:t>
      </w:r>
      <w:r w:rsidR="0055123B">
        <w:rPr>
          <w:rFonts w:eastAsia="Calibri" w:cs="Arial"/>
          <w:szCs w:val="24"/>
        </w:rPr>
        <w:t>.</w:t>
      </w:r>
      <w:r>
        <w:rPr>
          <w:rFonts w:eastAsia="Calibri" w:cs="Arial"/>
          <w:szCs w:val="24"/>
        </w:rPr>
        <w:t xml:space="preserve"> </w:t>
      </w:r>
      <w:r w:rsidR="0055123B">
        <w:rPr>
          <w:rFonts w:eastAsia="Calibri" w:cs="Arial"/>
          <w:szCs w:val="24"/>
        </w:rPr>
        <w:t>T</w:t>
      </w:r>
      <w:r w:rsidRPr="00DC6558">
        <w:rPr>
          <w:rFonts w:eastAsia="Calibri" w:cs="Arial"/>
          <w:szCs w:val="24"/>
        </w:rPr>
        <w:t>he Safeguarding team has remained actively engaged in work across the wider Humber and North Yorkshire Partnership</w:t>
      </w:r>
    </w:p>
    <w:p w14:paraId="2FC6F467" w14:textId="34D00C28" w:rsidR="00D11D9F" w:rsidRDefault="00D11D9F" w:rsidP="0055123B">
      <w:pPr>
        <w:spacing w:after="0"/>
        <w:rPr>
          <w:rFonts w:eastAsia="Calibri" w:cs="Arial"/>
          <w:szCs w:val="24"/>
        </w:rPr>
      </w:pPr>
      <w:r>
        <w:rPr>
          <w:rFonts w:eastAsia="Calibri" w:cs="Arial"/>
          <w:szCs w:val="24"/>
        </w:rPr>
        <w:t xml:space="preserve">Alongside the Police and Local Authority, </w:t>
      </w:r>
      <w:r w:rsidR="0055123B">
        <w:rPr>
          <w:rFonts w:eastAsia="Calibri" w:cs="Arial"/>
          <w:szCs w:val="24"/>
        </w:rPr>
        <w:t>the</w:t>
      </w:r>
      <w:r>
        <w:rPr>
          <w:rFonts w:eastAsia="Calibri" w:cs="Arial"/>
          <w:szCs w:val="24"/>
        </w:rPr>
        <w:t xml:space="preserve"> CCG continues to lead on the</w:t>
      </w:r>
      <w:r w:rsidRPr="00977DDA">
        <w:rPr>
          <w:rFonts w:eastAsia="Calibri" w:cs="Arial"/>
          <w:szCs w:val="24"/>
        </w:rPr>
        <w:t xml:space="preserve"> </w:t>
      </w:r>
      <w:r w:rsidR="0055123B">
        <w:rPr>
          <w:rFonts w:eastAsia="Calibri" w:cs="Arial"/>
          <w:szCs w:val="24"/>
        </w:rPr>
        <w:t>four</w:t>
      </w:r>
      <w:r>
        <w:rPr>
          <w:rFonts w:eastAsia="Calibri" w:cs="Arial"/>
          <w:szCs w:val="24"/>
        </w:rPr>
        <w:t xml:space="preserve"> key business priorities within the Hull Safeguar</w:t>
      </w:r>
      <w:r w:rsidR="0055123B">
        <w:rPr>
          <w:rFonts w:eastAsia="Calibri" w:cs="Arial"/>
          <w:szCs w:val="24"/>
        </w:rPr>
        <w:t>di</w:t>
      </w:r>
      <w:r>
        <w:rPr>
          <w:rFonts w:eastAsia="Calibri" w:cs="Arial"/>
          <w:szCs w:val="24"/>
        </w:rPr>
        <w:t>ng Children Partnership which includes, Neglect, Child Exp</w:t>
      </w:r>
      <w:r w:rsidR="00537591">
        <w:rPr>
          <w:rFonts w:eastAsia="Calibri" w:cs="Arial"/>
          <w:szCs w:val="24"/>
        </w:rPr>
        <w:t>loi</w:t>
      </w:r>
      <w:r>
        <w:rPr>
          <w:rFonts w:eastAsia="Calibri" w:cs="Arial"/>
          <w:szCs w:val="24"/>
        </w:rPr>
        <w:t xml:space="preserve">tation, Domestic Abuse, Learning and improvement and the recovery from the COVID-19 pandemic. </w:t>
      </w:r>
    </w:p>
    <w:p w14:paraId="143A2071" w14:textId="71F5541F" w:rsidR="00D11D9F" w:rsidRPr="00E30B9E" w:rsidRDefault="0055123B" w:rsidP="00E30B9E">
      <w:pPr>
        <w:spacing w:after="0"/>
        <w:rPr>
          <w:rFonts w:eastAsia="Calibri" w:cs="Arial"/>
          <w:szCs w:val="24"/>
        </w:rPr>
      </w:pPr>
      <w:r>
        <w:rPr>
          <w:rFonts w:eastAsia="Calibri" w:cs="Arial"/>
          <w:szCs w:val="24"/>
        </w:rPr>
        <w:t>We remain</w:t>
      </w:r>
      <w:r w:rsidR="00D11D9F">
        <w:rPr>
          <w:rFonts w:eastAsia="Calibri" w:cs="Arial"/>
          <w:szCs w:val="24"/>
        </w:rPr>
        <w:t xml:space="preserve"> committed to </w:t>
      </w:r>
      <w:r>
        <w:rPr>
          <w:rFonts w:eastAsia="Calibri" w:cs="Arial"/>
          <w:szCs w:val="24"/>
        </w:rPr>
        <w:t>ensuring</w:t>
      </w:r>
      <w:r w:rsidR="00D11D9F">
        <w:rPr>
          <w:rFonts w:eastAsia="Calibri" w:cs="Arial"/>
          <w:szCs w:val="24"/>
        </w:rPr>
        <w:t xml:space="preserve"> </w:t>
      </w:r>
      <w:r w:rsidR="00D11D9F" w:rsidRPr="006C42E0">
        <w:rPr>
          <w:rFonts w:eastAsia="Calibri" w:cs="Arial"/>
          <w:szCs w:val="24"/>
        </w:rPr>
        <w:t>children and their families are fully engaged and listened to so that their voices and lived experiences are integral to the development and delivery of services within Hull.</w:t>
      </w:r>
      <w:r w:rsidR="00D11D9F">
        <w:rPr>
          <w:rFonts w:eastAsia="Calibri" w:cs="Arial"/>
          <w:szCs w:val="24"/>
        </w:rPr>
        <w:t xml:space="preserve"> </w:t>
      </w:r>
      <w:r w:rsidR="00D11D9F" w:rsidRPr="006C42E0">
        <w:rPr>
          <w:rFonts w:eastAsia="Calibri" w:cs="Arial"/>
          <w:szCs w:val="24"/>
        </w:rPr>
        <w:t>This will ensure that children are protected from harm by robust and co-ordinated multi-agency intervention and support at the earliest opportunity.</w:t>
      </w:r>
      <w:r w:rsidR="00D11D9F">
        <w:rPr>
          <w:rFonts w:eastAsia="Calibri" w:cs="Arial"/>
          <w:szCs w:val="24"/>
        </w:rPr>
        <w:t xml:space="preserve"> Furthermore that w</w:t>
      </w:r>
      <w:r w:rsidR="00D11D9F" w:rsidRPr="006C42E0">
        <w:rPr>
          <w:rFonts w:eastAsia="Calibri" w:cs="Arial"/>
          <w:szCs w:val="24"/>
        </w:rPr>
        <w:t>e continually measure the impact of work undertaken through HSCP to ensure that there is accountability and transparency in safeguarding practice with a focus on continual learning and improved outcomes for children.</w:t>
      </w:r>
    </w:p>
    <w:p w14:paraId="0833AFB3" w14:textId="2C6F2E61" w:rsidR="00D11D9F" w:rsidRDefault="00E270FA" w:rsidP="00E270FA">
      <w:pPr>
        <w:spacing w:after="0"/>
        <w:rPr>
          <w:rFonts w:eastAsia="Calibri" w:cs="Arial"/>
          <w:szCs w:val="24"/>
        </w:rPr>
      </w:pPr>
      <w:r>
        <w:rPr>
          <w:rFonts w:eastAsia="Calibri" w:cs="Arial"/>
          <w:szCs w:val="24"/>
        </w:rPr>
        <w:t>T</w:t>
      </w:r>
      <w:r w:rsidR="00D11D9F" w:rsidRPr="00BE385C">
        <w:rPr>
          <w:rFonts w:eastAsia="Calibri" w:cs="Arial"/>
          <w:szCs w:val="24"/>
        </w:rPr>
        <w:t xml:space="preserve">he ICON programme ‘Babies Cry, You Can Cope’ </w:t>
      </w:r>
      <w:r>
        <w:rPr>
          <w:rFonts w:eastAsia="Calibri" w:cs="Arial"/>
          <w:szCs w:val="24"/>
        </w:rPr>
        <w:t xml:space="preserve">has been implemented </w:t>
      </w:r>
      <w:r w:rsidR="00D11D9F" w:rsidRPr="00BE385C">
        <w:rPr>
          <w:rFonts w:eastAsia="Calibri" w:cs="Arial"/>
          <w:szCs w:val="24"/>
        </w:rPr>
        <w:t xml:space="preserve">across maternity, 0-19 Public Health Nursing and Neonatal services in our area.  Led by the Local Maternity Services and Designated Nurses </w:t>
      </w:r>
      <w:r>
        <w:rPr>
          <w:rFonts w:eastAsia="Calibri" w:cs="Arial"/>
          <w:szCs w:val="24"/>
        </w:rPr>
        <w:t>it</w:t>
      </w:r>
      <w:r w:rsidR="00D11D9F" w:rsidRPr="00BE385C">
        <w:rPr>
          <w:rFonts w:eastAsia="Calibri" w:cs="Arial"/>
          <w:szCs w:val="24"/>
        </w:rPr>
        <w:t xml:space="preserve"> support</w:t>
      </w:r>
      <w:r>
        <w:rPr>
          <w:rFonts w:eastAsia="Calibri" w:cs="Arial"/>
          <w:szCs w:val="24"/>
        </w:rPr>
        <w:t>s</w:t>
      </w:r>
      <w:r w:rsidR="00D11D9F" w:rsidRPr="00BE385C">
        <w:rPr>
          <w:rFonts w:eastAsia="Calibri" w:cs="Arial"/>
          <w:szCs w:val="24"/>
        </w:rPr>
        <w:t xml:space="preserve"> parents with crying babies and has been very well received by staff and supported by the Maternity Voices Partnership and Perinatal Mental Health teams across the area.  </w:t>
      </w:r>
    </w:p>
    <w:p w14:paraId="7F63C453" w14:textId="47AAD825" w:rsidR="00D11D9F" w:rsidRPr="00F77A13" w:rsidRDefault="00D11D9F" w:rsidP="00D83CCA">
      <w:pPr>
        <w:spacing w:after="0"/>
        <w:rPr>
          <w:rFonts w:eastAsia="Calibri" w:cs="Arial"/>
          <w:szCs w:val="24"/>
        </w:rPr>
      </w:pPr>
      <w:r w:rsidRPr="003A6D3F">
        <w:rPr>
          <w:rFonts w:eastAsia="Calibri" w:cs="Arial"/>
          <w:szCs w:val="24"/>
        </w:rPr>
        <w:t xml:space="preserve">Work to raise awareness around the </w:t>
      </w:r>
      <w:r w:rsidR="00E270FA">
        <w:rPr>
          <w:rFonts w:eastAsia="Calibri" w:cs="Arial"/>
          <w:szCs w:val="24"/>
        </w:rPr>
        <w:t>f</w:t>
      </w:r>
      <w:r>
        <w:rPr>
          <w:rFonts w:eastAsia="Calibri" w:cs="Arial"/>
          <w:szCs w:val="24"/>
        </w:rPr>
        <w:t xml:space="preserve">irst </w:t>
      </w:r>
      <w:r w:rsidRPr="003A6D3F">
        <w:rPr>
          <w:rFonts w:eastAsia="Calibri" w:cs="Arial"/>
          <w:szCs w:val="24"/>
        </w:rPr>
        <w:t>1001 critical days, led by the Health and Wellbeing Board</w:t>
      </w:r>
      <w:r>
        <w:rPr>
          <w:rFonts w:eastAsia="Calibri" w:cs="Arial"/>
          <w:szCs w:val="24"/>
        </w:rPr>
        <w:t xml:space="preserve"> continues, </w:t>
      </w:r>
      <w:r w:rsidRPr="003A6D3F">
        <w:rPr>
          <w:rFonts w:eastAsia="Calibri" w:cs="Arial"/>
          <w:szCs w:val="24"/>
        </w:rPr>
        <w:t>alongside a strategic focus on speech and language development in the Early Years</w:t>
      </w:r>
      <w:r w:rsidR="00E270FA">
        <w:rPr>
          <w:rFonts w:eastAsia="Calibri" w:cs="Arial"/>
          <w:szCs w:val="24"/>
        </w:rPr>
        <w:t xml:space="preserve">, </w:t>
      </w:r>
      <w:r>
        <w:rPr>
          <w:rFonts w:eastAsia="Calibri" w:cs="Arial"/>
          <w:szCs w:val="24"/>
        </w:rPr>
        <w:t xml:space="preserve">acknowledging the impact of the </w:t>
      </w:r>
      <w:r w:rsidRPr="003A6D3F">
        <w:rPr>
          <w:rFonts w:eastAsia="Calibri" w:cs="Arial"/>
          <w:szCs w:val="24"/>
        </w:rPr>
        <w:t>pandemic</w:t>
      </w:r>
      <w:r>
        <w:rPr>
          <w:rFonts w:eastAsia="Calibri" w:cs="Arial"/>
          <w:szCs w:val="24"/>
        </w:rPr>
        <w:t xml:space="preserve"> on the risks of a</w:t>
      </w:r>
      <w:r w:rsidRPr="003A6D3F">
        <w:rPr>
          <w:rFonts w:eastAsia="Calibri" w:cs="Arial"/>
          <w:szCs w:val="24"/>
        </w:rPr>
        <w:t xml:space="preserve"> widened the communication gap.</w:t>
      </w:r>
    </w:p>
    <w:p w14:paraId="316FAF98" w14:textId="77777777" w:rsidR="00D11D9F" w:rsidRPr="009B5C5A" w:rsidRDefault="00D11D9F" w:rsidP="00D83CCA">
      <w:pPr>
        <w:spacing w:after="0"/>
        <w:rPr>
          <w:rFonts w:eastAsia="Calibri" w:cs="Arial"/>
          <w:b/>
          <w:bCs/>
          <w:szCs w:val="24"/>
        </w:rPr>
      </w:pPr>
      <w:r w:rsidRPr="009B5C5A">
        <w:rPr>
          <w:rFonts w:eastAsia="Calibri" w:cs="Arial"/>
          <w:b/>
          <w:bCs/>
          <w:szCs w:val="24"/>
        </w:rPr>
        <w:t>Looked After Children</w:t>
      </w:r>
    </w:p>
    <w:p w14:paraId="61CFFC96" w14:textId="0032DE09" w:rsidR="00D11D9F" w:rsidRDefault="00E270FA" w:rsidP="00D83CCA">
      <w:pPr>
        <w:rPr>
          <w:rFonts w:eastAsia="Calibri" w:cs="Arial"/>
          <w:szCs w:val="24"/>
        </w:rPr>
      </w:pPr>
      <w:r>
        <w:rPr>
          <w:rFonts w:eastAsia="Calibri" w:cs="Arial"/>
          <w:szCs w:val="24"/>
        </w:rPr>
        <w:t xml:space="preserve">The </w:t>
      </w:r>
      <w:r w:rsidR="00D11D9F">
        <w:rPr>
          <w:rFonts w:eastAsia="Calibri" w:cs="Arial"/>
          <w:szCs w:val="24"/>
        </w:rPr>
        <w:t xml:space="preserve">CCG has maintained a </w:t>
      </w:r>
      <w:r w:rsidR="00D11D9F" w:rsidRPr="009B5C5A">
        <w:rPr>
          <w:rFonts w:eastAsia="Calibri" w:cs="Arial"/>
          <w:szCs w:val="24"/>
        </w:rPr>
        <w:t xml:space="preserve">multi-agency </w:t>
      </w:r>
      <w:r w:rsidR="00D11D9F">
        <w:rPr>
          <w:rFonts w:eastAsia="Calibri" w:cs="Arial"/>
          <w:szCs w:val="24"/>
        </w:rPr>
        <w:t xml:space="preserve">approach with </w:t>
      </w:r>
      <w:r>
        <w:rPr>
          <w:rFonts w:eastAsia="Calibri" w:cs="Arial"/>
          <w:szCs w:val="24"/>
        </w:rPr>
        <w:t>both</w:t>
      </w:r>
      <w:r w:rsidR="00D11D9F" w:rsidRPr="0070752F">
        <w:rPr>
          <w:rFonts w:eastAsia="Calibri" w:cs="Arial"/>
          <w:szCs w:val="24"/>
        </w:rPr>
        <w:t xml:space="preserve"> Designated Nurse </w:t>
      </w:r>
      <w:r>
        <w:rPr>
          <w:rFonts w:eastAsia="Calibri" w:cs="Arial"/>
          <w:szCs w:val="24"/>
        </w:rPr>
        <w:t xml:space="preserve">and Designated Doctor </w:t>
      </w:r>
      <w:r w:rsidR="00D11D9F" w:rsidRPr="0070752F">
        <w:rPr>
          <w:rFonts w:eastAsia="Calibri" w:cs="Arial"/>
          <w:szCs w:val="24"/>
        </w:rPr>
        <w:t>for Children Looked After</w:t>
      </w:r>
      <w:r w:rsidR="00D11D9F">
        <w:rPr>
          <w:rFonts w:eastAsia="Calibri" w:cs="Arial"/>
          <w:szCs w:val="24"/>
        </w:rPr>
        <w:t xml:space="preserve">. </w:t>
      </w:r>
      <w:r>
        <w:rPr>
          <w:rFonts w:eastAsia="Calibri" w:cs="Arial"/>
          <w:szCs w:val="24"/>
        </w:rPr>
        <w:t xml:space="preserve">We maintain our </w:t>
      </w:r>
      <w:r w:rsidR="00D11D9F">
        <w:rPr>
          <w:rFonts w:eastAsia="Calibri" w:cs="Arial"/>
          <w:szCs w:val="24"/>
        </w:rPr>
        <w:t xml:space="preserve">role in the </w:t>
      </w:r>
      <w:r w:rsidR="00D11D9F" w:rsidRPr="003604C1">
        <w:rPr>
          <w:rFonts w:eastAsia="Calibri" w:cs="Arial"/>
          <w:szCs w:val="24"/>
        </w:rPr>
        <w:t>Integrated Looked After Children and Care Leavers health forum (ILAC)</w:t>
      </w:r>
      <w:r w:rsidR="00D11D9F">
        <w:rPr>
          <w:rFonts w:eastAsia="Calibri" w:cs="Arial"/>
          <w:szCs w:val="24"/>
        </w:rPr>
        <w:t>. The CCG is also</w:t>
      </w:r>
      <w:r w:rsidR="00D11D9F" w:rsidRPr="0070752F">
        <w:rPr>
          <w:rFonts w:eastAsia="Calibri" w:cs="Arial"/>
          <w:szCs w:val="24"/>
        </w:rPr>
        <w:t xml:space="preserve"> a member of the Inspecting Local Authority Children’s Services</w:t>
      </w:r>
      <w:r>
        <w:rPr>
          <w:rFonts w:eastAsia="Calibri" w:cs="Arial"/>
          <w:szCs w:val="24"/>
        </w:rPr>
        <w:t xml:space="preserve">, </w:t>
      </w:r>
      <w:r w:rsidR="00D11D9F">
        <w:rPr>
          <w:rFonts w:eastAsia="Calibri" w:cs="Arial"/>
          <w:szCs w:val="24"/>
        </w:rPr>
        <w:t>further strengthening the</w:t>
      </w:r>
      <w:r w:rsidR="00D11D9F" w:rsidRPr="0070752F">
        <w:rPr>
          <w:rFonts w:eastAsia="Calibri" w:cs="Arial"/>
          <w:szCs w:val="24"/>
        </w:rPr>
        <w:t xml:space="preserve"> improvement</w:t>
      </w:r>
      <w:r>
        <w:rPr>
          <w:rFonts w:eastAsia="Calibri" w:cs="Arial"/>
          <w:szCs w:val="24"/>
        </w:rPr>
        <w:t>s</w:t>
      </w:r>
      <w:r w:rsidR="00D11D9F" w:rsidRPr="0070752F">
        <w:rPr>
          <w:rFonts w:eastAsia="Calibri" w:cs="Arial"/>
          <w:szCs w:val="24"/>
        </w:rPr>
        <w:t xml:space="preserve"> in dental access, system connectivity and training for professionals and carers.</w:t>
      </w:r>
    </w:p>
    <w:p w14:paraId="0319DF36" w14:textId="2F5E6AD1" w:rsidR="00D11D9F" w:rsidRPr="003C0B1D" w:rsidRDefault="00D11D9F" w:rsidP="003C0B1D">
      <w:pPr>
        <w:spacing w:after="0"/>
        <w:rPr>
          <w:rFonts w:eastAsia="Calibri" w:cs="Arial"/>
          <w:b/>
          <w:bCs/>
          <w:szCs w:val="24"/>
        </w:rPr>
      </w:pPr>
      <w:r w:rsidRPr="003C0B1D">
        <w:rPr>
          <w:rFonts w:eastAsia="Calibri" w:cs="Arial"/>
          <w:b/>
          <w:bCs/>
          <w:szCs w:val="24"/>
        </w:rPr>
        <w:t xml:space="preserve">Special Educational Needs and Disabilities (SEND) </w:t>
      </w:r>
    </w:p>
    <w:p w14:paraId="1294D07E" w14:textId="00F12000" w:rsidR="00D11D9F" w:rsidRPr="00D326D4" w:rsidRDefault="003C0B1D" w:rsidP="003C0B1D">
      <w:pPr>
        <w:spacing w:after="0"/>
        <w:rPr>
          <w:rFonts w:eastAsia="Calibri" w:cs="Arial"/>
          <w:szCs w:val="24"/>
        </w:rPr>
      </w:pPr>
      <w:r w:rsidRPr="003C0B1D">
        <w:rPr>
          <w:rFonts w:eastAsia="Calibri" w:cs="Arial"/>
          <w:szCs w:val="24"/>
        </w:rPr>
        <w:t>The</w:t>
      </w:r>
      <w:r w:rsidR="00D11D9F" w:rsidRPr="003C0B1D">
        <w:rPr>
          <w:rFonts w:eastAsia="Calibri" w:cs="Arial"/>
          <w:szCs w:val="24"/>
        </w:rPr>
        <w:t xml:space="preserve"> CCG </w:t>
      </w:r>
      <w:r w:rsidRPr="00D326D4">
        <w:rPr>
          <w:rFonts w:eastAsia="Calibri" w:cs="Arial"/>
          <w:szCs w:val="24"/>
        </w:rPr>
        <w:t xml:space="preserve">continues </w:t>
      </w:r>
      <w:r w:rsidR="00D11D9F" w:rsidRPr="00D326D4">
        <w:rPr>
          <w:rFonts w:eastAsia="Calibri" w:cs="Arial"/>
          <w:szCs w:val="24"/>
        </w:rPr>
        <w:t xml:space="preserve">works in partnership with children, young people, their families, the SEND and Children’s Services </w:t>
      </w:r>
      <w:r w:rsidR="00537591" w:rsidRPr="00D326D4">
        <w:rPr>
          <w:rFonts w:eastAsia="Calibri" w:cs="Arial"/>
          <w:szCs w:val="24"/>
        </w:rPr>
        <w:t>t</w:t>
      </w:r>
      <w:r w:rsidR="00D11D9F" w:rsidRPr="00D326D4">
        <w:rPr>
          <w:rFonts w:eastAsia="Calibri" w:cs="Arial"/>
          <w:szCs w:val="24"/>
        </w:rPr>
        <w:t xml:space="preserve">eams of Hull City Council and our health providers locally and regionally to ensure a timely health response all the way through the processes of education, health and care needs assessment, planning and review. </w:t>
      </w:r>
      <w:r w:rsidRPr="00D326D4">
        <w:rPr>
          <w:rFonts w:eastAsia="Calibri" w:cs="Arial"/>
          <w:szCs w:val="24"/>
        </w:rPr>
        <w:t xml:space="preserve">For more information please see page </w:t>
      </w:r>
      <w:r w:rsidR="004A5984" w:rsidRPr="00D326D4">
        <w:rPr>
          <w:rFonts w:eastAsia="Calibri" w:cs="Arial"/>
          <w:szCs w:val="24"/>
        </w:rPr>
        <w:t>19.</w:t>
      </w:r>
    </w:p>
    <w:p w14:paraId="4C482088" w14:textId="5B5F13E5" w:rsidR="00D11D9F" w:rsidRPr="00D326D4" w:rsidRDefault="00D11D9F" w:rsidP="00D11D9F">
      <w:pPr>
        <w:jc w:val="both"/>
        <w:rPr>
          <w:rFonts w:cs="Arial"/>
          <w:b/>
          <w:bCs/>
        </w:rPr>
      </w:pPr>
      <w:r w:rsidRPr="00D326D4">
        <w:rPr>
          <w:rFonts w:cs="Arial"/>
          <w:b/>
          <w:bCs/>
        </w:rPr>
        <w:t>Continuing Healthcare</w:t>
      </w:r>
      <w:r w:rsidR="002C469D" w:rsidRPr="00D326D4">
        <w:rPr>
          <w:rFonts w:cs="Arial"/>
          <w:b/>
          <w:bCs/>
        </w:rPr>
        <w:t xml:space="preserve"> </w:t>
      </w:r>
    </w:p>
    <w:p w14:paraId="0614EC7C" w14:textId="015FD43E" w:rsidR="00D11D9F" w:rsidRPr="00D326D4" w:rsidRDefault="00D11D9F" w:rsidP="009630E5">
      <w:pPr>
        <w:rPr>
          <w:rFonts w:cs="Arial"/>
        </w:rPr>
      </w:pPr>
      <w:r w:rsidRPr="00D326D4">
        <w:rPr>
          <w:rFonts w:cs="Arial"/>
        </w:rPr>
        <w:t xml:space="preserve">It’s been </w:t>
      </w:r>
      <w:r w:rsidR="009630E5" w:rsidRPr="00D326D4">
        <w:rPr>
          <w:rFonts w:cs="Arial"/>
        </w:rPr>
        <w:t xml:space="preserve">a further </w:t>
      </w:r>
      <w:r w:rsidR="007A5632" w:rsidRPr="00D326D4">
        <w:rPr>
          <w:rFonts w:cs="Arial"/>
        </w:rPr>
        <w:t>successful</w:t>
      </w:r>
      <w:r w:rsidRPr="00D326D4">
        <w:rPr>
          <w:rFonts w:cs="Arial"/>
        </w:rPr>
        <w:t xml:space="preserve"> year with respect to the assessment and decision-making process for confirming Continuing Healthcare </w:t>
      </w:r>
      <w:r w:rsidR="003C0B1D" w:rsidRPr="00D326D4">
        <w:rPr>
          <w:rFonts w:cs="Arial"/>
        </w:rPr>
        <w:t xml:space="preserve">(CHC) </w:t>
      </w:r>
      <w:r w:rsidRPr="00D326D4">
        <w:rPr>
          <w:rFonts w:cs="Arial"/>
        </w:rPr>
        <w:t xml:space="preserve">and Children and Young People’s Continuing Care eligibility. The local service has continued to exceed the national service delivery requirements, with continued good practice noted in providing people with decisions about their eligibility for Continuing Healthcare funding within 28 days. </w:t>
      </w:r>
    </w:p>
    <w:p w14:paraId="6BC0F3D0" w14:textId="364CFBBD" w:rsidR="00D11D9F" w:rsidRPr="00D326D4" w:rsidRDefault="00D11D9F" w:rsidP="009630E5">
      <w:pPr>
        <w:rPr>
          <w:rFonts w:cs="Arial"/>
        </w:rPr>
      </w:pPr>
      <w:r w:rsidRPr="00D326D4">
        <w:rPr>
          <w:rFonts w:cs="Arial"/>
        </w:rPr>
        <w:t xml:space="preserve">The </w:t>
      </w:r>
      <w:r w:rsidR="00537591" w:rsidRPr="00D326D4">
        <w:rPr>
          <w:rFonts w:cs="Arial"/>
        </w:rPr>
        <w:t>t</w:t>
      </w:r>
      <w:r w:rsidR="009630E5" w:rsidRPr="00D326D4">
        <w:rPr>
          <w:rFonts w:cs="Arial"/>
        </w:rPr>
        <w:t>eam</w:t>
      </w:r>
      <w:r w:rsidRPr="00D326D4">
        <w:rPr>
          <w:rFonts w:cs="Arial"/>
        </w:rPr>
        <w:t xml:space="preserve"> ha</w:t>
      </w:r>
      <w:r w:rsidR="007A5632" w:rsidRPr="00D326D4">
        <w:rPr>
          <w:rFonts w:cs="Arial"/>
        </w:rPr>
        <w:t>s</w:t>
      </w:r>
      <w:r w:rsidRPr="00D326D4">
        <w:rPr>
          <w:rFonts w:cs="Arial"/>
        </w:rPr>
        <w:t xml:space="preserve"> continued to support our community of eligible people throughout the pandemic, supporting understanding of the various legislative and guidance changes, prioritising access to Personal Protective Equipment and ensuring that the care and support services that people receive are safe, of good quality and are regularly monitored.</w:t>
      </w:r>
    </w:p>
    <w:p w14:paraId="64565730" w14:textId="501B492A" w:rsidR="00D11D9F" w:rsidRPr="00D326D4" w:rsidRDefault="009630E5" w:rsidP="009630E5">
      <w:pPr>
        <w:rPr>
          <w:rFonts w:cs="Arial"/>
        </w:rPr>
      </w:pPr>
      <w:r w:rsidRPr="00D326D4">
        <w:rPr>
          <w:rFonts w:cs="Arial"/>
        </w:rPr>
        <w:t xml:space="preserve">The </w:t>
      </w:r>
      <w:r w:rsidR="00537591" w:rsidRPr="00D326D4">
        <w:rPr>
          <w:rFonts w:cs="Arial"/>
        </w:rPr>
        <w:t>t</w:t>
      </w:r>
      <w:r w:rsidRPr="00D326D4">
        <w:rPr>
          <w:rFonts w:cs="Arial"/>
        </w:rPr>
        <w:t>eam</w:t>
      </w:r>
      <w:r w:rsidR="00D11D9F" w:rsidRPr="00D326D4">
        <w:rPr>
          <w:rFonts w:cs="Arial"/>
        </w:rPr>
        <w:t xml:space="preserve"> ha</w:t>
      </w:r>
      <w:r w:rsidRPr="00D326D4">
        <w:rPr>
          <w:rFonts w:cs="Arial"/>
        </w:rPr>
        <w:t>s</w:t>
      </w:r>
      <w:r w:rsidR="00D11D9F" w:rsidRPr="00D326D4">
        <w:rPr>
          <w:rFonts w:cs="Arial"/>
        </w:rPr>
        <w:t xml:space="preserve"> worked with colleagues to </w:t>
      </w:r>
      <w:r w:rsidRPr="00D326D4">
        <w:rPr>
          <w:rFonts w:cs="Arial"/>
        </w:rPr>
        <w:t>improve</w:t>
      </w:r>
      <w:r w:rsidR="00D11D9F" w:rsidRPr="00D326D4">
        <w:rPr>
          <w:rFonts w:cs="Arial"/>
        </w:rPr>
        <w:t xml:space="preserve"> experiences of discharge from hospital and ensure people with continued care and support needs have had access to the right care at the right time. </w:t>
      </w:r>
    </w:p>
    <w:p w14:paraId="5F5BCA8A" w14:textId="25D881C3" w:rsidR="00D11D9F" w:rsidRPr="00D326D4" w:rsidRDefault="00D11D9F" w:rsidP="007A5632">
      <w:pPr>
        <w:rPr>
          <w:rFonts w:cs="Arial"/>
        </w:rPr>
      </w:pPr>
      <w:r w:rsidRPr="00D326D4">
        <w:rPr>
          <w:rFonts w:cs="Arial"/>
        </w:rPr>
        <w:lastRenderedPageBreak/>
        <w:t xml:space="preserve">Following </w:t>
      </w:r>
      <w:r w:rsidR="007A5632" w:rsidRPr="00D326D4">
        <w:rPr>
          <w:rFonts w:cs="Arial"/>
        </w:rPr>
        <w:t>the</w:t>
      </w:r>
      <w:r w:rsidRPr="00D326D4">
        <w:rPr>
          <w:rFonts w:cs="Arial"/>
        </w:rPr>
        <w:t xml:space="preserve"> change to the national guidance to reintroduce the Decision Support Tool (DST) assessments from September 2020, all the required backlog DST assessments </w:t>
      </w:r>
      <w:r w:rsidR="007A5632" w:rsidRPr="00D326D4">
        <w:rPr>
          <w:rFonts w:cs="Arial"/>
        </w:rPr>
        <w:t xml:space="preserve">were complete </w:t>
      </w:r>
      <w:r w:rsidRPr="00D326D4">
        <w:rPr>
          <w:rFonts w:cs="Arial"/>
        </w:rPr>
        <w:t xml:space="preserve">in advance of its own trajectory and that set by the national government. </w:t>
      </w:r>
    </w:p>
    <w:p w14:paraId="5F7604DF" w14:textId="41D2C05A" w:rsidR="00D11D9F" w:rsidRPr="00D326D4" w:rsidRDefault="00D11D9F" w:rsidP="00753228">
      <w:pPr>
        <w:rPr>
          <w:rFonts w:cs="Arial"/>
          <w:strike/>
        </w:rPr>
      </w:pPr>
      <w:r w:rsidRPr="00D326D4">
        <w:rPr>
          <w:rFonts w:cs="Arial"/>
        </w:rPr>
        <w:t xml:space="preserve">The Hull </w:t>
      </w:r>
      <w:r w:rsidR="007A5632" w:rsidRPr="00D326D4">
        <w:rPr>
          <w:rFonts w:cs="Arial"/>
        </w:rPr>
        <w:t>CHC</w:t>
      </w:r>
      <w:r w:rsidRPr="00D326D4">
        <w:rPr>
          <w:rFonts w:cs="Arial"/>
        </w:rPr>
        <w:t xml:space="preserve"> and Children and Young People’s Continuing Care offer, continues to work with </w:t>
      </w:r>
      <w:r w:rsidR="007A5632" w:rsidRPr="00D326D4">
        <w:rPr>
          <w:rFonts w:cs="Arial"/>
        </w:rPr>
        <w:t xml:space="preserve">other Humber </w:t>
      </w:r>
      <w:r w:rsidRPr="00D326D4">
        <w:rPr>
          <w:rFonts w:cs="Arial"/>
        </w:rPr>
        <w:t>CCG</w:t>
      </w:r>
      <w:r w:rsidR="00537591" w:rsidRPr="00D326D4">
        <w:rPr>
          <w:rFonts w:cs="Arial"/>
        </w:rPr>
        <w:t>s</w:t>
      </w:r>
      <w:r w:rsidRPr="00D326D4">
        <w:rPr>
          <w:rFonts w:cs="Arial"/>
        </w:rPr>
        <w:t xml:space="preserve">, with the aim to ensure every </w:t>
      </w:r>
      <w:r w:rsidR="007A5632" w:rsidRPr="00D326D4">
        <w:rPr>
          <w:rFonts w:cs="Arial"/>
        </w:rPr>
        <w:t xml:space="preserve">eligible </w:t>
      </w:r>
      <w:r w:rsidRPr="00D326D4">
        <w:rPr>
          <w:rFonts w:cs="Arial"/>
        </w:rPr>
        <w:t xml:space="preserve">person can benefit from measurably improved outcomes and parity of experience. </w:t>
      </w:r>
    </w:p>
    <w:p w14:paraId="4DA5B8B3" w14:textId="0E59056A" w:rsidR="00D11D9F" w:rsidRPr="00D326D4" w:rsidRDefault="007A5632" w:rsidP="00753228">
      <w:pPr>
        <w:rPr>
          <w:rFonts w:cs="Arial"/>
        </w:rPr>
      </w:pPr>
      <w:r w:rsidRPr="00D326D4">
        <w:rPr>
          <w:rFonts w:cs="Arial"/>
        </w:rPr>
        <w:t>T</w:t>
      </w:r>
      <w:r w:rsidR="00D11D9F" w:rsidRPr="00D326D4">
        <w:rPr>
          <w:rFonts w:cs="Arial"/>
        </w:rPr>
        <w:t xml:space="preserve">he success of the new digital solutions for Personal Health Budgets and account management pilot, </w:t>
      </w:r>
      <w:r w:rsidR="00753228" w:rsidRPr="00D326D4">
        <w:rPr>
          <w:rFonts w:cs="Arial"/>
        </w:rPr>
        <w:t>has</w:t>
      </w:r>
      <w:r w:rsidR="00D11D9F" w:rsidRPr="00D326D4">
        <w:rPr>
          <w:rFonts w:cs="Arial"/>
        </w:rPr>
        <w:t xml:space="preserve"> organise</w:t>
      </w:r>
      <w:r w:rsidR="00753228" w:rsidRPr="00D326D4">
        <w:rPr>
          <w:rFonts w:cs="Arial"/>
        </w:rPr>
        <w:t>d</w:t>
      </w:r>
      <w:r w:rsidR="00D11D9F" w:rsidRPr="00D326D4">
        <w:rPr>
          <w:rFonts w:cs="Arial"/>
        </w:rPr>
        <w:t xml:space="preserve"> care and support easily and flexibly, minimising the impact on the daily life and routines of people and their families. The digital platform has increase</w:t>
      </w:r>
      <w:r w:rsidR="00753228" w:rsidRPr="00D326D4">
        <w:rPr>
          <w:rFonts w:cs="Arial"/>
        </w:rPr>
        <w:t>d</w:t>
      </w:r>
      <w:r w:rsidR="00D11D9F" w:rsidRPr="00D326D4">
        <w:rPr>
          <w:rFonts w:cs="Arial"/>
        </w:rPr>
        <w:t xml:space="preserve"> transparency and reduced the admin</w:t>
      </w:r>
      <w:r w:rsidR="00182081" w:rsidRPr="00D326D4">
        <w:rPr>
          <w:rFonts w:cs="Arial"/>
        </w:rPr>
        <w:t>istration</w:t>
      </w:r>
      <w:r w:rsidR="00753228" w:rsidRPr="00D326D4">
        <w:rPr>
          <w:rFonts w:cs="Arial"/>
        </w:rPr>
        <w:t xml:space="preserve"> </w:t>
      </w:r>
      <w:r w:rsidR="00D11D9F" w:rsidRPr="00D326D4">
        <w:rPr>
          <w:rFonts w:cs="Arial"/>
        </w:rPr>
        <w:t>and auditing burden for the PHB holder and the CCG</w:t>
      </w:r>
      <w:r w:rsidR="003C0B1D" w:rsidRPr="00D326D4">
        <w:rPr>
          <w:rFonts w:cs="Arial"/>
        </w:rPr>
        <w:t>, releasing</w:t>
      </w:r>
      <w:r w:rsidR="00D11D9F" w:rsidRPr="00D326D4">
        <w:rPr>
          <w:rFonts w:cs="Arial"/>
        </w:rPr>
        <w:t xml:space="preserve"> time and energy </w:t>
      </w:r>
      <w:r w:rsidR="003C0B1D" w:rsidRPr="00D326D4">
        <w:rPr>
          <w:rFonts w:cs="Arial"/>
        </w:rPr>
        <w:t>to</w:t>
      </w:r>
      <w:r w:rsidR="00D11D9F" w:rsidRPr="00D326D4">
        <w:rPr>
          <w:rFonts w:cs="Arial"/>
        </w:rPr>
        <w:t xml:space="preserve"> be fully focused on where it </w:t>
      </w:r>
      <w:r w:rsidR="00753228" w:rsidRPr="00D326D4">
        <w:rPr>
          <w:rFonts w:cs="Arial"/>
        </w:rPr>
        <w:t>matters</w:t>
      </w:r>
      <w:r w:rsidR="00D11D9F" w:rsidRPr="00D326D4">
        <w:rPr>
          <w:rFonts w:cs="Arial"/>
        </w:rPr>
        <w:t xml:space="preserve">. </w:t>
      </w:r>
    </w:p>
    <w:p w14:paraId="7684CE41" w14:textId="6E0FFBBA" w:rsidR="00D11D9F" w:rsidRPr="00D326D4" w:rsidRDefault="00753228" w:rsidP="00D11D9F">
      <w:pPr>
        <w:jc w:val="both"/>
        <w:rPr>
          <w:rFonts w:cs="Arial"/>
        </w:rPr>
      </w:pPr>
      <w:r w:rsidRPr="00D326D4">
        <w:rPr>
          <w:rFonts w:cs="Arial"/>
        </w:rPr>
        <w:t>T</w:t>
      </w:r>
      <w:r w:rsidR="00D11D9F" w:rsidRPr="00D326D4">
        <w:rPr>
          <w:rFonts w:cs="Arial"/>
        </w:rPr>
        <w:t>he CCG is fully compliant with the new NHS</w:t>
      </w:r>
      <w:r w:rsidRPr="00D326D4">
        <w:rPr>
          <w:rFonts w:cs="Arial"/>
        </w:rPr>
        <w:t xml:space="preserve"> </w:t>
      </w:r>
      <w:r w:rsidR="00D11D9F" w:rsidRPr="00D326D4">
        <w:rPr>
          <w:rFonts w:cs="Arial"/>
        </w:rPr>
        <w:t xml:space="preserve">England data reporting regime starting </w:t>
      </w:r>
      <w:r w:rsidRPr="00D326D4">
        <w:rPr>
          <w:rFonts w:cs="Arial"/>
        </w:rPr>
        <w:t xml:space="preserve">from </w:t>
      </w:r>
      <w:r w:rsidR="00D11D9F" w:rsidRPr="00D326D4">
        <w:rPr>
          <w:rFonts w:cs="Arial"/>
        </w:rPr>
        <w:t>April 2022</w:t>
      </w:r>
      <w:r w:rsidRPr="00D326D4">
        <w:rPr>
          <w:rFonts w:cs="Arial"/>
        </w:rPr>
        <w:t xml:space="preserve">. </w:t>
      </w:r>
      <w:r w:rsidR="00D11D9F" w:rsidRPr="00D326D4">
        <w:rPr>
          <w:rFonts w:cs="Arial"/>
        </w:rPr>
        <w:t xml:space="preserve">Discussions have started </w:t>
      </w:r>
      <w:r w:rsidRPr="00D326D4">
        <w:rPr>
          <w:rFonts w:cs="Arial"/>
        </w:rPr>
        <w:t>around</w:t>
      </w:r>
      <w:r w:rsidR="00D11D9F" w:rsidRPr="00D326D4">
        <w:rPr>
          <w:rFonts w:cs="Arial"/>
        </w:rPr>
        <w:t xml:space="preserve"> developing an online </w:t>
      </w:r>
      <w:r w:rsidRPr="00D326D4">
        <w:rPr>
          <w:rFonts w:cs="Arial"/>
        </w:rPr>
        <w:t>CHC</w:t>
      </w:r>
      <w:r w:rsidR="00D11D9F" w:rsidRPr="00D326D4">
        <w:rPr>
          <w:rFonts w:cs="Arial"/>
        </w:rPr>
        <w:t xml:space="preserve"> referral portal, with the aim of improving </w:t>
      </w:r>
      <w:r w:rsidRPr="00D326D4">
        <w:rPr>
          <w:rFonts w:cs="Arial"/>
        </w:rPr>
        <w:t xml:space="preserve">local </w:t>
      </w:r>
      <w:r w:rsidR="00D11D9F" w:rsidRPr="00D326D4">
        <w:rPr>
          <w:rFonts w:cs="Arial"/>
        </w:rPr>
        <w:t xml:space="preserve">access to </w:t>
      </w:r>
      <w:r w:rsidRPr="00D326D4">
        <w:rPr>
          <w:rFonts w:cs="Arial"/>
        </w:rPr>
        <w:t>CHC</w:t>
      </w:r>
      <w:r w:rsidR="00D11D9F" w:rsidRPr="00D326D4">
        <w:rPr>
          <w:rFonts w:cs="Arial"/>
        </w:rPr>
        <w:t xml:space="preserve"> and Children </w:t>
      </w:r>
      <w:r w:rsidRPr="00D326D4">
        <w:rPr>
          <w:rFonts w:cs="Arial"/>
        </w:rPr>
        <w:t>and</w:t>
      </w:r>
      <w:r w:rsidR="00D11D9F" w:rsidRPr="00D326D4">
        <w:rPr>
          <w:rFonts w:cs="Arial"/>
        </w:rPr>
        <w:t xml:space="preserve"> Young People</w:t>
      </w:r>
      <w:r w:rsidR="00182081" w:rsidRPr="00D326D4">
        <w:rPr>
          <w:rFonts w:cs="Arial"/>
        </w:rPr>
        <w:t>’</w:t>
      </w:r>
      <w:r w:rsidR="00D11D9F" w:rsidRPr="00D326D4">
        <w:rPr>
          <w:rFonts w:cs="Arial"/>
        </w:rPr>
        <w:t>s Continuing Care.</w:t>
      </w:r>
    </w:p>
    <w:p w14:paraId="5FE98773" w14:textId="77777777" w:rsidR="00D11D9F" w:rsidRPr="00D326D4" w:rsidRDefault="00D11D9F" w:rsidP="00D83CCA">
      <w:pPr>
        <w:spacing w:after="0"/>
        <w:rPr>
          <w:rFonts w:eastAsia="Calibri" w:cs="Arial"/>
          <w:b/>
          <w:bCs/>
          <w:szCs w:val="24"/>
        </w:rPr>
      </w:pPr>
      <w:r w:rsidRPr="00D326D4">
        <w:rPr>
          <w:rFonts w:eastAsia="Calibri" w:cs="Arial"/>
          <w:b/>
          <w:bCs/>
          <w:szCs w:val="24"/>
        </w:rPr>
        <w:t>Commissioning for Quality and Innovation (CQUINs)</w:t>
      </w:r>
    </w:p>
    <w:p w14:paraId="1CFE4017" w14:textId="29FD4D32" w:rsidR="00D11D9F" w:rsidRPr="00D326D4" w:rsidRDefault="00D11D9F" w:rsidP="00D83CCA">
      <w:pPr>
        <w:rPr>
          <w:rFonts w:eastAsia="Calibri" w:cs="Arial"/>
          <w:szCs w:val="24"/>
        </w:rPr>
      </w:pPr>
      <w:r w:rsidRPr="00D326D4">
        <w:rPr>
          <w:rFonts w:eastAsia="Calibri" w:cs="Arial"/>
          <w:szCs w:val="24"/>
        </w:rPr>
        <w:t xml:space="preserve">CQUIN schemes are designed to deliver clinical quality improvements and drive transformational change.  During the pandemic CQUIN schemes were suspended, </w:t>
      </w:r>
      <w:r w:rsidR="00D83CCA" w:rsidRPr="00D326D4">
        <w:rPr>
          <w:rFonts w:eastAsia="Calibri" w:cs="Arial"/>
          <w:szCs w:val="24"/>
        </w:rPr>
        <w:t xml:space="preserve">and then </w:t>
      </w:r>
      <w:r w:rsidRPr="00D326D4">
        <w:rPr>
          <w:rFonts w:eastAsia="Calibri" w:cs="Arial"/>
          <w:szCs w:val="24"/>
        </w:rPr>
        <w:t xml:space="preserve">reintroduced for 2021-22 by NHS England. </w:t>
      </w:r>
      <w:r w:rsidR="00D83CCA" w:rsidRPr="00D326D4">
        <w:rPr>
          <w:rFonts w:eastAsia="Calibri" w:cs="Arial"/>
          <w:szCs w:val="24"/>
        </w:rPr>
        <w:t>We</w:t>
      </w:r>
      <w:r w:rsidRPr="00D326D4">
        <w:rPr>
          <w:rFonts w:eastAsia="Calibri" w:cs="Arial"/>
          <w:szCs w:val="24"/>
        </w:rPr>
        <w:t xml:space="preserve"> are working with larger providers </w:t>
      </w:r>
      <w:r w:rsidR="00D83CCA" w:rsidRPr="00D326D4">
        <w:rPr>
          <w:rFonts w:eastAsia="Calibri" w:cs="Arial"/>
          <w:szCs w:val="24"/>
        </w:rPr>
        <w:t>to agree</w:t>
      </w:r>
      <w:r w:rsidRPr="00D326D4">
        <w:rPr>
          <w:rFonts w:eastAsia="Calibri" w:cs="Arial"/>
          <w:szCs w:val="24"/>
        </w:rPr>
        <w:t xml:space="preserve"> CQUINs to support quality and innovation in patient care and embed best practice learning. </w:t>
      </w:r>
    </w:p>
    <w:p w14:paraId="60ED68C0" w14:textId="77777777" w:rsidR="00D11D9F" w:rsidRPr="00D326D4" w:rsidRDefault="00D11D9F" w:rsidP="00D11D9F">
      <w:pPr>
        <w:spacing w:after="0"/>
        <w:jc w:val="both"/>
        <w:rPr>
          <w:rFonts w:eastAsia="Calibri" w:cs="Arial"/>
          <w:b/>
          <w:bCs/>
          <w:szCs w:val="24"/>
        </w:rPr>
      </w:pPr>
      <w:bookmarkStart w:id="49" w:name="_Hlk98332577"/>
      <w:r w:rsidRPr="00D326D4">
        <w:rPr>
          <w:rFonts w:eastAsia="Calibri" w:cs="Arial"/>
          <w:b/>
          <w:bCs/>
          <w:szCs w:val="24"/>
        </w:rPr>
        <w:t>Primary Care</w:t>
      </w:r>
    </w:p>
    <w:p w14:paraId="6E56BA44" w14:textId="77777777" w:rsidR="003D1548" w:rsidRPr="00D326D4" w:rsidRDefault="00D11D9F" w:rsidP="003D1548">
      <w:pPr>
        <w:spacing w:after="0"/>
        <w:rPr>
          <w:rFonts w:eastAsia="Calibri" w:cs="Arial"/>
          <w:szCs w:val="24"/>
        </w:rPr>
      </w:pPr>
      <w:r w:rsidRPr="00D326D4">
        <w:rPr>
          <w:rFonts w:eastAsia="Calibri" w:cs="Arial"/>
          <w:szCs w:val="24"/>
        </w:rPr>
        <w:t xml:space="preserve">The CCG </w:t>
      </w:r>
      <w:r w:rsidR="00D83CCA" w:rsidRPr="00D326D4">
        <w:rPr>
          <w:rFonts w:eastAsia="Calibri" w:cs="Arial"/>
          <w:szCs w:val="24"/>
        </w:rPr>
        <w:t>remains</w:t>
      </w:r>
      <w:r w:rsidRPr="00D326D4">
        <w:rPr>
          <w:rFonts w:eastAsia="Calibri" w:cs="Arial"/>
          <w:szCs w:val="24"/>
        </w:rPr>
        <w:t xml:space="preserve"> committed to strengthening support to PCNs and Lead Nurses </w:t>
      </w:r>
      <w:r w:rsidR="00D83CCA" w:rsidRPr="00D326D4">
        <w:rPr>
          <w:rFonts w:eastAsia="Calibri" w:cs="Arial"/>
          <w:szCs w:val="24"/>
        </w:rPr>
        <w:t>for</w:t>
      </w:r>
      <w:r w:rsidRPr="00D326D4">
        <w:rPr>
          <w:rFonts w:eastAsia="Calibri" w:cs="Arial"/>
          <w:szCs w:val="24"/>
        </w:rPr>
        <w:t xml:space="preserve"> recruitment and training through regu</w:t>
      </w:r>
      <w:r w:rsidR="00D83CCA" w:rsidRPr="00D326D4">
        <w:rPr>
          <w:rFonts w:eastAsia="Calibri" w:cs="Arial"/>
          <w:szCs w:val="24"/>
        </w:rPr>
        <w:t>la</w:t>
      </w:r>
      <w:r w:rsidRPr="00D326D4">
        <w:rPr>
          <w:rFonts w:eastAsia="Calibri" w:cs="Arial"/>
          <w:szCs w:val="24"/>
        </w:rPr>
        <w:t xml:space="preserve">r lead nurse meetings. Further progress </w:t>
      </w:r>
      <w:r w:rsidR="00D83CCA" w:rsidRPr="00D326D4">
        <w:rPr>
          <w:rFonts w:eastAsia="Calibri" w:cs="Arial"/>
          <w:szCs w:val="24"/>
        </w:rPr>
        <w:t>includes</w:t>
      </w:r>
      <w:r w:rsidRPr="00D326D4">
        <w:rPr>
          <w:rFonts w:eastAsia="Calibri" w:cs="Arial"/>
          <w:szCs w:val="24"/>
        </w:rPr>
        <w:t xml:space="preserve"> developing and supporting Trainee Nurse Associates (TNAs)  and newly registered nurses via the GPN Development Scheme and assisting registered nurses to become nurse practitioners.</w:t>
      </w:r>
      <w:r w:rsidRPr="00D326D4">
        <w:t xml:space="preserve"> </w:t>
      </w:r>
      <w:r w:rsidRPr="00D326D4">
        <w:rPr>
          <w:rFonts w:eastAsia="Calibri" w:cs="Arial"/>
          <w:szCs w:val="24"/>
        </w:rPr>
        <w:t>Working with primary care the CCG has supported the training needs</w:t>
      </w:r>
      <w:r w:rsidR="00D83CCA" w:rsidRPr="00D326D4">
        <w:rPr>
          <w:rFonts w:eastAsia="Calibri" w:cs="Arial"/>
          <w:szCs w:val="24"/>
        </w:rPr>
        <w:t xml:space="preserve"> anlaysis</w:t>
      </w:r>
      <w:r w:rsidRPr="00D326D4">
        <w:rPr>
          <w:rFonts w:eastAsia="Calibri" w:cs="Arial"/>
          <w:szCs w:val="24"/>
        </w:rPr>
        <w:t xml:space="preserve">, </w:t>
      </w:r>
      <w:r w:rsidR="00D83CCA" w:rsidRPr="00D326D4">
        <w:rPr>
          <w:rFonts w:eastAsia="Calibri" w:cs="Arial"/>
          <w:szCs w:val="24"/>
        </w:rPr>
        <w:t>to</w:t>
      </w:r>
      <w:r w:rsidRPr="00D326D4">
        <w:rPr>
          <w:rFonts w:eastAsia="Calibri" w:cs="Arial"/>
          <w:szCs w:val="24"/>
        </w:rPr>
        <w:t xml:space="preserve"> further workforce development such as additional Advanced Nursing </w:t>
      </w:r>
      <w:r w:rsidR="003D1548" w:rsidRPr="00D326D4">
        <w:rPr>
          <w:rFonts w:eastAsia="Calibri" w:cs="Arial"/>
          <w:szCs w:val="24"/>
        </w:rPr>
        <w:t>P</w:t>
      </w:r>
      <w:r w:rsidRPr="00D326D4">
        <w:rPr>
          <w:rFonts w:eastAsia="Calibri" w:cs="Arial"/>
          <w:szCs w:val="24"/>
        </w:rPr>
        <w:t>ractitioners and Advance Phlebotomists.</w:t>
      </w:r>
      <w:bookmarkEnd w:id="49"/>
    </w:p>
    <w:p w14:paraId="1D8DD8AC" w14:textId="31FA6739" w:rsidR="00D11D9F" w:rsidRPr="00D326D4" w:rsidRDefault="00D11D9F" w:rsidP="003D1548">
      <w:pPr>
        <w:spacing w:after="0"/>
        <w:rPr>
          <w:rFonts w:eastAsia="Calibri" w:cs="Arial"/>
          <w:szCs w:val="24"/>
        </w:rPr>
      </w:pPr>
      <w:r w:rsidRPr="00D326D4">
        <w:rPr>
          <w:rFonts w:eastAsia="Calibri" w:cs="Arial"/>
          <w:b/>
          <w:bCs/>
          <w:szCs w:val="24"/>
        </w:rPr>
        <w:t xml:space="preserve">Personalisation </w:t>
      </w:r>
    </w:p>
    <w:p w14:paraId="65BDF3FB" w14:textId="1E243ADD" w:rsidR="00D11D9F" w:rsidRPr="00D326D4" w:rsidRDefault="00831C87" w:rsidP="00831C87">
      <w:pPr>
        <w:rPr>
          <w:rFonts w:cs="Arial"/>
        </w:rPr>
      </w:pPr>
      <w:r w:rsidRPr="00D326D4">
        <w:rPr>
          <w:rFonts w:cs="Arial"/>
        </w:rPr>
        <w:t>This year we</w:t>
      </w:r>
      <w:r w:rsidR="00D11D9F" w:rsidRPr="00D326D4">
        <w:rPr>
          <w:rFonts w:cs="Arial"/>
        </w:rPr>
        <w:t xml:space="preserve"> successfully piloted the Virtual Wallet, a digital Personal Health Budget </w:t>
      </w:r>
      <w:r w:rsidRPr="00D326D4">
        <w:rPr>
          <w:rFonts w:cs="Arial"/>
        </w:rPr>
        <w:t>project</w:t>
      </w:r>
      <w:r w:rsidR="00D11D9F" w:rsidRPr="00D326D4">
        <w:rPr>
          <w:rFonts w:cs="Arial"/>
        </w:rPr>
        <w:t>. Supported for a further 12-month period</w:t>
      </w:r>
      <w:r w:rsidRPr="00D326D4">
        <w:rPr>
          <w:rFonts w:cs="Arial"/>
        </w:rPr>
        <w:t>,</w:t>
      </w:r>
      <w:r w:rsidR="00D11D9F" w:rsidRPr="00D326D4">
        <w:rPr>
          <w:rFonts w:cs="Arial"/>
        </w:rPr>
        <w:t xml:space="preserve"> this commitment ensure</w:t>
      </w:r>
      <w:r w:rsidRPr="00D326D4">
        <w:rPr>
          <w:rFonts w:cs="Arial"/>
        </w:rPr>
        <w:t>s</w:t>
      </w:r>
      <w:r w:rsidR="00D11D9F" w:rsidRPr="00D326D4">
        <w:rPr>
          <w:rFonts w:cs="Arial"/>
        </w:rPr>
        <w:t xml:space="preserve"> continuity for </w:t>
      </w:r>
      <w:r w:rsidRPr="00D326D4">
        <w:rPr>
          <w:rFonts w:cs="Arial"/>
        </w:rPr>
        <w:t>existing users</w:t>
      </w:r>
      <w:r w:rsidR="00D11D9F" w:rsidRPr="00D326D4">
        <w:rPr>
          <w:rFonts w:cs="Arial"/>
        </w:rPr>
        <w:t xml:space="preserve">, </w:t>
      </w:r>
      <w:r w:rsidRPr="00D326D4">
        <w:rPr>
          <w:rFonts w:cs="Arial"/>
        </w:rPr>
        <w:t>and</w:t>
      </w:r>
      <w:r w:rsidR="00D11D9F" w:rsidRPr="00D326D4">
        <w:rPr>
          <w:rFonts w:cs="Arial"/>
        </w:rPr>
        <w:t xml:space="preserve"> greater opportunity to maximise its </w:t>
      </w:r>
      <w:r w:rsidRPr="00D326D4">
        <w:rPr>
          <w:rFonts w:cs="Arial"/>
        </w:rPr>
        <w:t>use</w:t>
      </w:r>
      <w:r w:rsidR="00D11D9F" w:rsidRPr="00D326D4">
        <w:rPr>
          <w:rFonts w:cs="Arial"/>
        </w:rPr>
        <w:t xml:space="preserve"> across NHS Funded Care pathways.</w:t>
      </w:r>
    </w:p>
    <w:p w14:paraId="4345D88C" w14:textId="42428797" w:rsidR="00D11D9F" w:rsidRDefault="00831C87" w:rsidP="004A2E92">
      <w:pPr>
        <w:rPr>
          <w:rFonts w:cs="Arial"/>
        </w:rPr>
      </w:pPr>
      <w:r w:rsidRPr="00D326D4">
        <w:rPr>
          <w:rFonts w:cs="Arial"/>
        </w:rPr>
        <w:t>We have</w:t>
      </w:r>
      <w:r w:rsidR="00D11D9F" w:rsidRPr="00D326D4">
        <w:rPr>
          <w:rFonts w:cs="Arial"/>
        </w:rPr>
        <w:t xml:space="preserve"> further strengthened </w:t>
      </w:r>
      <w:r w:rsidR="004A2E92" w:rsidRPr="00D326D4">
        <w:rPr>
          <w:rFonts w:cs="Arial"/>
        </w:rPr>
        <w:t>the</w:t>
      </w:r>
      <w:r w:rsidR="00D11D9F" w:rsidRPr="00D326D4">
        <w:rPr>
          <w:rFonts w:cs="Arial"/>
        </w:rPr>
        <w:t xml:space="preserve"> Personal Health Budget offer for people eligible for Section 117 aftercare</w:t>
      </w:r>
      <w:r w:rsidR="004A2E92" w:rsidRPr="00D326D4">
        <w:rPr>
          <w:rFonts w:cs="Arial"/>
        </w:rPr>
        <w:t>,</w:t>
      </w:r>
      <w:r w:rsidR="00D11D9F" w:rsidRPr="00D326D4">
        <w:rPr>
          <w:rFonts w:cs="Arial"/>
        </w:rPr>
        <w:t xml:space="preserve"> and living in the community. Further engagement has taken place with </w:t>
      </w:r>
      <w:r w:rsidR="004A2E92" w:rsidRPr="00D326D4">
        <w:rPr>
          <w:rFonts w:cs="Arial"/>
        </w:rPr>
        <w:t>our</w:t>
      </w:r>
      <w:r w:rsidR="00D11D9F" w:rsidRPr="00D326D4">
        <w:rPr>
          <w:rFonts w:cs="Arial"/>
        </w:rPr>
        <w:t xml:space="preserve"> local </w:t>
      </w:r>
      <w:r w:rsidR="004A2E92" w:rsidRPr="00D326D4">
        <w:rPr>
          <w:rFonts w:cs="Arial"/>
        </w:rPr>
        <w:t>v</w:t>
      </w:r>
      <w:r w:rsidR="00D11D9F" w:rsidRPr="00D326D4">
        <w:rPr>
          <w:rFonts w:cs="Arial"/>
        </w:rPr>
        <w:t>oluntary sector to develop advice and</w:t>
      </w:r>
      <w:r w:rsidR="00D11D9F" w:rsidRPr="00EB2FA5">
        <w:rPr>
          <w:rFonts w:cs="Arial"/>
        </w:rPr>
        <w:t xml:space="preserve"> support </w:t>
      </w:r>
      <w:r w:rsidR="004A2E92">
        <w:rPr>
          <w:rFonts w:cs="Arial"/>
        </w:rPr>
        <w:t>that</w:t>
      </w:r>
      <w:r w:rsidR="00D11D9F" w:rsidRPr="00EB2FA5">
        <w:rPr>
          <w:rFonts w:cs="Arial"/>
        </w:rPr>
        <w:t xml:space="preserve"> reflects the needs of the local community, </w:t>
      </w:r>
      <w:r w:rsidR="004A2E92">
        <w:rPr>
          <w:rFonts w:cs="Arial"/>
        </w:rPr>
        <w:t>and</w:t>
      </w:r>
      <w:r w:rsidR="00D11D9F" w:rsidRPr="00EB2FA5">
        <w:rPr>
          <w:rFonts w:cs="Arial"/>
        </w:rPr>
        <w:t xml:space="preserve"> that personalisation remains the golden thread </w:t>
      </w:r>
      <w:r w:rsidR="004A2E92">
        <w:rPr>
          <w:rFonts w:cs="Arial"/>
        </w:rPr>
        <w:t>that links us</w:t>
      </w:r>
      <w:r w:rsidR="00D11D9F" w:rsidRPr="00EB2FA5">
        <w:rPr>
          <w:rFonts w:cs="Arial"/>
        </w:rPr>
        <w:t xml:space="preserve"> with our local communities </w:t>
      </w:r>
      <w:r w:rsidR="004A2E92">
        <w:rPr>
          <w:rFonts w:cs="Arial"/>
        </w:rPr>
        <w:t>and</w:t>
      </w:r>
      <w:r w:rsidR="00D11D9F" w:rsidRPr="00EB2FA5">
        <w:rPr>
          <w:rFonts w:cs="Arial"/>
        </w:rPr>
        <w:t xml:space="preserve"> meet the needs of local people.</w:t>
      </w:r>
      <w:r w:rsidR="00D11D9F">
        <w:rPr>
          <w:rFonts w:cs="Arial"/>
        </w:rPr>
        <w:t xml:space="preserve"> W</w:t>
      </w:r>
      <w:r w:rsidR="00D11D9F" w:rsidRPr="007321D8">
        <w:rPr>
          <w:rFonts w:cs="Arial"/>
        </w:rPr>
        <w:t xml:space="preserve">omen accessing maternity services </w:t>
      </w:r>
      <w:r w:rsidR="00D11D9F">
        <w:rPr>
          <w:rFonts w:cs="Arial"/>
        </w:rPr>
        <w:t>are now</w:t>
      </w:r>
      <w:r w:rsidR="00D11D9F" w:rsidRPr="007321D8">
        <w:rPr>
          <w:rFonts w:cs="Arial"/>
        </w:rPr>
        <w:t xml:space="preserve"> experienc</w:t>
      </w:r>
      <w:r w:rsidR="00D11D9F">
        <w:rPr>
          <w:rFonts w:cs="Arial"/>
        </w:rPr>
        <w:t>ing</w:t>
      </w:r>
      <w:r w:rsidR="00D11D9F" w:rsidRPr="007321D8">
        <w:rPr>
          <w:rFonts w:cs="Arial"/>
        </w:rPr>
        <w:t xml:space="preserve"> improved access to personalised birth planning, across Hull and the East Riding</w:t>
      </w:r>
      <w:r w:rsidR="00D11D9F">
        <w:rPr>
          <w:rFonts w:cs="Arial"/>
        </w:rPr>
        <w:t>.</w:t>
      </w:r>
    </w:p>
    <w:p w14:paraId="69915011" w14:textId="3C899AEB" w:rsidR="00D11D9F" w:rsidRPr="007321D8" w:rsidRDefault="004A2E92" w:rsidP="004A2E92">
      <w:pPr>
        <w:rPr>
          <w:rFonts w:cs="Arial"/>
        </w:rPr>
      </w:pPr>
      <w:r>
        <w:rPr>
          <w:rFonts w:cs="Arial"/>
        </w:rPr>
        <w:t xml:space="preserve">The </w:t>
      </w:r>
      <w:r w:rsidR="00D11D9F" w:rsidRPr="007321D8">
        <w:rPr>
          <w:rFonts w:cs="Arial"/>
        </w:rPr>
        <w:t xml:space="preserve">CCG continues to work with NHSE </w:t>
      </w:r>
      <w:r w:rsidR="00182081">
        <w:rPr>
          <w:rFonts w:cs="Arial"/>
        </w:rPr>
        <w:t>to identify</w:t>
      </w:r>
      <w:r w:rsidR="00D11D9F" w:rsidRPr="007321D8">
        <w:rPr>
          <w:rFonts w:cs="Arial"/>
        </w:rPr>
        <w:t xml:space="preserve"> opportunities to support the roll out of </w:t>
      </w:r>
      <w:r w:rsidR="00182081">
        <w:rPr>
          <w:rFonts w:cs="Arial"/>
        </w:rPr>
        <w:t>p</w:t>
      </w:r>
      <w:r w:rsidR="00D11D9F" w:rsidRPr="007321D8">
        <w:rPr>
          <w:rFonts w:cs="Arial"/>
        </w:rPr>
        <w:t>ersonalisation across all aspects of healthcare</w:t>
      </w:r>
      <w:r>
        <w:rPr>
          <w:rFonts w:cs="Arial"/>
        </w:rPr>
        <w:t>. A</w:t>
      </w:r>
      <w:r w:rsidR="00D11D9F" w:rsidRPr="007321D8">
        <w:rPr>
          <w:rFonts w:cs="Arial"/>
        </w:rPr>
        <w:t xml:space="preserve"> new regional personalisation group </w:t>
      </w:r>
      <w:r>
        <w:rPr>
          <w:rFonts w:cs="Arial"/>
        </w:rPr>
        <w:t>identifies</w:t>
      </w:r>
      <w:r w:rsidR="00D11D9F" w:rsidRPr="007321D8">
        <w:rPr>
          <w:rFonts w:cs="Arial"/>
        </w:rPr>
        <w:t xml:space="preserve"> opportunities and engage</w:t>
      </w:r>
      <w:r>
        <w:rPr>
          <w:rFonts w:cs="Arial"/>
        </w:rPr>
        <w:t>s</w:t>
      </w:r>
      <w:r w:rsidR="00D11D9F" w:rsidRPr="007321D8">
        <w:rPr>
          <w:rFonts w:cs="Arial"/>
        </w:rPr>
        <w:t xml:space="preserve"> with NHSE </w:t>
      </w:r>
      <w:r>
        <w:rPr>
          <w:rFonts w:cs="Arial"/>
        </w:rPr>
        <w:t>for resources and</w:t>
      </w:r>
      <w:r w:rsidR="00D11D9F" w:rsidRPr="007321D8">
        <w:rPr>
          <w:rFonts w:cs="Arial"/>
        </w:rPr>
        <w:t xml:space="preserve"> initiatives </w:t>
      </w:r>
      <w:r>
        <w:rPr>
          <w:rFonts w:cs="Arial"/>
        </w:rPr>
        <w:t>to</w:t>
      </w:r>
      <w:r w:rsidR="00D11D9F" w:rsidRPr="007321D8">
        <w:rPr>
          <w:rFonts w:cs="Arial"/>
        </w:rPr>
        <w:t xml:space="preserve"> benefit the people of Hull and the region.</w:t>
      </w:r>
    </w:p>
    <w:p w14:paraId="06B99AE2" w14:textId="77777777" w:rsidR="00D11D9F" w:rsidRDefault="00D11D9F" w:rsidP="00D11D9F">
      <w:pPr>
        <w:jc w:val="both"/>
        <w:rPr>
          <w:rFonts w:cs="Arial"/>
        </w:rPr>
      </w:pPr>
    </w:p>
    <w:p w14:paraId="3CE5D510" w14:textId="4AD97D3B" w:rsidR="000861D3" w:rsidRPr="00A558A4" w:rsidRDefault="000861D3" w:rsidP="00B66DE2">
      <w:pPr>
        <w:tabs>
          <w:tab w:val="clear" w:pos="2835"/>
          <w:tab w:val="clear" w:pos="5670"/>
          <w:tab w:val="clear" w:pos="9016"/>
        </w:tabs>
        <w:spacing w:before="0" w:after="200" w:line="240" w:lineRule="auto"/>
        <w:rPr>
          <w:rFonts w:eastAsia="Arial" w:cs="Arial"/>
          <w:b/>
          <w:bCs/>
          <w:color w:val="4F81BD" w:themeColor="accent1"/>
        </w:rPr>
      </w:pPr>
    </w:p>
    <w:p w14:paraId="2E2128A1" w14:textId="74A65068" w:rsidR="000E0762" w:rsidRPr="00182081" w:rsidRDefault="003F0FF9" w:rsidP="003C0B1D">
      <w:pPr>
        <w:pStyle w:val="NoSpacing"/>
        <w:rPr>
          <w:rFonts w:eastAsia="Arial"/>
          <w:szCs w:val="24"/>
          <w:lang w:val="en-US"/>
        </w:rPr>
      </w:pPr>
      <w:bookmarkStart w:id="50" w:name="_Hlk65846432"/>
      <w:r>
        <w:rPr>
          <w:rStyle w:val="Heading2Char"/>
        </w:rPr>
        <w:br w:type="page"/>
      </w:r>
      <w:bookmarkStart w:id="51" w:name="_Toc103695033"/>
      <w:r w:rsidR="00AC01FD" w:rsidRPr="003C0B1D">
        <w:rPr>
          <w:rStyle w:val="Heading2Char"/>
          <w:b/>
        </w:rPr>
        <w:lastRenderedPageBreak/>
        <w:t>Action to r</w:t>
      </w:r>
      <w:r w:rsidR="00100763" w:rsidRPr="003C0B1D">
        <w:rPr>
          <w:rStyle w:val="Heading2Char"/>
          <w:b/>
        </w:rPr>
        <w:t>educ</w:t>
      </w:r>
      <w:r w:rsidR="00AC01FD" w:rsidRPr="003C0B1D">
        <w:rPr>
          <w:rStyle w:val="Heading2Char"/>
          <w:b/>
        </w:rPr>
        <w:t>e</w:t>
      </w:r>
      <w:r w:rsidR="000F5479" w:rsidRPr="003C0B1D">
        <w:rPr>
          <w:rStyle w:val="Heading2Char"/>
          <w:b/>
        </w:rPr>
        <w:t xml:space="preserve"> health </w:t>
      </w:r>
      <w:r w:rsidR="000F5479" w:rsidRPr="00182081">
        <w:rPr>
          <w:rStyle w:val="Heading2Char"/>
          <w:b/>
        </w:rPr>
        <w:t>inequalities</w:t>
      </w:r>
      <w:bookmarkEnd w:id="47"/>
      <w:bookmarkEnd w:id="48"/>
      <w:bookmarkEnd w:id="51"/>
      <w:r w:rsidR="00746AC3" w:rsidRPr="00182081">
        <w:rPr>
          <w:szCs w:val="24"/>
        </w:rPr>
        <w:t xml:space="preserve"> </w:t>
      </w:r>
      <w:bookmarkStart w:id="52" w:name="_Toc512957152"/>
      <w:r w:rsidR="000E0762" w:rsidRPr="00182081">
        <w:rPr>
          <w:szCs w:val="24"/>
        </w:rPr>
        <w:t>in Hull 2021-22</w:t>
      </w:r>
      <w:r w:rsidR="0009251C" w:rsidRPr="00182081">
        <w:rPr>
          <w:szCs w:val="24"/>
        </w:rPr>
        <w:t xml:space="preserve"> </w:t>
      </w:r>
    </w:p>
    <w:p w14:paraId="2E6F6F67" w14:textId="2ADAB973" w:rsidR="000E0762" w:rsidRDefault="000E0762" w:rsidP="000E0762">
      <w:pPr>
        <w:rPr>
          <w:rFonts w:cs="Arial"/>
        </w:rPr>
      </w:pPr>
      <w:r>
        <w:rPr>
          <w:rFonts w:cs="Arial"/>
        </w:rPr>
        <w:t xml:space="preserve">The COVID-19 pandemic has continued to illustrate the gap between the least deprived and the most deprived communities. NHS Hull CCG serves a population that is in the fourth-most deprived local authority in England. As a result, health inequalities continued to be be a focus of the work of the CCG and the local system, with the aim of continuing to try to reduce the gap. In the last year the CCG has been a leader in working towards this aim. </w:t>
      </w:r>
    </w:p>
    <w:p w14:paraId="041195F8" w14:textId="4ABE5C82" w:rsidR="000E0762" w:rsidRDefault="000E0762" w:rsidP="000E0762">
      <w:pPr>
        <w:rPr>
          <w:rFonts w:cs="Arial"/>
        </w:rPr>
      </w:pPr>
      <w:r>
        <w:rPr>
          <w:rFonts w:cs="Arial"/>
        </w:rPr>
        <w:t xml:space="preserve">The CCG continues to be a </w:t>
      </w:r>
      <w:r w:rsidR="00182081">
        <w:rPr>
          <w:rFonts w:cs="Arial"/>
        </w:rPr>
        <w:t xml:space="preserve">key </w:t>
      </w:r>
      <w:r>
        <w:rPr>
          <w:rFonts w:cs="Arial"/>
        </w:rPr>
        <w:t xml:space="preserve">member of the Hull Health and Wellbeing Board (HWB); which is a partnership </w:t>
      </w:r>
      <w:r w:rsidR="00182081">
        <w:rPr>
          <w:rFonts w:cs="Arial"/>
        </w:rPr>
        <w:t>b</w:t>
      </w:r>
      <w:r>
        <w:rPr>
          <w:rFonts w:cs="Arial"/>
        </w:rPr>
        <w:t>oard and statutory committee of Hull City Council. Some of the members of the Hull Health and Wellbeing Board contribute content to the Annual Report, and, as part of its annual work plan, the Board formally considers the CCG’s Annual Report and Accounts each year.</w:t>
      </w:r>
    </w:p>
    <w:p w14:paraId="31B2EC83" w14:textId="77777777" w:rsidR="000E0762" w:rsidRDefault="000E0762" w:rsidP="000E0762">
      <w:pPr>
        <w:pStyle w:val="NoSpacing"/>
        <w:spacing w:line="276" w:lineRule="auto"/>
        <w:rPr>
          <w:rFonts w:cs="Arial"/>
          <w:color w:val="auto"/>
          <w:sz w:val="22"/>
        </w:rPr>
      </w:pPr>
      <w:r>
        <w:rPr>
          <w:rFonts w:cs="Arial"/>
          <w:color w:val="auto"/>
          <w:sz w:val="22"/>
        </w:rPr>
        <w:t>Social determinants of health</w:t>
      </w:r>
    </w:p>
    <w:p w14:paraId="382837E1" w14:textId="02241081" w:rsidR="000E0762" w:rsidRDefault="000E0762" w:rsidP="000E0762">
      <w:pPr>
        <w:rPr>
          <w:rFonts w:cs="Arial"/>
        </w:rPr>
      </w:pPr>
      <w:r>
        <w:rPr>
          <w:rFonts w:cs="Arial"/>
        </w:rPr>
        <w:t xml:space="preserve">The CCG is a </w:t>
      </w:r>
      <w:r w:rsidR="00182081">
        <w:rPr>
          <w:rFonts w:cs="Arial"/>
        </w:rPr>
        <w:t>strategically important</w:t>
      </w:r>
      <w:r>
        <w:rPr>
          <w:rFonts w:cs="Arial"/>
        </w:rPr>
        <w:t xml:space="preserve"> partner in the local system, working with the local authority, and other partner organisations to tackle the social determinants of health as many require a multi-agency approach. However, equitable access to high quality health services is clearly within the remit and control of the CCG. The CCG has taken an number of actions in the last year which work to address some of the inequalities and inequities that have not </w:t>
      </w:r>
      <w:r w:rsidR="000E7A75">
        <w:rPr>
          <w:rFonts w:cs="Arial"/>
        </w:rPr>
        <w:t xml:space="preserve">yet </w:t>
      </w:r>
      <w:r>
        <w:rPr>
          <w:rFonts w:cs="Arial"/>
        </w:rPr>
        <w:t>been addressed</w:t>
      </w:r>
      <w:r w:rsidR="000E7A75">
        <w:rPr>
          <w:rFonts w:cs="Arial"/>
        </w:rPr>
        <w:t>. N</w:t>
      </w:r>
      <w:r>
        <w:rPr>
          <w:rFonts w:cs="Arial"/>
        </w:rPr>
        <w:t xml:space="preserve">otable groups that have been actively considered </w:t>
      </w:r>
      <w:r w:rsidR="000E7A75">
        <w:rPr>
          <w:rFonts w:cs="Arial"/>
        </w:rPr>
        <w:t xml:space="preserve">during 2021-22 </w:t>
      </w:r>
      <w:r>
        <w:rPr>
          <w:rFonts w:cs="Arial"/>
        </w:rPr>
        <w:t xml:space="preserve">are people with a </w:t>
      </w:r>
      <w:r w:rsidR="000E7A75">
        <w:rPr>
          <w:rFonts w:cs="Arial"/>
        </w:rPr>
        <w:t>l</w:t>
      </w:r>
      <w:r>
        <w:rPr>
          <w:rFonts w:cs="Arial"/>
        </w:rPr>
        <w:t xml:space="preserve">earning </w:t>
      </w:r>
      <w:r w:rsidR="000E7A75">
        <w:rPr>
          <w:rFonts w:cs="Arial"/>
        </w:rPr>
        <w:t>d</w:t>
      </w:r>
      <w:r>
        <w:rPr>
          <w:rFonts w:cs="Arial"/>
        </w:rPr>
        <w:t xml:space="preserve">isability, Inclusion Health populations, and those </w:t>
      </w:r>
      <w:r w:rsidR="007B078C">
        <w:rPr>
          <w:rFonts w:cs="Arial"/>
        </w:rPr>
        <w:t>people</w:t>
      </w:r>
      <w:r>
        <w:rPr>
          <w:rFonts w:cs="Arial"/>
        </w:rPr>
        <w:t xml:space="preserve"> seeking asylum in the UK and have been placed in the Home Office Initial Accommodation system, but were accommodated in one of two hotels in Hull.</w:t>
      </w:r>
    </w:p>
    <w:p w14:paraId="79F487DB" w14:textId="1F7C2B76" w:rsidR="000E0762" w:rsidRDefault="000E0762" w:rsidP="000E0762">
      <w:pPr>
        <w:rPr>
          <w:rFonts w:cs="Arial"/>
          <w:b/>
          <w:bCs/>
        </w:rPr>
      </w:pPr>
      <w:r>
        <w:rPr>
          <w:rFonts w:cs="Arial"/>
          <w:b/>
          <w:bCs/>
        </w:rPr>
        <w:t xml:space="preserve">Learning </w:t>
      </w:r>
      <w:r w:rsidR="000E7A75">
        <w:rPr>
          <w:rFonts w:cs="Arial"/>
          <w:b/>
          <w:bCs/>
        </w:rPr>
        <w:t>d</w:t>
      </w:r>
      <w:r>
        <w:rPr>
          <w:rFonts w:cs="Arial"/>
          <w:b/>
          <w:bCs/>
        </w:rPr>
        <w:t>isability</w:t>
      </w:r>
    </w:p>
    <w:p w14:paraId="350CC396" w14:textId="06E998B0" w:rsidR="000E0762" w:rsidRDefault="000E0762" w:rsidP="000E0762">
      <w:pPr>
        <w:rPr>
          <w:rFonts w:cs="Arial"/>
        </w:rPr>
      </w:pPr>
      <w:r>
        <w:rPr>
          <w:rFonts w:cs="Arial"/>
        </w:rPr>
        <w:t xml:space="preserve">Having recognised that </w:t>
      </w:r>
      <w:r w:rsidR="000E7A75">
        <w:rPr>
          <w:rFonts w:cs="Arial"/>
        </w:rPr>
        <w:t>our</w:t>
      </w:r>
      <w:r>
        <w:rPr>
          <w:rFonts w:cs="Arial"/>
        </w:rPr>
        <w:t xml:space="preserve"> </w:t>
      </w:r>
      <w:r w:rsidR="000E7A75">
        <w:rPr>
          <w:rFonts w:cs="Arial"/>
        </w:rPr>
        <w:t>l</w:t>
      </w:r>
      <w:r>
        <w:rPr>
          <w:rFonts w:cs="Arial"/>
        </w:rPr>
        <w:t xml:space="preserve">earning </w:t>
      </w:r>
      <w:r w:rsidR="000E7A75">
        <w:rPr>
          <w:rFonts w:cs="Arial"/>
        </w:rPr>
        <w:t>d</w:t>
      </w:r>
      <w:r>
        <w:rPr>
          <w:rFonts w:cs="Arial"/>
        </w:rPr>
        <w:t xml:space="preserve">isability </w:t>
      </w:r>
      <w:r w:rsidR="000E7A75">
        <w:rPr>
          <w:rFonts w:cs="Arial"/>
        </w:rPr>
        <w:t xml:space="preserve">population </w:t>
      </w:r>
      <w:r>
        <w:rPr>
          <w:rFonts w:cs="Arial"/>
        </w:rPr>
        <w:t xml:space="preserve">were not accessing health checks, </w:t>
      </w:r>
      <w:r w:rsidR="00CD7582">
        <w:rPr>
          <w:rFonts w:cs="Arial"/>
        </w:rPr>
        <w:t xml:space="preserve">and </w:t>
      </w:r>
      <w:r>
        <w:rPr>
          <w:rFonts w:cs="Arial"/>
        </w:rPr>
        <w:t>with the aim of ma</w:t>
      </w:r>
      <w:r w:rsidR="00182081">
        <w:rPr>
          <w:rFonts w:cs="Arial"/>
        </w:rPr>
        <w:t>intainin</w:t>
      </w:r>
      <w:r>
        <w:rPr>
          <w:rFonts w:cs="Arial"/>
        </w:rPr>
        <w:t xml:space="preserve">g health, identifying disease early, and optimising treatment where necessary, the CCG has worked with </w:t>
      </w:r>
      <w:r w:rsidR="00182081">
        <w:rPr>
          <w:rFonts w:cs="Arial"/>
        </w:rPr>
        <w:t>g</w:t>
      </w:r>
      <w:r>
        <w:rPr>
          <w:rFonts w:cs="Arial"/>
        </w:rPr>
        <w:t xml:space="preserve">eneral </w:t>
      </w:r>
      <w:r w:rsidR="00182081">
        <w:rPr>
          <w:rFonts w:cs="Arial"/>
        </w:rPr>
        <w:t>p</w:t>
      </w:r>
      <w:r>
        <w:rPr>
          <w:rFonts w:cs="Arial"/>
        </w:rPr>
        <w:t xml:space="preserve">ractices through a local community provider to understand and break down the barriers stopping this population accessing this service. Based on activity to date, significantly more people with a </w:t>
      </w:r>
      <w:r w:rsidR="00CD7582">
        <w:rPr>
          <w:rFonts w:cs="Arial"/>
        </w:rPr>
        <w:t>l</w:t>
      </w:r>
      <w:r>
        <w:rPr>
          <w:rFonts w:cs="Arial"/>
        </w:rPr>
        <w:t xml:space="preserve">earning </w:t>
      </w:r>
      <w:r w:rsidR="00CD7582">
        <w:rPr>
          <w:rFonts w:cs="Arial"/>
        </w:rPr>
        <w:t>d</w:t>
      </w:r>
      <w:r>
        <w:rPr>
          <w:rFonts w:cs="Arial"/>
        </w:rPr>
        <w:t xml:space="preserve">isability have been able to access their annual health check, and there has been important learning identified to improve uptake further in the future. There will have been </w:t>
      </w:r>
      <w:r w:rsidR="00CD7582">
        <w:rPr>
          <w:rFonts w:cs="Arial"/>
        </w:rPr>
        <w:t xml:space="preserve">additional </w:t>
      </w:r>
      <w:r>
        <w:rPr>
          <w:rFonts w:cs="Arial"/>
        </w:rPr>
        <w:t>benefits in terms of encouraging this group to take up the offer of cancer screening, where without the clinical conversation</w:t>
      </w:r>
      <w:r w:rsidR="00CD7582">
        <w:rPr>
          <w:rFonts w:cs="Arial"/>
        </w:rPr>
        <w:t xml:space="preserve"> that comes with the health check</w:t>
      </w:r>
      <w:r>
        <w:rPr>
          <w:rFonts w:cs="Arial"/>
        </w:rPr>
        <w:t xml:space="preserve">, some might otherwise </w:t>
      </w:r>
      <w:r w:rsidR="00CD7582">
        <w:rPr>
          <w:rFonts w:cs="Arial"/>
        </w:rPr>
        <w:t xml:space="preserve">not </w:t>
      </w:r>
      <w:r>
        <w:rPr>
          <w:rFonts w:cs="Arial"/>
        </w:rPr>
        <w:t>have taken this up.</w:t>
      </w:r>
    </w:p>
    <w:p w14:paraId="45B8220A" w14:textId="4A933B14" w:rsidR="000E0762" w:rsidRDefault="00447968" w:rsidP="000E0762">
      <w:pPr>
        <w:rPr>
          <w:rFonts w:cs="Arial"/>
          <w:b/>
          <w:bCs/>
        </w:rPr>
      </w:pPr>
      <w:r>
        <w:rPr>
          <w:rFonts w:cs="Arial"/>
          <w:b/>
          <w:bCs/>
        </w:rPr>
        <w:t xml:space="preserve">Supporting people seeking asylum </w:t>
      </w:r>
    </w:p>
    <w:p w14:paraId="43FEBD96" w14:textId="0D4E4F60" w:rsidR="000E0762" w:rsidRDefault="00FD5F07" w:rsidP="000E0762">
      <w:pPr>
        <w:rPr>
          <w:rFonts w:cs="Arial"/>
        </w:rPr>
      </w:pPr>
      <w:r>
        <w:rPr>
          <w:rFonts w:cs="Arial"/>
        </w:rPr>
        <w:t>In most cases</w:t>
      </w:r>
      <w:r w:rsidR="000E0762">
        <w:rPr>
          <w:rFonts w:cs="Arial"/>
        </w:rPr>
        <w:t xml:space="preserve">, </w:t>
      </w:r>
      <w:r w:rsidR="007B078C">
        <w:rPr>
          <w:rFonts w:cs="Arial"/>
        </w:rPr>
        <w:t>people seeking asylum</w:t>
      </w:r>
      <w:r w:rsidR="000E0762">
        <w:rPr>
          <w:rFonts w:cs="Arial"/>
        </w:rPr>
        <w:t xml:space="preserve"> would be initially accommodated in a Home Office commissioned facility in West Yorkshire and would have access to health services on site. Due to capacity challenges</w:t>
      </w:r>
      <w:r>
        <w:rPr>
          <w:rFonts w:cs="Arial"/>
        </w:rPr>
        <w:t xml:space="preserve"> during 2020</w:t>
      </w:r>
      <w:r w:rsidR="000E0762">
        <w:rPr>
          <w:rFonts w:cs="Arial"/>
        </w:rPr>
        <w:t xml:space="preserve">, some people seeking asylum </w:t>
      </w:r>
      <w:r w:rsidR="007B078C">
        <w:rPr>
          <w:rFonts w:cs="Arial"/>
        </w:rPr>
        <w:t>needed</w:t>
      </w:r>
      <w:r w:rsidR="000E0762">
        <w:rPr>
          <w:rFonts w:cs="Arial"/>
        </w:rPr>
        <w:t xml:space="preserve"> to be accommodated in other venues across Yorkshire</w:t>
      </w:r>
      <w:r w:rsidR="007B078C">
        <w:rPr>
          <w:rFonts w:cs="Arial"/>
        </w:rPr>
        <w:t>,</w:t>
      </w:r>
      <w:r w:rsidR="000E0762">
        <w:rPr>
          <w:rFonts w:cs="Arial"/>
        </w:rPr>
        <w:t xml:space="preserve"> and a hotel in Hull was initially commissioned for this purpose. The CCG worked with an existing </w:t>
      </w:r>
      <w:r w:rsidR="007B078C">
        <w:rPr>
          <w:rFonts w:cs="Arial"/>
        </w:rPr>
        <w:t>c</w:t>
      </w:r>
      <w:r w:rsidR="000E0762">
        <w:rPr>
          <w:rFonts w:cs="Arial"/>
        </w:rPr>
        <w:t xml:space="preserve">ommunity and </w:t>
      </w:r>
      <w:r w:rsidR="007B078C">
        <w:rPr>
          <w:rFonts w:cs="Arial"/>
        </w:rPr>
        <w:t>p</w:t>
      </w:r>
      <w:r w:rsidR="000E0762">
        <w:rPr>
          <w:rFonts w:cs="Arial"/>
        </w:rPr>
        <w:t xml:space="preserve">rimary </w:t>
      </w:r>
      <w:r w:rsidR="007B078C">
        <w:rPr>
          <w:rFonts w:cs="Arial"/>
        </w:rPr>
        <w:t>c</w:t>
      </w:r>
      <w:r w:rsidR="000E0762">
        <w:rPr>
          <w:rFonts w:cs="Arial"/>
        </w:rPr>
        <w:t xml:space="preserve">are </w:t>
      </w:r>
      <w:r w:rsidR="007B078C">
        <w:rPr>
          <w:rFonts w:cs="Arial"/>
        </w:rPr>
        <w:t>p</w:t>
      </w:r>
      <w:r w:rsidR="000E0762">
        <w:rPr>
          <w:rFonts w:cs="Arial"/>
        </w:rPr>
        <w:t>rovider to ensure that appropr</w:t>
      </w:r>
      <w:r w:rsidR="007B078C">
        <w:rPr>
          <w:rFonts w:cs="Arial"/>
        </w:rPr>
        <w:t>iat</w:t>
      </w:r>
      <w:r w:rsidR="000E0762">
        <w:rPr>
          <w:rFonts w:cs="Arial"/>
        </w:rPr>
        <w:t xml:space="preserve">e health services were available for this vulnerable population. </w:t>
      </w:r>
      <w:r>
        <w:rPr>
          <w:rFonts w:cs="Arial"/>
        </w:rPr>
        <w:t>This support was continued in 2021-22 when</w:t>
      </w:r>
      <w:r w:rsidR="000E0762">
        <w:rPr>
          <w:rFonts w:cs="Arial"/>
        </w:rPr>
        <w:t xml:space="preserve"> a further hotel was commissioned to support people seeking asylum</w:t>
      </w:r>
      <w:r>
        <w:rPr>
          <w:rFonts w:cs="Arial"/>
        </w:rPr>
        <w:t xml:space="preserve">, when </w:t>
      </w:r>
      <w:r w:rsidR="000E0762">
        <w:rPr>
          <w:rFonts w:cs="Arial"/>
        </w:rPr>
        <w:t xml:space="preserve">the CCG </w:t>
      </w:r>
      <w:r>
        <w:rPr>
          <w:rFonts w:cs="Arial"/>
        </w:rPr>
        <w:t xml:space="preserve">again </w:t>
      </w:r>
      <w:r w:rsidR="000E0762">
        <w:rPr>
          <w:rFonts w:cs="Arial"/>
        </w:rPr>
        <w:t xml:space="preserve">worked with the Home Office, and local </w:t>
      </w:r>
      <w:r w:rsidR="007B078C">
        <w:rPr>
          <w:rFonts w:cs="Arial"/>
        </w:rPr>
        <w:t>p</w:t>
      </w:r>
      <w:r w:rsidR="000E0762">
        <w:rPr>
          <w:rFonts w:cs="Arial"/>
        </w:rPr>
        <w:t xml:space="preserve">roviders to ensure that people had equitable and </w:t>
      </w:r>
      <w:r w:rsidR="007B078C">
        <w:rPr>
          <w:rFonts w:cs="Arial"/>
        </w:rPr>
        <w:t>appropriate</w:t>
      </w:r>
      <w:r w:rsidR="000E0762">
        <w:rPr>
          <w:rFonts w:cs="Arial"/>
        </w:rPr>
        <w:t xml:space="preserve"> access to health services. </w:t>
      </w:r>
      <w:r>
        <w:rPr>
          <w:rFonts w:cs="Arial"/>
        </w:rPr>
        <w:t>This included</w:t>
      </w:r>
      <w:r w:rsidR="000E0762">
        <w:rPr>
          <w:rFonts w:cs="Arial"/>
        </w:rPr>
        <w:t xml:space="preserve"> </w:t>
      </w:r>
      <w:r>
        <w:rPr>
          <w:rFonts w:cs="Arial"/>
        </w:rPr>
        <w:t>working with</w:t>
      </w:r>
      <w:r w:rsidR="000E0762">
        <w:rPr>
          <w:rFonts w:cs="Arial"/>
        </w:rPr>
        <w:t xml:space="preserve"> a vaccination provider to deliver COVID-19 vaccinations</w:t>
      </w:r>
      <w:r w:rsidR="00447968">
        <w:rPr>
          <w:rFonts w:cs="Arial"/>
        </w:rPr>
        <w:t xml:space="preserve"> for this group.</w:t>
      </w:r>
      <w:r w:rsidR="000E0762">
        <w:rPr>
          <w:rFonts w:cs="Arial"/>
        </w:rPr>
        <w:t xml:space="preserve"> </w:t>
      </w:r>
    </w:p>
    <w:p w14:paraId="1EBC092C" w14:textId="126648D6" w:rsidR="000E0762" w:rsidRDefault="000E0762" w:rsidP="000E0762">
      <w:pPr>
        <w:rPr>
          <w:rFonts w:cs="Arial"/>
          <w:b/>
          <w:bCs/>
        </w:rPr>
      </w:pPr>
      <w:bookmarkStart w:id="53" w:name="_Hlk101272327"/>
      <w:r>
        <w:rPr>
          <w:rFonts w:cs="Arial"/>
          <w:b/>
          <w:bCs/>
        </w:rPr>
        <w:t xml:space="preserve">Inclusion </w:t>
      </w:r>
      <w:r w:rsidR="00447968">
        <w:rPr>
          <w:rFonts w:cs="Arial"/>
          <w:b/>
          <w:bCs/>
        </w:rPr>
        <w:t>h</w:t>
      </w:r>
      <w:r>
        <w:rPr>
          <w:rFonts w:cs="Arial"/>
          <w:b/>
          <w:bCs/>
        </w:rPr>
        <w:t>ealth</w:t>
      </w:r>
    </w:p>
    <w:p w14:paraId="6ABF4A84" w14:textId="46140040" w:rsidR="00447968" w:rsidRPr="00182081" w:rsidRDefault="00447968" w:rsidP="000E0762">
      <w:pPr>
        <w:rPr>
          <w:rFonts w:cs="Arial"/>
        </w:rPr>
      </w:pPr>
      <w:r w:rsidRPr="00182081">
        <w:rPr>
          <w:rFonts w:cs="Arial"/>
          <w:color w:val="0B0C0C"/>
          <w:shd w:val="clear" w:color="auto" w:fill="FFFFFF"/>
        </w:rPr>
        <w:t>Inclusion health is a ‘catch-all’ term used to describe people who are socially excluded, typically experience multiple overlapping risk factors for poor health (such as poverty, violence and complex trauma), experience stigma and discrimination, and are not consistently accounted for in electronic records (such as healthcare databases). (www.gov.uk)</w:t>
      </w:r>
    </w:p>
    <w:p w14:paraId="2EB8A31E" w14:textId="35AAD048" w:rsidR="000E0762" w:rsidRDefault="000E0762" w:rsidP="000E0762">
      <w:pPr>
        <w:rPr>
          <w:rFonts w:cs="Arial"/>
        </w:rPr>
      </w:pPr>
      <w:r>
        <w:rPr>
          <w:rFonts w:cs="Arial"/>
        </w:rPr>
        <w:lastRenderedPageBreak/>
        <w:t xml:space="preserve">Whilst NHS Hull CCG has had a primary care service that supports homeless individuals, it was not commissioned as an inclusion health service. </w:t>
      </w:r>
      <w:r w:rsidR="00447968">
        <w:rPr>
          <w:rFonts w:cs="Arial"/>
        </w:rPr>
        <w:t>During 2021-22</w:t>
      </w:r>
      <w:r>
        <w:rPr>
          <w:rFonts w:cs="Arial"/>
        </w:rPr>
        <w:t xml:space="preserve"> the CCG completed the procurement of a new service to support inclusion health populations, recognising that this population experiences some of the most extreme inequalities. The service was mobilised and has actively been working with homeless individuals, rough sleepers, and other groups that could be included in the term “inclusion health”. In addition to delivering the inclusion health service, the provider has supported a number of </w:t>
      </w:r>
      <w:r w:rsidR="00447968">
        <w:rPr>
          <w:rFonts w:cs="Arial"/>
        </w:rPr>
        <w:t xml:space="preserve">COVID </w:t>
      </w:r>
      <w:r>
        <w:rPr>
          <w:rFonts w:cs="Arial"/>
        </w:rPr>
        <w:t>outbreak situations in hostels, and has also delivered COVID-19 vaccinations to this population, ensuring equity of access to the vaccination programme.</w:t>
      </w:r>
    </w:p>
    <w:bookmarkEnd w:id="53"/>
    <w:p w14:paraId="7C569055" w14:textId="292936E9" w:rsidR="000E0762" w:rsidRDefault="000E0762" w:rsidP="000E0762">
      <w:pPr>
        <w:rPr>
          <w:rFonts w:cs="Arial"/>
          <w:b/>
          <w:bCs/>
        </w:rPr>
      </w:pPr>
      <w:r>
        <w:rPr>
          <w:rFonts w:cs="Arial"/>
          <w:b/>
          <w:bCs/>
        </w:rPr>
        <w:t>COVID-19 vaccination</w:t>
      </w:r>
      <w:r w:rsidR="00447968">
        <w:rPr>
          <w:rFonts w:cs="Arial"/>
          <w:b/>
          <w:bCs/>
        </w:rPr>
        <w:t xml:space="preserve"> programme</w:t>
      </w:r>
    </w:p>
    <w:p w14:paraId="1FEC164D" w14:textId="4096B4CF" w:rsidR="000E0762" w:rsidRDefault="000E0762" w:rsidP="000E0762">
      <w:pPr>
        <w:rPr>
          <w:rFonts w:cs="Arial"/>
        </w:rPr>
      </w:pPr>
      <w:r>
        <w:rPr>
          <w:rFonts w:cs="Arial"/>
        </w:rPr>
        <w:t xml:space="preserve">NHS Hull </w:t>
      </w:r>
      <w:r w:rsidR="004851AE">
        <w:rPr>
          <w:rFonts w:cs="Arial"/>
        </w:rPr>
        <w:t xml:space="preserve">CCG </w:t>
      </w:r>
      <w:r>
        <w:rPr>
          <w:rFonts w:cs="Arial"/>
        </w:rPr>
        <w:t>worked with NHS England and Humber</w:t>
      </w:r>
      <w:r w:rsidR="00182081">
        <w:rPr>
          <w:rFonts w:cs="Arial"/>
        </w:rPr>
        <w:t>, Coast and Vale</w:t>
      </w:r>
      <w:r>
        <w:rPr>
          <w:rFonts w:cs="Arial"/>
        </w:rPr>
        <w:t xml:space="preserve"> </w:t>
      </w:r>
      <w:r w:rsidR="004851AE">
        <w:rPr>
          <w:rFonts w:cs="Arial"/>
        </w:rPr>
        <w:t>Health and Care Partnership</w:t>
      </w:r>
      <w:r>
        <w:rPr>
          <w:rFonts w:cs="Arial"/>
        </w:rPr>
        <w:t xml:space="preserve"> colleagues to deliver the COVID-19 vaccination programme over the last year. </w:t>
      </w:r>
      <w:r w:rsidR="004851AE">
        <w:rPr>
          <w:rFonts w:cs="Arial"/>
        </w:rPr>
        <w:t>While</w:t>
      </w:r>
      <w:r>
        <w:rPr>
          <w:rFonts w:cs="Arial"/>
        </w:rPr>
        <w:t xml:space="preserve"> delivering the vaccination programme, </w:t>
      </w:r>
      <w:r w:rsidR="004851AE">
        <w:rPr>
          <w:rFonts w:cs="Arial"/>
        </w:rPr>
        <w:t>it was observed</w:t>
      </w:r>
      <w:r>
        <w:rPr>
          <w:rFonts w:cs="Arial"/>
        </w:rPr>
        <w:t xml:space="preserve"> that some populations were taking up the offer of vaccination at a different rate to others; these populations were often located in some of the most deprived parts of the </w:t>
      </w:r>
      <w:r w:rsidR="004851AE">
        <w:rPr>
          <w:rFonts w:cs="Arial"/>
        </w:rPr>
        <w:t>c</w:t>
      </w:r>
      <w:r>
        <w:rPr>
          <w:rFonts w:cs="Arial"/>
        </w:rPr>
        <w:t xml:space="preserve">ity. </w:t>
      </w:r>
      <w:r w:rsidR="004851AE">
        <w:rPr>
          <w:rFonts w:cs="Arial"/>
        </w:rPr>
        <w:t>To address this, t</w:t>
      </w:r>
      <w:r>
        <w:rPr>
          <w:rFonts w:cs="Arial"/>
        </w:rPr>
        <w:t xml:space="preserve">he CCG worked with </w:t>
      </w:r>
      <w:r w:rsidR="004851AE">
        <w:rPr>
          <w:rFonts w:cs="Arial"/>
        </w:rPr>
        <w:t>one of Hull’s</w:t>
      </w:r>
      <w:r>
        <w:rPr>
          <w:rFonts w:cs="Arial"/>
        </w:rPr>
        <w:t xml:space="preserve"> Primary Care Network</w:t>
      </w:r>
      <w:r w:rsidR="004851AE">
        <w:rPr>
          <w:rFonts w:cs="Arial"/>
        </w:rPr>
        <w:t>s</w:t>
      </w:r>
      <w:r>
        <w:rPr>
          <w:rFonts w:cs="Arial"/>
        </w:rPr>
        <w:t xml:space="preserve"> and Hull City Council colleagues to </w:t>
      </w:r>
      <w:r w:rsidR="00D108AB">
        <w:rPr>
          <w:rFonts w:cs="Arial"/>
        </w:rPr>
        <w:t>provide more accessible vaccination sites</w:t>
      </w:r>
      <w:r>
        <w:rPr>
          <w:rFonts w:cs="Arial"/>
        </w:rPr>
        <w:t xml:space="preserve"> </w:t>
      </w:r>
      <w:r w:rsidR="00D108AB">
        <w:rPr>
          <w:rFonts w:cs="Arial"/>
        </w:rPr>
        <w:t>for</w:t>
      </w:r>
      <w:r>
        <w:rPr>
          <w:rFonts w:cs="Arial"/>
        </w:rPr>
        <w:t xml:space="preserve"> communities in </w:t>
      </w:r>
      <w:r w:rsidR="004851AE">
        <w:rPr>
          <w:rFonts w:cs="Arial"/>
        </w:rPr>
        <w:t xml:space="preserve">higher </w:t>
      </w:r>
      <w:r>
        <w:rPr>
          <w:rFonts w:cs="Arial"/>
        </w:rPr>
        <w:t>depriv</w:t>
      </w:r>
      <w:r w:rsidR="004851AE">
        <w:rPr>
          <w:rFonts w:cs="Arial"/>
        </w:rPr>
        <w:t>ation</w:t>
      </w:r>
      <w:r>
        <w:rPr>
          <w:rFonts w:cs="Arial"/>
        </w:rPr>
        <w:t xml:space="preserve"> areas, co-locat</w:t>
      </w:r>
      <w:r w:rsidR="00D108AB">
        <w:rPr>
          <w:rFonts w:cs="Arial"/>
        </w:rPr>
        <w:t>ing</w:t>
      </w:r>
      <w:r>
        <w:rPr>
          <w:rFonts w:cs="Arial"/>
        </w:rPr>
        <w:t xml:space="preserve"> with </w:t>
      </w:r>
      <w:r w:rsidR="00D108AB">
        <w:rPr>
          <w:rFonts w:cs="Arial"/>
        </w:rPr>
        <w:t>l</w:t>
      </w:r>
      <w:r>
        <w:rPr>
          <w:rFonts w:cs="Arial"/>
        </w:rPr>
        <w:t xml:space="preserve">ocal </w:t>
      </w:r>
      <w:r w:rsidR="00D108AB">
        <w:rPr>
          <w:rFonts w:cs="Arial"/>
        </w:rPr>
        <w:t>a</w:t>
      </w:r>
      <w:r>
        <w:rPr>
          <w:rFonts w:cs="Arial"/>
        </w:rPr>
        <w:t xml:space="preserve">uthority mobile testing sites, </w:t>
      </w:r>
      <w:r w:rsidR="00D108AB">
        <w:rPr>
          <w:rFonts w:cs="Arial"/>
        </w:rPr>
        <w:t xml:space="preserve">and </w:t>
      </w:r>
      <w:r>
        <w:rPr>
          <w:rFonts w:cs="Arial"/>
        </w:rPr>
        <w:t xml:space="preserve">working in collaboration with Humberside Fire and Rescue </w:t>
      </w:r>
      <w:r w:rsidR="00182081">
        <w:rPr>
          <w:rFonts w:cs="Arial"/>
        </w:rPr>
        <w:t>S</w:t>
      </w:r>
      <w:r>
        <w:rPr>
          <w:rFonts w:cs="Arial"/>
        </w:rPr>
        <w:t>ervice</w:t>
      </w:r>
      <w:r w:rsidR="00D108AB">
        <w:rPr>
          <w:rFonts w:cs="Arial"/>
        </w:rPr>
        <w:t xml:space="preserve"> to make use</w:t>
      </w:r>
      <w:r>
        <w:rPr>
          <w:rFonts w:cs="Arial"/>
        </w:rPr>
        <w:t xml:space="preserve"> of their mobile shelters. This work significantly increased the uptake of the vaccination, and testing in populations where lower uptake of both was evident.</w:t>
      </w:r>
    </w:p>
    <w:p w14:paraId="4145FA21" w14:textId="77777777" w:rsidR="00981200" w:rsidRDefault="00981200">
      <w:pPr>
        <w:tabs>
          <w:tab w:val="clear" w:pos="2835"/>
          <w:tab w:val="clear" w:pos="5670"/>
          <w:tab w:val="clear" w:pos="9016"/>
        </w:tabs>
        <w:spacing w:before="0" w:after="200"/>
        <w:rPr>
          <w:rStyle w:val="Heading2Char"/>
          <w:rFonts w:eastAsiaTheme="majorEastAsia" w:cstheme="majorBidi"/>
          <w:color w:val="4F81BD" w:themeColor="accent1"/>
          <w:lang w:val="en-GB"/>
        </w:rPr>
      </w:pPr>
      <w:r>
        <w:rPr>
          <w:rStyle w:val="Heading2Char"/>
          <w:rFonts w:eastAsiaTheme="majorEastAsia" w:cstheme="majorBidi"/>
          <w:b w:val="0"/>
          <w:bCs w:val="0"/>
          <w:color w:val="4F81BD" w:themeColor="accent1"/>
          <w:lang w:val="en-GB"/>
        </w:rPr>
        <w:br w:type="page"/>
      </w:r>
    </w:p>
    <w:p w14:paraId="6D616CBB" w14:textId="53A29AC1" w:rsidR="008162AF" w:rsidRPr="00BF6808" w:rsidRDefault="000F5479" w:rsidP="00B66DE2">
      <w:pPr>
        <w:pStyle w:val="Heading3"/>
        <w:rPr>
          <w:rFonts w:eastAsia="Arial" w:cs="Arial"/>
          <w:color w:val="548DD4" w:themeColor="text2" w:themeTint="99"/>
          <w:sz w:val="28"/>
          <w:szCs w:val="24"/>
          <w:lang w:val="en-US"/>
        </w:rPr>
      </w:pPr>
      <w:bookmarkStart w:id="54" w:name="_Toc103695034"/>
      <w:r w:rsidRPr="00684BD0">
        <w:rPr>
          <w:rStyle w:val="Heading2Char"/>
          <w:rFonts w:eastAsiaTheme="majorEastAsia" w:cstheme="majorBidi"/>
          <w:b/>
          <w:bCs/>
          <w:color w:val="4F81BD" w:themeColor="accent1"/>
          <w:lang w:val="en-GB"/>
        </w:rPr>
        <w:lastRenderedPageBreak/>
        <w:t>Contributing to the delivery of the health and wellbeing strategy for Hull</w:t>
      </w:r>
      <w:bookmarkEnd w:id="52"/>
      <w:bookmarkEnd w:id="54"/>
      <w:r w:rsidR="0087272A" w:rsidRPr="00684BD0">
        <w:t xml:space="preserve"> </w:t>
      </w:r>
      <w:bookmarkEnd w:id="50"/>
    </w:p>
    <w:p w14:paraId="40E53879" w14:textId="64E8075A" w:rsidR="00BA7824" w:rsidRDefault="00BA7824" w:rsidP="00BA7824">
      <w:r>
        <w:t xml:space="preserve">Over the last year the CCG has continued to work as a key partner on the Hull Health and Wellbeing Board to deliver the improved health outcomes for the city. Dr Dan Roper (Hull CCG Chair) </w:t>
      </w:r>
      <w:r w:rsidR="00CA41A1">
        <w:t>wa</w:t>
      </w:r>
      <w:r>
        <w:t xml:space="preserve">s Vice-chair of the Health and Wellbeing Board </w:t>
      </w:r>
      <w:r w:rsidR="00CA41A1">
        <w:t xml:space="preserve">and </w:t>
      </w:r>
      <w:r>
        <w:t xml:space="preserve">has continued to work in direct collaboration with the current Health and Wellbeing Board Chair, Councillor Hester Bridges, to ensure the Board meets its strategic aims, whilst remaining responsive to the needs of the health and care system and the citizens of Hull throughout a further challenging year.  </w:t>
      </w:r>
    </w:p>
    <w:p w14:paraId="34B45B71" w14:textId="3D879A5C" w:rsidR="00BA7824" w:rsidRDefault="00BA7824" w:rsidP="00BA7824">
      <w:r>
        <w:t>In addition to the Vice</w:t>
      </w:r>
      <w:r w:rsidR="00CA41A1">
        <w:t>-c</w:t>
      </w:r>
      <w:r>
        <w:t xml:space="preserve">hair, the Health and Wellbeing Board has </w:t>
      </w:r>
      <w:r w:rsidR="00CA41A1">
        <w:t xml:space="preserve">had </w:t>
      </w:r>
      <w:r>
        <w:t xml:space="preserve">CCG representation from the Chief Operating Officer and two GP </w:t>
      </w:r>
      <w:r w:rsidR="00CA41A1">
        <w:t xml:space="preserve">board </w:t>
      </w:r>
      <w:r>
        <w:t xml:space="preserve">members, to ensure ongoing input to the work of the Health and Wellbeing Board and the achievement of the aims and objectives of the Joint Health and Wellbeing Strategy (JHWS).  </w:t>
      </w:r>
    </w:p>
    <w:p w14:paraId="0624BD98" w14:textId="77777777" w:rsidR="00BA7824" w:rsidRDefault="00BA7824" w:rsidP="00BA7824">
      <w:r>
        <w:t>In early 2022 we saw the launch of the new JHWS, which is a citywide framework that will act as a roadmap for stakeholders to work together for the benefit of health and wellbeing in the city.  The strategy was jointly produced by Hull City Council and Hull CCG and offers a new and innovative values-based approach.  This values-based model places communities at the heart of everything we do, with a long-term commitment to community-driven change through ongoing engagement. This, in turn, is built on a foundation of intelligence-based decision making, using the Joint Strategic Needs Assessment, which is produced in partnership with our Hull City Council colleagues.  The strategy places a strong emphasis on partnership working and a shared sensed of accountability for the health outcomes of our residents.</w:t>
      </w:r>
    </w:p>
    <w:p w14:paraId="4A8A24E5" w14:textId="77777777" w:rsidR="00BA7824" w:rsidRDefault="00BA7824" w:rsidP="00BA7824">
      <w:r>
        <w:t>Supporting the delivery of a strategy that is driven by values allows us to work with partners to shape how we work as a system. We believe it is the best way to reduce inequalities, improve health and wellbeing, and work as a unified system, thus increasing the chances of making positive changes for our city.  As the strategy has a strong emphasis on reducing health inequalities and community engagement, we aim to work closely with partners to ensure service provision, across the system, has improved access for all.</w:t>
      </w:r>
    </w:p>
    <w:p w14:paraId="30B63345" w14:textId="70429CE9" w:rsidR="00BA7824" w:rsidRDefault="00BA7824" w:rsidP="00BA7824">
      <w:r>
        <w:t xml:space="preserve">The strategy identifies three broad priority themes: proactive prevention, reducing health inequalities, and system integration.  Across these themes we have co-developed specific areas of action, and it will be the responsibility of the Health and Wellbeing Board, with support from Hull CCG, to provide assurances that city-wide work on these priorities is having a positive impact on health and wellbeing.  As part of our commitment to system integration we will work in partnership with the Health and Wellbeing Board and the newly established </w:t>
      </w:r>
      <w:r w:rsidR="00A02F58">
        <w:t>Hu</w:t>
      </w:r>
      <w:r w:rsidR="008E5724">
        <w:t>l</w:t>
      </w:r>
      <w:r w:rsidR="00A02F58">
        <w:t xml:space="preserve">l </w:t>
      </w:r>
      <w:r>
        <w:t xml:space="preserve">Health and Care Partnership, which is </w:t>
      </w:r>
      <w:r w:rsidR="008E5724">
        <w:t xml:space="preserve">curently in shadow form, and will work alongside </w:t>
      </w:r>
      <w:r>
        <w:t>the Integrated Care Board (ICB) that will replace the CCG from July.  This joint system working will ensure co-ordination around areas of focus and ensure that the needs of Hull citizens will continue to be represented across the wider Humber</w:t>
      </w:r>
      <w:r w:rsidR="00A02F58">
        <w:t xml:space="preserve"> and North Yorkshire </w:t>
      </w:r>
      <w:r>
        <w:t>footprint.</w:t>
      </w:r>
    </w:p>
    <w:p w14:paraId="2F3E0153" w14:textId="77777777" w:rsidR="00BA7824" w:rsidRDefault="00BA7824" w:rsidP="00BA7824">
      <w:r>
        <w:t xml:space="preserve">The CCG ensures its strategic priorities align to those of the Health and Wellbeing Strategy for 2022: </w:t>
      </w:r>
    </w:p>
    <w:p w14:paraId="78C586EB" w14:textId="77777777" w:rsidR="00BA7824" w:rsidRDefault="00BA7824" w:rsidP="00BA7824">
      <w:pPr>
        <w:spacing w:before="0" w:after="0"/>
      </w:pPr>
      <w:r>
        <w:t xml:space="preserve">Priority 1. </w:t>
      </w:r>
      <w:r>
        <w:rPr>
          <w:b/>
          <w:bCs/>
        </w:rPr>
        <w:t>Proactive Prevention</w:t>
      </w:r>
    </w:p>
    <w:p w14:paraId="4CD5E74C" w14:textId="77777777" w:rsidR="00BA7824" w:rsidRDefault="00BA7824" w:rsidP="00BA7824">
      <w:pPr>
        <w:spacing w:before="0" w:after="0"/>
      </w:pPr>
      <w:r>
        <w:t xml:space="preserve">Priority 2. </w:t>
      </w:r>
      <w:r>
        <w:rPr>
          <w:b/>
          <w:bCs/>
        </w:rPr>
        <w:t>Reducing Health Inequalities</w:t>
      </w:r>
      <w:r>
        <w:t xml:space="preserve"> </w:t>
      </w:r>
    </w:p>
    <w:p w14:paraId="364697EB" w14:textId="06650761" w:rsidR="00BA7824" w:rsidRDefault="00BA7824" w:rsidP="00981200">
      <w:pPr>
        <w:spacing w:before="0" w:after="0"/>
      </w:pPr>
      <w:r>
        <w:t xml:space="preserve">Priority 3. </w:t>
      </w:r>
      <w:r>
        <w:rPr>
          <w:b/>
          <w:bCs/>
        </w:rPr>
        <w:t>System Integration</w:t>
      </w:r>
    </w:p>
    <w:p w14:paraId="6CD8BFC5" w14:textId="77777777" w:rsidR="00981200" w:rsidRDefault="00981200" w:rsidP="00981200">
      <w:pPr>
        <w:spacing w:before="0" w:after="0"/>
      </w:pPr>
    </w:p>
    <w:p w14:paraId="7F5523AD" w14:textId="70AA2426" w:rsidR="00BA7824" w:rsidRDefault="00BA7824" w:rsidP="00886E22">
      <w:pPr>
        <w:spacing w:before="0" w:after="0"/>
      </w:pPr>
      <w:r>
        <w:t>In addition, we will ensure that the values presented in the JHWS will be embedded across Hull CCG and the wider health and care system. These values are:</w:t>
      </w:r>
    </w:p>
    <w:p w14:paraId="0046ACF8" w14:textId="4C1D705E" w:rsidR="00BA7824" w:rsidRPr="00BA7824" w:rsidRDefault="00BA7824" w:rsidP="0062761B">
      <w:pPr>
        <w:pStyle w:val="ListParagraph"/>
        <w:numPr>
          <w:ilvl w:val="0"/>
          <w:numId w:val="17"/>
        </w:numPr>
        <w:spacing w:before="0" w:after="0"/>
        <w:rPr>
          <w:b/>
          <w:bCs/>
        </w:rPr>
      </w:pPr>
      <w:r w:rsidRPr="00BA7824">
        <w:rPr>
          <w:b/>
          <w:bCs/>
        </w:rPr>
        <w:t>Community Driven Change</w:t>
      </w:r>
    </w:p>
    <w:p w14:paraId="32666928" w14:textId="17216E46" w:rsidR="00BA7824" w:rsidRPr="00BA7824" w:rsidRDefault="00BA7824" w:rsidP="0062761B">
      <w:pPr>
        <w:pStyle w:val="ListParagraph"/>
        <w:numPr>
          <w:ilvl w:val="0"/>
          <w:numId w:val="17"/>
        </w:numPr>
        <w:spacing w:before="0" w:after="0"/>
        <w:rPr>
          <w:b/>
          <w:bCs/>
        </w:rPr>
      </w:pPr>
      <w:r w:rsidRPr="00BA7824">
        <w:rPr>
          <w:b/>
          <w:bCs/>
        </w:rPr>
        <w:t>Intelligence Based Decisions</w:t>
      </w:r>
    </w:p>
    <w:p w14:paraId="1DDCECD1" w14:textId="4DA3508F" w:rsidR="00BA7824" w:rsidRPr="00BA7824" w:rsidRDefault="00BA7824" w:rsidP="0062761B">
      <w:pPr>
        <w:pStyle w:val="ListParagraph"/>
        <w:numPr>
          <w:ilvl w:val="0"/>
          <w:numId w:val="17"/>
        </w:numPr>
        <w:spacing w:before="0" w:after="0"/>
        <w:rPr>
          <w:b/>
          <w:bCs/>
        </w:rPr>
      </w:pPr>
      <w:r w:rsidRPr="00BA7824">
        <w:rPr>
          <w:b/>
          <w:bCs/>
        </w:rPr>
        <w:lastRenderedPageBreak/>
        <w:t>Co-ordination at Place</w:t>
      </w:r>
    </w:p>
    <w:p w14:paraId="3F75C227" w14:textId="43533EFD" w:rsidR="00BA7824" w:rsidRPr="00BA7824" w:rsidRDefault="00BA7824" w:rsidP="0062761B">
      <w:pPr>
        <w:pStyle w:val="ListParagraph"/>
        <w:numPr>
          <w:ilvl w:val="0"/>
          <w:numId w:val="17"/>
        </w:numPr>
        <w:spacing w:before="0" w:after="0"/>
        <w:rPr>
          <w:b/>
          <w:bCs/>
        </w:rPr>
      </w:pPr>
      <w:r w:rsidRPr="00BA7824">
        <w:rPr>
          <w:b/>
          <w:bCs/>
        </w:rPr>
        <w:t>Collective Accountability</w:t>
      </w:r>
    </w:p>
    <w:p w14:paraId="23A61CCC" w14:textId="7A21495A" w:rsidR="00BA7824" w:rsidRDefault="00BA7824" w:rsidP="00BA7824">
      <w:r>
        <w:t xml:space="preserve">Over the last year the CCG has contributed, as stakeholders and through its membership at the Health and Wellbeing Board, to the delivery of the following outcomes: </w:t>
      </w:r>
    </w:p>
    <w:p w14:paraId="36AB94A7" w14:textId="564C54FF" w:rsidR="00BA7824" w:rsidRDefault="00BA7824" w:rsidP="0062761B">
      <w:pPr>
        <w:pStyle w:val="ListParagraph"/>
        <w:numPr>
          <w:ilvl w:val="0"/>
          <w:numId w:val="18"/>
        </w:numPr>
      </w:pPr>
      <w:r>
        <w:t xml:space="preserve">Developing a MEAM </w:t>
      </w:r>
      <w:r w:rsidR="00A02F58">
        <w:t xml:space="preserve">(Making Every Adult Matter) </w:t>
      </w:r>
      <w:r>
        <w:t xml:space="preserve">and a Trauma informed approach for Hull </w:t>
      </w:r>
    </w:p>
    <w:p w14:paraId="2EF70299" w14:textId="77777777" w:rsidR="00BA7824" w:rsidRDefault="00BA7824" w:rsidP="0062761B">
      <w:pPr>
        <w:pStyle w:val="ListParagraph"/>
        <w:numPr>
          <w:ilvl w:val="0"/>
          <w:numId w:val="18"/>
        </w:numPr>
      </w:pPr>
      <w:r>
        <w:t>Extensive engagement activity regarding access to Mental Health Crisis support</w:t>
      </w:r>
    </w:p>
    <w:p w14:paraId="1AF00E7B" w14:textId="261C79ED" w:rsidR="00BA7824" w:rsidRDefault="00BA7824" w:rsidP="0062761B">
      <w:pPr>
        <w:pStyle w:val="ListParagraph"/>
        <w:numPr>
          <w:ilvl w:val="0"/>
          <w:numId w:val="18"/>
        </w:numPr>
      </w:pPr>
      <w:r>
        <w:t xml:space="preserve">Exploration of concerns regarding access to Primary Care and Dentistry across Hull </w:t>
      </w:r>
    </w:p>
    <w:p w14:paraId="06684281" w14:textId="00A682B2" w:rsidR="00BA7824" w:rsidRDefault="00BA7824" w:rsidP="0062761B">
      <w:pPr>
        <w:pStyle w:val="ListParagraph"/>
        <w:numPr>
          <w:ilvl w:val="0"/>
          <w:numId w:val="18"/>
        </w:numPr>
      </w:pPr>
      <w:r>
        <w:t>Development of a ‘First 1001 days’ approach for the city</w:t>
      </w:r>
    </w:p>
    <w:p w14:paraId="68CBFCB8" w14:textId="34A4C659" w:rsidR="00BA7824" w:rsidRDefault="00BA7824" w:rsidP="00BA7824">
      <w:r>
        <w:t xml:space="preserve">As Vice-chair of the Hull Health and Wellbeing Board, Dr Roper </w:t>
      </w:r>
      <w:r w:rsidR="00A02F58">
        <w:t xml:space="preserve">has </w:t>
      </w:r>
      <w:r>
        <w:t>ensure</w:t>
      </w:r>
      <w:r w:rsidR="00A02F58">
        <w:t>d</w:t>
      </w:r>
      <w:r>
        <w:t xml:space="preserve"> cohesion between the CCG and contribution to the broader Health and Wellbeing Board objectives. Several members of the Health and Wellbeing Board contribute to the content of this Annual Report and the full Annual Report and Accounts is formally presented to the Board at its July meeting.</w:t>
      </w:r>
    </w:p>
    <w:p w14:paraId="1C768E32" w14:textId="77777777" w:rsidR="00C6159A" w:rsidRPr="00C6159A" w:rsidRDefault="00C6159A" w:rsidP="0055478C">
      <w:pPr>
        <w:shd w:val="clear" w:color="auto" w:fill="FFFFFF"/>
        <w:spacing w:after="0"/>
        <w:ind w:left="720"/>
        <w:textAlignment w:val="baseline"/>
        <w:rPr>
          <w:rFonts w:eastAsia="Times New Roman" w:cs="Arial"/>
          <w:b/>
          <w:bCs/>
          <w:color w:val="3D3D3D"/>
        </w:rPr>
      </w:pPr>
      <w:r w:rsidRPr="00A6148B">
        <w:rPr>
          <w:rFonts w:eastAsia="Times New Roman" w:cs="Arial"/>
          <w:b/>
          <w:bCs/>
          <w:color w:val="3D3D3D"/>
        </w:rPr>
        <w:t xml:space="preserve">Prevention Concordat for Better Mental Health </w:t>
      </w:r>
    </w:p>
    <w:p w14:paraId="5B90189A" w14:textId="32874099" w:rsidR="00C6159A" w:rsidRPr="0055478C" w:rsidRDefault="00C6159A" w:rsidP="00C6159A">
      <w:pPr>
        <w:shd w:val="clear" w:color="auto" w:fill="FFFFFF"/>
        <w:spacing w:after="300"/>
        <w:ind w:left="720"/>
        <w:textAlignment w:val="baseline"/>
        <w:rPr>
          <w:rFonts w:eastAsia="Times New Roman" w:cs="Arial"/>
          <w:i/>
          <w:iCs/>
          <w:color w:val="3D3D3D"/>
        </w:rPr>
      </w:pPr>
      <w:r w:rsidRPr="0055478C">
        <w:rPr>
          <w:rFonts w:eastAsia="Times New Roman" w:cs="Arial"/>
          <w:i/>
          <w:iCs/>
          <w:color w:val="3D3D3D"/>
        </w:rPr>
        <w:t>In September 2021 Hull Health and Wellbeing Board partners worked together to create a shared pledge for Hull. This was a promise to the city to support good mental health with comprehensive research, working directly with local people.</w:t>
      </w:r>
    </w:p>
    <w:p w14:paraId="7B8892F2" w14:textId="182D44F6" w:rsidR="00C6159A" w:rsidRPr="0055478C" w:rsidRDefault="00C6159A" w:rsidP="00C6159A">
      <w:pPr>
        <w:shd w:val="clear" w:color="auto" w:fill="FFFFFF"/>
        <w:spacing w:after="300"/>
        <w:ind w:left="720"/>
        <w:textAlignment w:val="baseline"/>
        <w:rPr>
          <w:rFonts w:eastAsia="Times New Roman" w:cs="Arial"/>
          <w:i/>
          <w:iCs/>
          <w:color w:val="3D3D3D"/>
        </w:rPr>
      </w:pPr>
      <w:r w:rsidRPr="0055478C">
        <w:rPr>
          <w:rFonts w:eastAsia="Times New Roman" w:cs="Arial"/>
          <w:i/>
          <w:iCs/>
          <w:color w:val="3D3D3D"/>
        </w:rPr>
        <w:t>The new Prevention Concordat for Better Mental Health is underpinned by an understanding that taking a prevention-focused approach to improving the public’s mental health has been shown to make a valuable contribution to achieving a fairer and more equitable society. This will include:</w:t>
      </w:r>
    </w:p>
    <w:p w14:paraId="417A443A" w14:textId="77777777" w:rsidR="00C6159A" w:rsidRPr="0055478C" w:rsidRDefault="00C6159A" w:rsidP="0062761B">
      <w:pPr>
        <w:numPr>
          <w:ilvl w:val="0"/>
          <w:numId w:val="28"/>
        </w:numPr>
        <w:shd w:val="clear" w:color="auto" w:fill="FFFFFF"/>
        <w:tabs>
          <w:tab w:val="clear" w:pos="720"/>
          <w:tab w:val="clear" w:pos="2835"/>
          <w:tab w:val="clear" w:pos="5670"/>
          <w:tab w:val="clear" w:pos="9016"/>
          <w:tab w:val="num" w:pos="1440"/>
        </w:tabs>
        <w:spacing w:before="0" w:after="0"/>
        <w:ind w:left="2004"/>
        <w:textAlignment w:val="baseline"/>
        <w:rPr>
          <w:rFonts w:eastAsia="Times New Roman" w:cs="Arial"/>
          <w:i/>
          <w:iCs/>
          <w:color w:val="2D2D2D"/>
        </w:rPr>
      </w:pPr>
      <w:r w:rsidRPr="0055478C">
        <w:rPr>
          <w:rFonts w:eastAsia="Times New Roman" w:cs="Arial"/>
          <w:i/>
          <w:iCs/>
          <w:color w:val="2D2D2D"/>
        </w:rPr>
        <w:t>Conducting an in-depth survey of young people’s mental health</w:t>
      </w:r>
    </w:p>
    <w:p w14:paraId="0A9837B8" w14:textId="77777777" w:rsidR="00C6159A" w:rsidRPr="0055478C" w:rsidRDefault="00C6159A" w:rsidP="0062761B">
      <w:pPr>
        <w:numPr>
          <w:ilvl w:val="0"/>
          <w:numId w:val="28"/>
        </w:numPr>
        <w:shd w:val="clear" w:color="auto" w:fill="FFFFFF"/>
        <w:tabs>
          <w:tab w:val="clear" w:pos="720"/>
          <w:tab w:val="clear" w:pos="2835"/>
          <w:tab w:val="clear" w:pos="5670"/>
          <w:tab w:val="clear" w:pos="9016"/>
          <w:tab w:val="num" w:pos="1440"/>
        </w:tabs>
        <w:spacing w:before="0" w:after="0"/>
        <w:ind w:left="2004"/>
        <w:textAlignment w:val="baseline"/>
        <w:rPr>
          <w:rFonts w:eastAsia="Times New Roman" w:cs="Arial"/>
          <w:i/>
          <w:iCs/>
          <w:color w:val="2D2D2D"/>
        </w:rPr>
      </w:pPr>
      <w:r w:rsidRPr="0055478C">
        <w:rPr>
          <w:rFonts w:eastAsia="Times New Roman" w:cs="Arial"/>
          <w:i/>
          <w:iCs/>
          <w:color w:val="2D2D2D"/>
        </w:rPr>
        <w:t>Reviewing findings relating to people who died by suicide in Hull, to identify preventative measures</w:t>
      </w:r>
    </w:p>
    <w:p w14:paraId="0C9E4EBC" w14:textId="77777777" w:rsidR="00C6159A" w:rsidRPr="0055478C" w:rsidRDefault="00C6159A" w:rsidP="0062761B">
      <w:pPr>
        <w:numPr>
          <w:ilvl w:val="0"/>
          <w:numId w:val="28"/>
        </w:numPr>
        <w:shd w:val="clear" w:color="auto" w:fill="FFFFFF"/>
        <w:tabs>
          <w:tab w:val="clear" w:pos="720"/>
          <w:tab w:val="clear" w:pos="2835"/>
          <w:tab w:val="clear" w:pos="5670"/>
          <w:tab w:val="clear" w:pos="9016"/>
          <w:tab w:val="num" w:pos="1440"/>
        </w:tabs>
        <w:spacing w:before="0" w:after="0"/>
        <w:ind w:left="2004"/>
        <w:textAlignment w:val="baseline"/>
        <w:rPr>
          <w:rFonts w:eastAsia="Times New Roman" w:cs="Arial"/>
          <w:i/>
          <w:iCs/>
          <w:color w:val="2D2D2D"/>
        </w:rPr>
      </w:pPr>
      <w:r w:rsidRPr="0055478C">
        <w:rPr>
          <w:rFonts w:eastAsia="Times New Roman" w:cs="Arial"/>
          <w:i/>
          <w:iCs/>
          <w:color w:val="2D2D2D"/>
        </w:rPr>
        <w:t>Conducting a mental health crisis engagement exercise – looking at how improved support can prevent crises</w:t>
      </w:r>
    </w:p>
    <w:p w14:paraId="303F4150" w14:textId="77777777" w:rsidR="00C6159A" w:rsidRPr="0055478C" w:rsidRDefault="00C6159A" w:rsidP="0062761B">
      <w:pPr>
        <w:numPr>
          <w:ilvl w:val="0"/>
          <w:numId w:val="28"/>
        </w:numPr>
        <w:shd w:val="clear" w:color="auto" w:fill="FFFFFF"/>
        <w:tabs>
          <w:tab w:val="clear" w:pos="720"/>
          <w:tab w:val="clear" w:pos="2835"/>
          <w:tab w:val="clear" w:pos="5670"/>
          <w:tab w:val="clear" w:pos="9016"/>
          <w:tab w:val="num" w:pos="1440"/>
        </w:tabs>
        <w:spacing w:before="0" w:after="0"/>
        <w:ind w:left="2004"/>
        <w:textAlignment w:val="baseline"/>
        <w:rPr>
          <w:rFonts w:eastAsia="Times New Roman" w:cs="Arial"/>
          <w:i/>
          <w:iCs/>
          <w:color w:val="2D2D2D"/>
        </w:rPr>
      </w:pPr>
      <w:r w:rsidRPr="0055478C">
        <w:rPr>
          <w:rFonts w:eastAsia="Times New Roman" w:cs="Arial"/>
          <w:i/>
          <w:iCs/>
          <w:color w:val="2D2D2D"/>
        </w:rPr>
        <w:t>Engaging directly with local people to capture their thoughts and feelings on mental health problems and support</w:t>
      </w:r>
    </w:p>
    <w:p w14:paraId="05B96AB0" w14:textId="77777777" w:rsidR="00C6159A" w:rsidRPr="0055478C" w:rsidRDefault="00C6159A" w:rsidP="0062761B">
      <w:pPr>
        <w:numPr>
          <w:ilvl w:val="0"/>
          <w:numId w:val="28"/>
        </w:numPr>
        <w:shd w:val="clear" w:color="auto" w:fill="FFFFFF"/>
        <w:tabs>
          <w:tab w:val="clear" w:pos="720"/>
          <w:tab w:val="clear" w:pos="2835"/>
          <w:tab w:val="clear" w:pos="5670"/>
          <w:tab w:val="clear" w:pos="9016"/>
          <w:tab w:val="num" w:pos="1440"/>
        </w:tabs>
        <w:spacing w:before="0" w:after="0"/>
        <w:ind w:left="2004"/>
        <w:textAlignment w:val="baseline"/>
        <w:rPr>
          <w:rFonts w:eastAsia="Times New Roman" w:cs="Arial"/>
          <w:i/>
          <w:iCs/>
          <w:color w:val="2D2D2D"/>
        </w:rPr>
      </w:pPr>
      <w:r w:rsidRPr="0055478C">
        <w:rPr>
          <w:rFonts w:eastAsia="Times New Roman" w:cs="Arial"/>
          <w:i/>
          <w:iCs/>
          <w:color w:val="2D2D2D"/>
        </w:rPr>
        <w:t>Shaping support in-line with the findings of research into inequalities and the impact of Coronavirus</w:t>
      </w:r>
    </w:p>
    <w:p w14:paraId="353EA67F" w14:textId="77777777" w:rsidR="00C6159A" w:rsidRPr="0055478C" w:rsidRDefault="00C6159A" w:rsidP="0062761B">
      <w:pPr>
        <w:numPr>
          <w:ilvl w:val="0"/>
          <w:numId w:val="28"/>
        </w:numPr>
        <w:shd w:val="clear" w:color="auto" w:fill="FFFFFF"/>
        <w:tabs>
          <w:tab w:val="clear" w:pos="720"/>
          <w:tab w:val="clear" w:pos="2835"/>
          <w:tab w:val="clear" w:pos="5670"/>
          <w:tab w:val="clear" w:pos="9016"/>
          <w:tab w:val="num" w:pos="1440"/>
        </w:tabs>
        <w:spacing w:before="0" w:after="0"/>
        <w:ind w:left="2004"/>
        <w:textAlignment w:val="baseline"/>
        <w:rPr>
          <w:rFonts w:eastAsia="Times New Roman" w:cs="Arial"/>
          <w:i/>
          <w:iCs/>
          <w:color w:val="2D2D2D"/>
        </w:rPr>
      </w:pPr>
      <w:r w:rsidRPr="0055478C">
        <w:rPr>
          <w:rFonts w:eastAsia="Times New Roman" w:cs="Arial"/>
          <w:i/>
          <w:iCs/>
          <w:color w:val="2D2D2D"/>
        </w:rPr>
        <w:t>Delivering targeted support through programmes of work funded through the Prevention and Promotion Fund for Better Mental Health, including help for 16-24-year-olds to get started in work; working with employers to promote better employee mental health, in order to help people stay in work</w:t>
      </w:r>
    </w:p>
    <w:p w14:paraId="3F8637B2" w14:textId="77777777" w:rsidR="00C6159A" w:rsidRPr="0055478C" w:rsidRDefault="00C6159A" w:rsidP="0062761B">
      <w:pPr>
        <w:numPr>
          <w:ilvl w:val="0"/>
          <w:numId w:val="28"/>
        </w:numPr>
        <w:shd w:val="clear" w:color="auto" w:fill="FFFFFF"/>
        <w:tabs>
          <w:tab w:val="clear" w:pos="720"/>
          <w:tab w:val="clear" w:pos="2835"/>
          <w:tab w:val="clear" w:pos="5670"/>
          <w:tab w:val="clear" w:pos="9016"/>
          <w:tab w:val="num" w:pos="1440"/>
        </w:tabs>
        <w:spacing w:before="0" w:after="0"/>
        <w:ind w:left="2004"/>
        <w:textAlignment w:val="baseline"/>
        <w:rPr>
          <w:rFonts w:eastAsia="Times New Roman" w:cs="Arial"/>
          <w:i/>
          <w:iCs/>
          <w:color w:val="2D2D2D"/>
        </w:rPr>
      </w:pPr>
      <w:r w:rsidRPr="0055478C">
        <w:rPr>
          <w:rFonts w:eastAsia="Times New Roman" w:cs="Arial"/>
          <w:i/>
          <w:iCs/>
          <w:color w:val="2D2D2D"/>
        </w:rPr>
        <w:t>Addressing the stigma of talking about mental health through existing projects, including #TalkSuicide.</w:t>
      </w:r>
    </w:p>
    <w:p w14:paraId="32C26CAC" w14:textId="77777777" w:rsidR="003F0FF9" w:rsidRDefault="003F0FF9" w:rsidP="00B66DE2">
      <w:pPr>
        <w:tabs>
          <w:tab w:val="clear" w:pos="2835"/>
          <w:tab w:val="clear" w:pos="5670"/>
          <w:tab w:val="clear" w:pos="9016"/>
        </w:tabs>
        <w:spacing w:before="0" w:after="200"/>
        <w:rPr>
          <w:rFonts w:eastAsia="Arial" w:cs="Arial"/>
          <w:b/>
          <w:bCs/>
          <w:color w:val="548DD4" w:themeColor="text2" w:themeTint="99"/>
          <w:sz w:val="28"/>
          <w:szCs w:val="24"/>
          <w:lang w:val="en-US"/>
        </w:rPr>
      </w:pPr>
      <w:r>
        <w:br w:type="page"/>
      </w:r>
    </w:p>
    <w:p w14:paraId="1803DB1F" w14:textId="73180B5D" w:rsidR="002F776A" w:rsidRPr="004E36F6" w:rsidRDefault="002F776A" w:rsidP="00B71FAD">
      <w:pPr>
        <w:pStyle w:val="Heading2"/>
        <w:rPr>
          <w:color w:val="auto"/>
          <w:highlight w:val="yellow"/>
        </w:rPr>
      </w:pPr>
      <w:bookmarkStart w:id="55" w:name="_Toc103695035"/>
      <w:r w:rsidRPr="00AC01FD">
        <w:lastRenderedPageBreak/>
        <w:t xml:space="preserve">Performance on NHS Constitution and Quality Indicators </w:t>
      </w:r>
      <w:r w:rsidR="00A64440">
        <w:t>2021-22</w:t>
      </w:r>
      <w:bookmarkEnd w:id="55"/>
      <w:r w:rsidRPr="00A558A4">
        <w:t xml:space="preserve"> </w:t>
      </w:r>
    </w:p>
    <w:p w14:paraId="07EEACF9" w14:textId="77777777" w:rsidR="0028531A" w:rsidRPr="00D326D4" w:rsidRDefault="0028531A" w:rsidP="0028531A">
      <w:pPr>
        <w:jc w:val="both"/>
      </w:pPr>
      <w:r w:rsidRPr="00D326D4">
        <w:t xml:space="preserve">The CCG has continued to monitor the oversight metrics as set out in the 2021-22 NHS System Oversight framework. The key metrics shown below provide an overview of performance during this period.  </w:t>
      </w:r>
    </w:p>
    <w:p w14:paraId="1B7B5A2C" w14:textId="11E95CBB" w:rsidR="00EC4216" w:rsidRPr="00FF2C31" w:rsidRDefault="00EC4216" w:rsidP="009D7744">
      <w:pPr>
        <w:ind w:right="-57"/>
        <w:rPr>
          <w:rFonts w:cs="Arial"/>
        </w:rPr>
      </w:pPr>
      <w:r w:rsidRPr="00D326D4">
        <w:rPr>
          <w:rFonts w:cs="Arial"/>
        </w:rPr>
        <w:t xml:space="preserve">The NHS Constitution sets access standards for emergency care, elective (non-emergency) care and cancer services, and the CCG has an obligation to ensure all our health care providers strive to meet these to ensure patients in Hull receive the right standards and quality of care. </w:t>
      </w:r>
      <w:r w:rsidRPr="00D326D4">
        <w:rPr>
          <w:rFonts w:eastAsia="Arial" w:cs="Arial"/>
        </w:rPr>
        <w:t>Key performance tables and commentary for NHS Hull CCG for 2021-22 are below.</w:t>
      </w:r>
      <w:r w:rsidRPr="00A558A4">
        <w:rPr>
          <w:rFonts w:eastAsia="Arial" w:cs="Arial"/>
        </w:rPr>
        <w:t xml:space="preserve"> </w:t>
      </w:r>
    </w:p>
    <w:p w14:paraId="663F0254" w14:textId="77777777" w:rsidR="00EC4216" w:rsidRPr="009D7744" w:rsidRDefault="00EC4216" w:rsidP="00EC4216">
      <w:pPr>
        <w:spacing w:line="240" w:lineRule="auto"/>
        <w:ind w:right="-57"/>
        <w:jc w:val="both"/>
        <w:rPr>
          <w:rFonts w:eastAsia="Arial" w:cs="Arial"/>
          <w:i/>
          <w:iCs/>
          <w:sz w:val="18"/>
          <w:szCs w:val="18"/>
        </w:rPr>
      </w:pPr>
      <w:r w:rsidRPr="009D7744">
        <w:rPr>
          <w:rFonts w:eastAsia="Arial" w:cs="Arial"/>
          <w:b/>
          <w:bCs/>
          <w:i/>
          <w:iCs/>
          <w:sz w:val="18"/>
          <w:szCs w:val="18"/>
        </w:rPr>
        <w:t xml:space="preserve">Please note: </w:t>
      </w:r>
      <w:r w:rsidRPr="009D7744">
        <w:rPr>
          <w:rFonts w:eastAsia="Arial" w:cs="Arial"/>
          <w:i/>
          <w:iCs/>
          <w:sz w:val="18"/>
          <w:szCs w:val="18"/>
        </w:rPr>
        <w:t>The ‘Actual’ position quoted is at 31</w:t>
      </w:r>
      <w:r w:rsidRPr="009D7744">
        <w:rPr>
          <w:rFonts w:eastAsia="Arial" w:cs="Arial"/>
          <w:i/>
          <w:iCs/>
          <w:sz w:val="18"/>
          <w:szCs w:val="18"/>
          <w:vertAlign w:val="superscript"/>
        </w:rPr>
        <w:t>st</w:t>
      </w:r>
      <w:r w:rsidRPr="009D7744">
        <w:rPr>
          <w:rFonts w:eastAsia="Arial" w:cs="Arial"/>
          <w:i/>
          <w:iCs/>
          <w:sz w:val="18"/>
          <w:szCs w:val="18"/>
        </w:rPr>
        <w:t xml:space="preserve"> March 2022 unless year to date (YTD) position is stated otherwise in brackets.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7"/>
        <w:gridCol w:w="1134"/>
        <w:gridCol w:w="1843"/>
        <w:gridCol w:w="1701"/>
      </w:tblGrid>
      <w:tr w:rsidR="00EC4216" w:rsidRPr="00CF24C9" w14:paraId="65FA402A" w14:textId="77777777" w:rsidTr="007B3AAC">
        <w:trPr>
          <w:trHeight w:val="495"/>
        </w:trPr>
        <w:tc>
          <w:tcPr>
            <w:tcW w:w="5237"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1A494123" w14:textId="77777777" w:rsidR="00EC4216" w:rsidRPr="00CF24C9" w:rsidRDefault="00EC4216" w:rsidP="00A214F8">
            <w:pPr>
              <w:tabs>
                <w:tab w:val="clear" w:pos="2835"/>
                <w:tab w:val="clear" w:pos="5670"/>
                <w:tab w:val="clear" w:pos="9016"/>
              </w:tabs>
              <w:spacing w:before="0" w:after="0" w:line="240" w:lineRule="auto"/>
              <w:ind w:left="128" w:right="-210"/>
              <w:textAlignment w:val="baseline"/>
              <w:rPr>
                <w:rFonts w:ascii="Segoe UI" w:eastAsia="Times New Roman" w:hAnsi="Segoe UI" w:cs="Segoe UI"/>
                <w:noProof w:val="0"/>
                <w:sz w:val="18"/>
                <w:szCs w:val="18"/>
              </w:rPr>
            </w:pPr>
            <w:r w:rsidRPr="00CF24C9">
              <w:rPr>
                <w:rFonts w:eastAsia="Times New Roman" w:cs="Arial"/>
                <w:b/>
                <w:bCs/>
                <w:noProof w:val="0"/>
                <w:sz w:val="20"/>
                <w:szCs w:val="20"/>
              </w:rPr>
              <w:t>NHS NATIONAL REQUIREMENTS</w:t>
            </w:r>
            <w:r w:rsidRPr="00CF24C9">
              <w:rPr>
                <w:rFonts w:eastAsia="Times New Roman" w:cs="Arial"/>
                <w:noProof w:val="0"/>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07548F6B" w14:textId="77777777" w:rsidR="00EC4216" w:rsidRPr="00CF24C9" w:rsidRDefault="00EC4216" w:rsidP="00A214F8">
            <w:pPr>
              <w:tabs>
                <w:tab w:val="clear" w:pos="2835"/>
                <w:tab w:val="clear" w:pos="5670"/>
                <w:tab w:val="clear" w:pos="9016"/>
              </w:tabs>
              <w:spacing w:before="0" w:after="0" w:line="240" w:lineRule="auto"/>
              <w:ind w:left="-120" w:right="-120"/>
              <w:textAlignment w:val="baseline"/>
              <w:rPr>
                <w:rFonts w:ascii="Segoe UI" w:eastAsia="Times New Roman" w:hAnsi="Segoe UI" w:cs="Segoe UI"/>
                <w:noProof w:val="0"/>
                <w:sz w:val="18"/>
                <w:szCs w:val="18"/>
              </w:rPr>
            </w:pPr>
            <w:r w:rsidRPr="00CF24C9">
              <w:rPr>
                <w:rFonts w:eastAsia="Times New Roman" w:cs="Arial"/>
                <w:noProof w:val="0"/>
                <w:sz w:val="20"/>
                <w:szCs w:val="20"/>
              </w:rPr>
              <w:t> </w:t>
            </w:r>
          </w:p>
        </w:tc>
        <w:tc>
          <w:tcPr>
            <w:tcW w:w="1843"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520EBC15" w14:textId="77777777" w:rsidR="00EC4216" w:rsidRPr="00CF24C9" w:rsidRDefault="00EC4216" w:rsidP="00A214F8">
            <w:pPr>
              <w:tabs>
                <w:tab w:val="clear" w:pos="2835"/>
                <w:tab w:val="clear" w:pos="5670"/>
                <w:tab w:val="clear" w:pos="9016"/>
              </w:tabs>
              <w:spacing w:before="0" w:after="0" w:line="240" w:lineRule="auto"/>
              <w:ind w:left="160" w:right="75"/>
              <w:textAlignment w:val="baseline"/>
              <w:rPr>
                <w:rFonts w:ascii="Segoe UI" w:eastAsia="Times New Roman" w:hAnsi="Segoe UI" w:cs="Segoe UI"/>
                <w:noProof w:val="0"/>
                <w:sz w:val="18"/>
                <w:szCs w:val="18"/>
              </w:rPr>
            </w:pPr>
            <w:r w:rsidRPr="00CF24C9">
              <w:rPr>
                <w:rFonts w:eastAsia="Times New Roman" w:cs="Arial"/>
                <w:b/>
                <w:bCs/>
                <w:noProof w:val="0"/>
                <w:sz w:val="20"/>
                <w:szCs w:val="20"/>
              </w:rPr>
              <w:t>Actual (YTD)</w:t>
            </w:r>
            <w:r w:rsidRPr="00CF24C9">
              <w:rPr>
                <w:rFonts w:eastAsia="Times New Roman" w:cs="Arial"/>
                <w:noProof w:val="0"/>
                <w:sz w:val="20"/>
                <w:szCs w:val="20"/>
              </w:rPr>
              <w:t> </w:t>
            </w:r>
          </w:p>
        </w:tc>
        <w:tc>
          <w:tcPr>
            <w:tcW w:w="1701" w:type="dxa"/>
            <w:tcBorders>
              <w:top w:val="single" w:sz="6" w:space="0" w:color="auto"/>
              <w:left w:val="single" w:sz="6" w:space="0" w:color="auto"/>
              <w:bottom w:val="single" w:sz="6" w:space="0" w:color="auto"/>
              <w:right w:val="single" w:sz="6" w:space="0" w:color="auto"/>
            </w:tcBorders>
            <w:shd w:val="clear" w:color="auto" w:fill="95B3D7"/>
            <w:vAlign w:val="center"/>
            <w:hideMark/>
          </w:tcPr>
          <w:p w14:paraId="1A526505" w14:textId="77777777" w:rsidR="00EC4216" w:rsidRPr="00CF24C9" w:rsidRDefault="00EC4216" w:rsidP="00A214F8">
            <w:pPr>
              <w:tabs>
                <w:tab w:val="clear" w:pos="2835"/>
                <w:tab w:val="clear" w:pos="5670"/>
                <w:tab w:val="clear" w:pos="9016"/>
              </w:tabs>
              <w:spacing w:before="0" w:after="0" w:line="240" w:lineRule="auto"/>
              <w:ind w:left="160"/>
              <w:textAlignment w:val="baseline"/>
              <w:rPr>
                <w:rFonts w:ascii="Segoe UI" w:eastAsia="Times New Roman" w:hAnsi="Segoe UI" w:cs="Segoe UI"/>
                <w:noProof w:val="0"/>
                <w:sz w:val="18"/>
                <w:szCs w:val="18"/>
              </w:rPr>
            </w:pPr>
            <w:r w:rsidRPr="00CF24C9">
              <w:rPr>
                <w:rFonts w:eastAsia="Times New Roman" w:cs="Arial"/>
                <w:b/>
                <w:bCs/>
                <w:noProof w:val="0"/>
                <w:sz w:val="20"/>
                <w:szCs w:val="20"/>
              </w:rPr>
              <w:t>Target</w:t>
            </w:r>
            <w:r w:rsidRPr="00CF24C9">
              <w:rPr>
                <w:rFonts w:eastAsia="Times New Roman" w:cs="Arial"/>
                <w:noProof w:val="0"/>
                <w:sz w:val="20"/>
                <w:szCs w:val="20"/>
              </w:rPr>
              <w:t> </w:t>
            </w:r>
          </w:p>
        </w:tc>
      </w:tr>
      <w:tr w:rsidR="00EC4216" w:rsidRPr="00CF24C9" w14:paraId="6329DBB5" w14:textId="77777777" w:rsidTr="007B3AAC">
        <w:trPr>
          <w:trHeight w:val="525"/>
        </w:trPr>
        <w:tc>
          <w:tcPr>
            <w:tcW w:w="523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7C72CF" w14:textId="77777777" w:rsidR="00EC4216" w:rsidRPr="00CF24C9" w:rsidRDefault="00EC4216" w:rsidP="00A214F8">
            <w:pPr>
              <w:tabs>
                <w:tab w:val="clear" w:pos="2835"/>
                <w:tab w:val="clear" w:pos="5670"/>
                <w:tab w:val="clear" w:pos="9016"/>
              </w:tabs>
              <w:spacing w:before="0" w:after="0" w:line="240" w:lineRule="auto"/>
              <w:ind w:left="128"/>
              <w:textAlignment w:val="baseline"/>
              <w:rPr>
                <w:rFonts w:ascii="Segoe UI" w:eastAsia="Times New Roman" w:hAnsi="Segoe UI" w:cs="Segoe UI"/>
                <w:noProof w:val="0"/>
                <w:sz w:val="18"/>
                <w:szCs w:val="18"/>
              </w:rPr>
            </w:pPr>
            <w:r w:rsidRPr="00CF24C9">
              <w:rPr>
                <w:rFonts w:eastAsia="Times New Roman" w:cs="Arial"/>
                <w:noProof w:val="0"/>
                <w:color w:val="000000"/>
                <w:sz w:val="20"/>
                <w:szCs w:val="20"/>
              </w:rPr>
              <w:t>Number of GP written referrals in the period in all specialties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4D4A16" w14:textId="77777777" w:rsidR="00EC4216" w:rsidRPr="00CF24C9" w:rsidRDefault="00EC4216" w:rsidP="00A214F8">
            <w:pPr>
              <w:tabs>
                <w:tab w:val="clear" w:pos="2835"/>
                <w:tab w:val="clear" w:pos="5670"/>
                <w:tab w:val="clear" w:pos="9016"/>
              </w:tabs>
              <w:spacing w:before="0" w:after="0" w:line="240" w:lineRule="auto"/>
              <w:ind w:left="59"/>
              <w:textAlignment w:val="baseline"/>
              <w:rPr>
                <w:rFonts w:ascii="Segoe UI" w:eastAsia="Times New Roman" w:hAnsi="Segoe UI" w:cs="Segoe UI"/>
                <w:noProof w:val="0"/>
                <w:sz w:val="18"/>
                <w:szCs w:val="18"/>
              </w:rPr>
            </w:pPr>
            <w:r w:rsidRPr="00CF24C9">
              <w:rPr>
                <w:rFonts w:eastAsia="Times New Roman" w:cs="Arial"/>
                <w:noProof w:val="0"/>
                <w:sz w:val="20"/>
                <w:szCs w:val="20"/>
              </w:rPr>
              <w:t>2021-22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20147E" w14:textId="77777777" w:rsidR="00EC4216" w:rsidRPr="00CF24C9" w:rsidRDefault="00EC4216" w:rsidP="00A214F8">
            <w:pPr>
              <w:tabs>
                <w:tab w:val="clear" w:pos="2835"/>
                <w:tab w:val="clear" w:pos="5670"/>
                <w:tab w:val="clear" w:pos="9016"/>
              </w:tabs>
              <w:spacing w:before="0" w:after="0" w:line="240" w:lineRule="auto"/>
              <w:ind w:left="160" w:right="75"/>
              <w:textAlignment w:val="baseline"/>
              <w:rPr>
                <w:rFonts w:ascii="Segoe UI" w:eastAsia="Times New Roman" w:hAnsi="Segoe UI" w:cs="Segoe UI"/>
                <w:noProof w:val="0"/>
                <w:sz w:val="18"/>
                <w:szCs w:val="18"/>
              </w:rPr>
            </w:pPr>
            <w:r w:rsidRPr="00CF24C9">
              <w:rPr>
                <w:rFonts w:eastAsia="Times New Roman" w:cs="Arial"/>
                <w:noProof w:val="0"/>
                <w:sz w:val="20"/>
                <w:szCs w:val="20"/>
              </w:rPr>
              <w:t>50,170 </w:t>
            </w:r>
            <w:r w:rsidRPr="00CF24C9">
              <w:rPr>
                <w:rFonts w:eastAsia="Times New Roman" w:cs="Arial"/>
                <w:noProof w:val="0"/>
                <w:sz w:val="20"/>
                <w:szCs w:val="20"/>
              </w:rPr>
              <w:br/>
              <w:t>(Apr 2021-Jan 2022)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BF1231" w14:textId="77777777" w:rsidR="00EC4216" w:rsidRPr="00CF24C9" w:rsidRDefault="00EC4216" w:rsidP="00A214F8">
            <w:pPr>
              <w:tabs>
                <w:tab w:val="clear" w:pos="2835"/>
                <w:tab w:val="clear" w:pos="5670"/>
                <w:tab w:val="clear" w:pos="9016"/>
              </w:tabs>
              <w:spacing w:before="0" w:after="0" w:line="240" w:lineRule="auto"/>
              <w:ind w:left="130"/>
              <w:textAlignment w:val="baseline"/>
              <w:rPr>
                <w:rFonts w:ascii="Segoe UI" w:eastAsia="Times New Roman" w:hAnsi="Segoe UI" w:cs="Segoe UI"/>
                <w:noProof w:val="0"/>
                <w:sz w:val="18"/>
                <w:szCs w:val="18"/>
              </w:rPr>
            </w:pPr>
            <w:r w:rsidRPr="00CF24C9">
              <w:rPr>
                <w:rFonts w:eastAsia="Times New Roman" w:cs="Arial"/>
                <w:noProof w:val="0"/>
                <w:sz w:val="20"/>
                <w:szCs w:val="20"/>
              </w:rPr>
              <w:t>* </w:t>
            </w:r>
          </w:p>
        </w:tc>
      </w:tr>
      <w:tr w:rsidR="00EC4216" w:rsidRPr="00CF24C9" w14:paraId="093AF7CB" w14:textId="77777777" w:rsidTr="007B3AAC">
        <w:trPr>
          <w:trHeight w:val="540"/>
        </w:trPr>
        <w:tc>
          <w:tcPr>
            <w:tcW w:w="523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DE9CE6" w14:textId="77777777" w:rsidR="00EC4216" w:rsidRPr="00CF24C9" w:rsidRDefault="00EC4216" w:rsidP="00A214F8">
            <w:pPr>
              <w:tabs>
                <w:tab w:val="clear" w:pos="2835"/>
                <w:tab w:val="clear" w:pos="5670"/>
                <w:tab w:val="clear" w:pos="9016"/>
              </w:tabs>
              <w:spacing w:before="0" w:after="0" w:line="240" w:lineRule="auto"/>
              <w:ind w:left="128"/>
              <w:textAlignment w:val="baseline"/>
              <w:rPr>
                <w:rFonts w:ascii="Segoe UI" w:eastAsia="Times New Roman" w:hAnsi="Segoe UI" w:cs="Segoe UI"/>
                <w:noProof w:val="0"/>
                <w:sz w:val="18"/>
                <w:szCs w:val="18"/>
              </w:rPr>
            </w:pPr>
            <w:r w:rsidRPr="00CF24C9">
              <w:rPr>
                <w:rFonts w:eastAsia="Times New Roman" w:cs="Arial"/>
                <w:noProof w:val="0"/>
                <w:color w:val="000000"/>
                <w:sz w:val="20"/>
                <w:szCs w:val="20"/>
              </w:rPr>
              <w:t>All first outpatient attendances (consultant-led) in all specialties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35FDD9" w14:textId="77777777" w:rsidR="00EC4216" w:rsidRPr="00CF24C9" w:rsidRDefault="00EC4216" w:rsidP="00A214F8">
            <w:pPr>
              <w:tabs>
                <w:tab w:val="clear" w:pos="2835"/>
                <w:tab w:val="clear" w:pos="5670"/>
                <w:tab w:val="clear" w:pos="9016"/>
              </w:tabs>
              <w:spacing w:before="0" w:after="0" w:line="240" w:lineRule="auto"/>
              <w:ind w:left="59"/>
              <w:textAlignment w:val="baseline"/>
              <w:rPr>
                <w:rFonts w:ascii="Segoe UI" w:eastAsia="Times New Roman" w:hAnsi="Segoe UI" w:cs="Segoe UI"/>
                <w:noProof w:val="0"/>
                <w:sz w:val="18"/>
                <w:szCs w:val="18"/>
              </w:rPr>
            </w:pPr>
            <w:r w:rsidRPr="00CF24C9">
              <w:rPr>
                <w:rFonts w:eastAsia="Times New Roman" w:cs="Arial"/>
                <w:noProof w:val="0"/>
                <w:sz w:val="20"/>
                <w:szCs w:val="20"/>
              </w:rPr>
              <w:t>2021-22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81C96" w14:textId="77777777" w:rsidR="00EC4216" w:rsidRPr="00CF24C9" w:rsidRDefault="00EC4216" w:rsidP="00A214F8">
            <w:pPr>
              <w:tabs>
                <w:tab w:val="clear" w:pos="2835"/>
                <w:tab w:val="clear" w:pos="5670"/>
                <w:tab w:val="clear" w:pos="9016"/>
              </w:tabs>
              <w:spacing w:before="0" w:after="0" w:line="240" w:lineRule="auto"/>
              <w:ind w:left="160" w:right="75"/>
              <w:textAlignment w:val="baseline"/>
              <w:rPr>
                <w:rFonts w:ascii="Segoe UI" w:eastAsia="Times New Roman" w:hAnsi="Segoe UI" w:cs="Segoe UI"/>
                <w:noProof w:val="0"/>
                <w:sz w:val="18"/>
                <w:szCs w:val="18"/>
              </w:rPr>
            </w:pPr>
            <w:r w:rsidRPr="00CF24C9">
              <w:rPr>
                <w:rFonts w:eastAsia="Times New Roman" w:cs="Arial"/>
                <w:noProof w:val="0"/>
                <w:sz w:val="20"/>
                <w:szCs w:val="20"/>
              </w:rPr>
              <w:t>98,887 </w:t>
            </w:r>
            <w:r w:rsidRPr="00CF24C9">
              <w:rPr>
                <w:rFonts w:eastAsia="Times New Roman" w:cs="Arial"/>
                <w:noProof w:val="0"/>
                <w:sz w:val="20"/>
                <w:szCs w:val="20"/>
              </w:rPr>
              <w:br/>
              <w:t>(Apr 2021-Jan 2022)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4D8D85" w14:textId="77777777" w:rsidR="00EC4216" w:rsidRPr="00CF24C9" w:rsidRDefault="00EC4216" w:rsidP="00A214F8">
            <w:pPr>
              <w:tabs>
                <w:tab w:val="clear" w:pos="2835"/>
                <w:tab w:val="clear" w:pos="5670"/>
                <w:tab w:val="clear" w:pos="9016"/>
              </w:tabs>
              <w:spacing w:before="0" w:after="0" w:line="240" w:lineRule="auto"/>
              <w:ind w:left="130"/>
              <w:textAlignment w:val="baseline"/>
              <w:rPr>
                <w:rFonts w:ascii="Segoe UI" w:eastAsia="Times New Roman" w:hAnsi="Segoe UI" w:cs="Segoe UI"/>
                <w:noProof w:val="0"/>
                <w:sz w:val="18"/>
                <w:szCs w:val="18"/>
              </w:rPr>
            </w:pPr>
            <w:r w:rsidRPr="00CF24C9">
              <w:rPr>
                <w:rFonts w:eastAsia="Times New Roman" w:cs="Arial"/>
                <w:noProof w:val="0"/>
                <w:sz w:val="20"/>
                <w:szCs w:val="20"/>
              </w:rPr>
              <w:t>* </w:t>
            </w:r>
          </w:p>
        </w:tc>
      </w:tr>
      <w:tr w:rsidR="00EC4216" w:rsidRPr="00CF24C9" w14:paraId="55199B9A" w14:textId="77777777" w:rsidTr="007B3AAC">
        <w:trPr>
          <w:trHeight w:val="615"/>
        </w:trPr>
        <w:tc>
          <w:tcPr>
            <w:tcW w:w="523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40DD5F" w14:textId="77777777" w:rsidR="00EC4216" w:rsidRPr="00CF24C9" w:rsidRDefault="00EC4216" w:rsidP="00A214F8">
            <w:pPr>
              <w:tabs>
                <w:tab w:val="clear" w:pos="2835"/>
                <w:tab w:val="clear" w:pos="5670"/>
                <w:tab w:val="clear" w:pos="9016"/>
              </w:tabs>
              <w:spacing w:before="0" w:after="0" w:line="240" w:lineRule="auto"/>
              <w:ind w:left="128"/>
              <w:textAlignment w:val="baseline"/>
              <w:rPr>
                <w:rFonts w:ascii="Segoe UI" w:eastAsia="Times New Roman" w:hAnsi="Segoe UI" w:cs="Segoe UI"/>
                <w:noProof w:val="0"/>
                <w:sz w:val="18"/>
                <w:szCs w:val="18"/>
              </w:rPr>
            </w:pPr>
            <w:r w:rsidRPr="00CF24C9">
              <w:rPr>
                <w:rFonts w:eastAsia="Times New Roman" w:cs="Arial"/>
                <w:noProof w:val="0"/>
                <w:color w:val="000000"/>
                <w:sz w:val="20"/>
                <w:szCs w:val="20"/>
              </w:rPr>
              <w:t>Number of other (non-GP) referrals for a first consultant outpatient episode in the period in all specialties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7948F2" w14:textId="77777777" w:rsidR="00EC4216" w:rsidRPr="00CF24C9" w:rsidRDefault="00EC4216" w:rsidP="00A214F8">
            <w:pPr>
              <w:tabs>
                <w:tab w:val="clear" w:pos="2835"/>
                <w:tab w:val="clear" w:pos="5670"/>
                <w:tab w:val="clear" w:pos="9016"/>
              </w:tabs>
              <w:spacing w:before="0" w:after="0" w:line="240" w:lineRule="auto"/>
              <w:ind w:left="59"/>
              <w:textAlignment w:val="baseline"/>
              <w:rPr>
                <w:rFonts w:ascii="Segoe UI" w:eastAsia="Times New Roman" w:hAnsi="Segoe UI" w:cs="Segoe UI"/>
                <w:noProof w:val="0"/>
                <w:sz w:val="18"/>
                <w:szCs w:val="18"/>
              </w:rPr>
            </w:pPr>
            <w:r w:rsidRPr="00CF24C9">
              <w:rPr>
                <w:rFonts w:eastAsia="Times New Roman" w:cs="Arial"/>
                <w:noProof w:val="0"/>
                <w:sz w:val="20"/>
                <w:szCs w:val="20"/>
              </w:rPr>
              <w:t>2021-22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05809" w14:textId="77777777" w:rsidR="00EC4216" w:rsidRPr="00CF24C9" w:rsidRDefault="00EC4216" w:rsidP="00A214F8">
            <w:pPr>
              <w:tabs>
                <w:tab w:val="clear" w:pos="2835"/>
                <w:tab w:val="clear" w:pos="5670"/>
                <w:tab w:val="clear" w:pos="9016"/>
              </w:tabs>
              <w:spacing w:before="0" w:after="0" w:line="240" w:lineRule="auto"/>
              <w:ind w:left="160" w:right="75"/>
              <w:textAlignment w:val="baseline"/>
              <w:rPr>
                <w:rFonts w:ascii="Segoe UI" w:eastAsia="Times New Roman" w:hAnsi="Segoe UI" w:cs="Segoe UI"/>
                <w:noProof w:val="0"/>
                <w:sz w:val="18"/>
                <w:szCs w:val="18"/>
              </w:rPr>
            </w:pPr>
            <w:r w:rsidRPr="00CF24C9">
              <w:rPr>
                <w:rFonts w:eastAsia="Times New Roman" w:cs="Arial"/>
                <w:noProof w:val="0"/>
                <w:sz w:val="20"/>
                <w:szCs w:val="20"/>
              </w:rPr>
              <w:t>21,516 </w:t>
            </w:r>
            <w:r w:rsidRPr="00CF24C9">
              <w:rPr>
                <w:rFonts w:eastAsia="Times New Roman" w:cs="Arial"/>
                <w:noProof w:val="0"/>
                <w:sz w:val="20"/>
                <w:szCs w:val="20"/>
              </w:rPr>
              <w:br/>
              <w:t>(Apr 2021-Jan 2022)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6E2F4E" w14:textId="77777777" w:rsidR="00EC4216" w:rsidRPr="00CF24C9" w:rsidRDefault="00EC4216" w:rsidP="00A214F8">
            <w:pPr>
              <w:tabs>
                <w:tab w:val="clear" w:pos="2835"/>
                <w:tab w:val="clear" w:pos="5670"/>
                <w:tab w:val="clear" w:pos="9016"/>
              </w:tabs>
              <w:spacing w:before="0" w:after="0" w:line="240" w:lineRule="auto"/>
              <w:ind w:left="130"/>
              <w:textAlignment w:val="baseline"/>
              <w:rPr>
                <w:rFonts w:ascii="Segoe UI" w:eastAsia="Times New Roman" w:hAnsi="Segoe UI" w:cs="Segoe UI"/>
                <w:noProof w:val="0"/>
                <w:sz w:val="18"/>
                <w:szCs w:val="18"/>
              </w:rPr>
            </w:pPr>
            <w:r w:rsidRPr="00CF24C9">
              <w:rPr>
                <w:rFonts w:eastAsia="Times New Roman" w:cs="Arial"/>
                <w:noProof w:val="0"/>
                <w:sz w:val="20"/>
                <w:szCs w:val="20"/>
              </w:rPr>
              <w:t>* </w:t>
            </w:r>
          </w:p>
        </w:tc>
      </w:tr>
      <w:tr w:rsidR="00EC4216" w:rsidRPr="00CF24C9" w14:paraId="46B206A1" w14:textId="77777777" w:rsidTr="007B3AAC">
        <w:trPr>
          <w:trHeight w:val="570"/>
        </w:trPr>
        <w:tc>
          <w:tcPr>
            <w:tcW w:w="523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733BBC" w14:textId="3FF67FA6" w:rsidR="00EC4216" w:rsidRPr="00CF24C9" w:rsidRDefault="00EC4216" w:rsidP="00A214F8">
            <w:pPr>
              <w:tabs>
                <w:tab w:val="clear" w:pos="2835"/>
                <w:tab w:val="clear" w:pos="5670"/>
                <w:tab w:val="clear" w:pos="9016"/>
              </w:tabs>
              <w:spacing w:before="0" w:after="0" w:line="240" w:lineRule="auto"/>
              <w:ind w:left="128"/>
              <w:textAlignment w:val="baseline"/>
              <w:rPr>
                <w:rFonts w:ascii="Segoe UI" w:eastAsia="Times New Roman" w:hAnsi="Segoe UI" w:cs="Segoe UI"/>
                <w:noProof w:val="0"/>
                <w:sz w:val="18"/>
                <w:szCs w:val="18"/>
              </w:rPr>
            </w:pPr>
            <w:r w:rsidRPr="00CF24C9">
              <w:rPr>
                <w:rFonts w:eastAsia="Times New Roman" w:cs="Arial"/>
                <w:noProof w:val="0"/>
                <w:color w:val="000000"/>
                <w:sz w:val="20"/>
                <w:szCs w:val="20"/>
              </w:rPr>
              <w:t xml:space="preserve">A&amp;E Attendances – All </w:t>
            </w:r>
            <w:r w:rsidR="00AF6A7C">
              <w:rPr>
                <w:rFonts w:eastAsia="Times New Roman" w:cs="Arial"/>
                <w:noProof w:val="0"/>
                <w:color w:val="000000"/>
                <w:sz w:val="20"/>
                <w:szCs w:val="20"/>
              </w:rPr>
              <w:t>t</w:t>
            </w:r>
            <w:r w:rsidRPr="00CF24C9">
              <w:rPr>
                <w:rFonts w:eastAsia="Times New Roman" w:cs="Arial"/>
                <w:noProof w:val="0"/>
                <w:color w:val="000000"/>
                <w:sz w:val="20"/>
                <w:szCs w:val="20"/>
              </w:rPr>
              <w:t>ypes </w:t>
            </w:r>
            <w:r w:rsidR="00AF6A7C" w:rsidRPr="00AF6A7C">
              <w:rPr>
                <w:rFonts w:eastAsia="Times New Roman" w:cs="Arial"/>
                <w:noProof w:val="0"/>
                <w:color w:val="000000"/>
                <w:sz w:val="16"/>
                <w:szCs w:val="16"/>
              </w:rPr>
              <w:t>(SUS data)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C77E81" w14:textId="77777777" w:rsidR="00EC4216" w:rsidRPr="00CF24C9" w:rsidRDefault="00EC4216" w:rsidP="00A214F8">
            <w:pPr>
              <w:tabs>
                <w:tab w:val="clear" w:pos="2835"/>
                <w:tab w:val="clear" w:pos="5670"/>
                <w:tab w:val="clear" w:pos="9016"/>
              </w:tabs>
              <w:spacing w:before="0" w:after="0" w:line="240" w:lineRule="auto"/>
              <w:ind w:left="59"/>
              <w:textAlignment w:val="baseline"/>
              <w:rPr>
                <w:rFonts w:ascii="Segoe UI" w:eastAsia="Times New Roman" w:hAnsi="Segoe UI" w:cs="Segoe UI"/>
                <w:noProof w:val="0"/>
                <w:sz w:val="18"/>
                <w:szCs w:val="18"/>
              </w:rPr>
            </w:pPr>
            <w:r w:rsidRPr="00CF24C9">
              <w:rPr>
                <w:rFonts w:eastAsia="Times New Roman" w:cs="Arial"/>
                <w:noProof w:val="0"/>
                <w:sz w:val="20"/>
                <w:szCs w:val="20"/>
              </w:rPr>
              <w:t>2021-22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4CE138" w14:textId="4F7F3285" w:rsidR="00EC4216" w:rsidRPr="00CF24C9" w:rsidRDefault="00AF6A7C" w:rsidP="00A214F8">
            <w:pPr>
              <w:tabs>
                <w:tab w:val="clear" w:pos="2835"/>
                <w:tab w:val="clear" w:pos="5670"/>
                <w:tab w:val="clear" w:pos="9016"/>
              </w:tabs>
              <w:spacing w:before="0" w:after="0" w:line="240" w:lineRule="auto"/>
              <w:ind w:left="160" w:right="75"/>
              <w:textAlignment w:val="baseline"/>
              <w:rPr>
                <w:rFonts w:ascii="Segoe UI" w:eastAsia="Times New Roman" w:hAnsi="Segoe UI" w:cs="Segoe UI"/>
                <w:noProof w:val="0"/>
                <w:sz w:val="18"/>
                <w:szCs w:val="18"/>
              </w:rPr>
            </w:pPr>
            <w:r>
              <w:rPr>
                <w:rFonts w:eastAsia="Times New Roman" w:cs="Arial"/>
                <w:noProof w:val="0"/>
                <w:sz w:val="20"/>
                <w:szCs w:val="20"/>
              </w:rPr>
              <w:t>144,280</w:t>
            </w:r>
            <w:r w:rsidR="00EC4216" w:rsidRPr="00CF24C9">
              <w:rPr>
                <w:rFonts w:eastAsia="Times New Roman" w:cs="Arial"/>
                <w:noProof w:val="0"/>
                <w:sz w:val="20"/>
                <w:szCs w:val="20"/>
              </w:rPr>
              <w:t> </w:t>
            </w:r>
            <w:r w:rsidR="00EC4216" w:rsidRPr="00CF24C9">
              <w:rPr>
                <w:rFonts w:eastAsia="Times New Roman" w:cs="Arial"/>
                <w:noProof w:val="0"/>
                <w:sz w:val="20"/>
                <w:szCs w:val="20"/>
              </w:rPr>
              <w:br/>
              <w:t>(Apr 2021-</w:t>
            </w:r>
            <w:r>
              <w:rPr>
                <w:rFonts w:eastAsia="Times New Roman" w:cs="Arial"/>
                <w:noProof w:val="0"/>
                <w:sz w:val="20"/>
                <w:szCs w:val="20"/>
              </w:rPr>
              <w:t>Feb</w:t>
            </w:r>
            <w:r w:rsidR="00EC4216" w:rsidRPr="00CF24C9">
              <w:rPr>
                <w:rFonts w:eastAsia="Times New Roman" w:cs="Arial"/>
                <w:noProof w:val="0"/>
                <w:sz w:val="20"/>
                <w:szCs w:val="20"/>
              </w:rPr>
              <w:t xml:space="preserve"> 2022)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6910B0" w14:textId="77777777" w:rsidR="00EC4216" w:rsidRPr="00CF24C9" w:rsidRDefault="00EC4216" w:rsidP="00A214F8">
            <w:pPr>
              <w:tabs>
                <w:tab w:val="clear" w:pos="2835"/>
                <w:tab w:val="clear" w:pos="5670"/>
                <w:tab w:val="clear" w:pos="9016"/>
              </w:tabs>
              <w:spacing w:before="0" w:after="0" w:line="240" w:lineRule="auto"/>
              <w:ind w:left="130"/>
              <w:textAlignment w:val="baseline"/>
              <w:rPr>
                <w:rFonts w:ascii="Segoe UI" w:eastAsia="Times New Roman" w:hAnsi="Segoe UI" w:cs="Segoe UI"/>
                <w:noProof w:val="0"/>
                <w:sz w:val="18"/>
                <w:szCs w:val="18"/>
              </w:rPr>
            </w:pPr>
            <w:r w:rsidRPr="00CF24C9">
              <w:rPr>
                <w:rFonts w:eastAsia="Times New Roman" w:cs="Arial"/>
                <w:noProof w:val="0"/>
                <w:sz w:val="20"/>
                <w:szCs w:val="20"/>
              </w:rPr>
              <w:t>* </w:t>
            </w:r>
          </w:p>
        </w:tc>
      </w:tr>
      <w:tr w:rsidR="00EC4216" w:rsidRPr="00CF24C9" w14:paraId="5AD82C2A" w14:textId="77777777" w:rsidTr="007B3AAC">
        <w:trPr>
          <w:trHeight w:val="540"/>
        </w:trPr>
        <w:tc>
          <w:tcPr>
            <w:tcW w:w="523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B52E66" w14:textId="77D21367" w:rsidR="00EC4216" w:rsidRPr="00CF24C9" w:rsidRDefault="00EC4216" w:rsidP="00A214F8">
            <w:pPr>
              <w:tabs>
                <w:tab w:val="clear" w:pos="2835"/>
                <w:tab w:val="clear" w:pos="5670"/>
                <w:tab w:val="clear" w:pos="9016"/>
              </w:tabs>
              <w:spacing w:before="0" w:after="0" w:line="240" w:lineRule="auto"/>
              <w:ind w:left="128"/>
              <w:textAlignment w:val="baseline"/>
              <w:rPr>
                <w:rFonts w:ascii="Segoe UI" w:eastAsia="Times New Roman" w:hAnsi="Segoe UI" w:cs="Segoe UI"/>
                <w:noProof w:val="0"/>
                <w:sz w:val="18"/>
                <w:szCs w:val="18"/>
              </w:rPr>
            </w:pPr>
            <w:r w:rsidRPr="00CF24C9">
              <w:rPr>
                <w:rFonts w:eastAsia="Times New Roman" w:cs="Arial"/>
                <w:noProof w:val="0"/>
                <w:color w:val="000000"/>
                <w:sz w:val="20"/>
                <w:szCs w:val="20"/>
              </w:rPr>
              <w:t>A&amp;E Attendances - Type 1 </w:t>
            </w:r>
            <w:r w:rsidR="00AF6A7C" w:rsidRPr="00AF6A7C">
              <w:rPr>
                <w:rFonts w:eastAsia="Times New Roman" w:cs="Arial"/>
                <w:noProof w:val="0"/>
                <w:color w:val="000000"/>
                <w:sz w:val="16"/>
                <w:szCs w:val="16"/>
              </w:rPr>
              <w:t>(SUS data)</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C1C5B6" w14:textId="77777777" w:rsidR="00EC4216" w:rsidRPr="00CF24C9" w:rsidRDefault="00EC4216" w:rsidP="00A214F8">
            <w:pPr>
              <w:tabs>
                <w:tab w:val="clear" w:pos="2835"/>
                <w:tab w:val="clear" w:pos="5670"/>
                <w:tab w:val="clear" w:pos="9016"/>
              </w:tabs>
              <w:spacing w:before="0" w:after="0" w:line="240" w:lineRule="auto"/>
              <w:ind w:left="59"/>
              <w:textAlignment w:val="baseline"/>
              <w:rPr>
                <w:rFonts w:ascii="Segoe UI" w:eastAsia="Times New Roman" w:hAnsi="Segoe UI" w:cs="Segoe UI"/>
                <w:noProof w:val="0"/>
                <w:sz w:val="18"/>
                <w:szCs w:val="18"/>
              </w:rPr>
            </w:pPr>
            <w:r w:rsidRPr="00CF24C9">
              <w:rPr>
                <w:rFonts w:eastAsia="Times New Roman" w:cs="Arial"/>
                <w:noProof w:val="0"/>
                <w:sz w:val="20"/>
                <w:szCs w:val="20"/>
              </w:rPr>
              <w:t>2021-22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ABBF9" w14:textId="76CD4316" w:rsidR="00EC4216" w:rsidRPr="00CF24C9" w:rsidRDefault="00AF6A7C" w:rsidP="00A214F8">
            <w:pPr>
              <w:tabs>
                <w:tab w:val="clear" w:pos="2835"/>
                <w:tab w:val="clear" w:pos="5670"/>
                <w:tab w:val="clear" w:pos="9016"/>
              </w:tabs>
              <w:spacing w:before="0" w:after="0" w:line="240" w:lineRule="auto"/>
              <w:ind w:left="160" w:right="75"/>
              <w:textAlignment w:val="baseline"/>
              <w:rPr>
                <w:rFonts w:ascii="Segoe UI" w:eastAsia="Times New Roman" w:hAnsi="Segoe UI" w:cs="Segoe UI"/>
                <w:noProof w:val="0"/>
                <w:sz w:val="18"/>
                <w:szCs w:val="18"/>
              </w:rPr>
            </w:pPr>
            <w:r>
              <w:rPr>
                <w:rFonts w:eastAsia="Times New Roman" w:cs="Arial"/>
                <w:noProof w:val="0"/>
                <w:sz w:val="20"/>
                <w:szCs w:val="20"/>
              </w:rPr>
              <w:t>77,313</w:t>
            </w:r>
            <w:r w:rsidR="00EC4216" w:rsidRPr="00CF24C9">
              <w:rPr>
                <w:rFonts w:eastAsia="Times New Roman" w:cs="Arial"/>
                <w:noProof w:val="0"/>
                <w:sz w:val="20"/>
                <w:szCs w:val="20"/>
              </w:rPr>
              <w:t> </w:t>
            </w:r>
            <w:r w:rsidR="00EC4216" w:rsidRPr="00CF24C9">
              <w:rPr>
                <w:rFonts w:eastAsia="Times New Roman" w:cs="Arial"/>
                <w:noProof w:val="0"/>
                <w:sz w:val="20"/>
                <w:szCs w:val="20"/>
              </w:rPr>
              <w:br/>
              <w:t>(Apr 20</w:t>
            </w:r>
            <w:r>
              <w:rPr>
                <w:rFonts w:eastAsia="Times New Roman" w:cs="Arial"/>
                <w:noProof w:val="0"/>
                <w:sz w:val="20"/>
                <w:szCs w:val="20"/>
              </w:rPr>
              <w:t>2</w:t>
            </w:r>
            <w:r w:rsidR="00EC4216" w:rsidRPr="00CF24C9">
              <w:rPr>
                <w:rFonts w:eastAsia="Times New Roman" w:cs="Arial"/>
                <w:noProof w:val="0"/>
                <w:sz w:val="20"/>
                <w:szCs w:val="20"/>
              </w:rPr>
              <w:t>1-</w:t>
            </w:r>
            <w:r>
              <w:rPr>
                <w:rFonts w:eastAsia="Times New Roman" w:cs="Arial"/>
                <w:noProof w:val="0"/>
                <w:sz w:val="20"/>
                <w:szCs w:val="20"/>
              </w:rPr>
              <w:t>Feb</w:t>
            </w:r>
            <w:r w:rsidR="00EC4216" w:rsidRPr="00CF24C9">
              <w:rPr>
                <w:rFonts w:eastAsia="Times New Roman" w:cs="Arial"/>
                <w:noProof w:val="0"/>
                <w:sz w:val="20"/>
                <w:szCs w:val="20"/>
              </w:rPr>
              <w:t xml:space="preserve"> 2022)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9A05AB" w14:textId="77777777" w:rsidR="00EC4216" w:rsidRPr="00CF24C9" w:rsidRDefault="00EC4216" w:rsidP="00A214F8">
            <w:pPr>
              <w:tabs>
                <w:tab w:val="clear" w:pos="2835"/>
                <w:tab w:val="clear" w:pos="5670"/>
                <w:tab w:val="clear" w:pos="9016"/>
              </w:tabs>
              <w:spacing w:before="0" w:after="0" w:line="240" w:lineRule="auto"/>
              <w:ind w:left="130"/>
              <w:textAlignment w:val="baseline"/>
              <w:rPr>
                <w:rFonts w:ascii="Segoe UI" w:eastAsia="Times New Roman" w:hAnsi="Segoe UI" w:cs="Segoe UI"/>
                <w:noProof w:val="0"/>
                <w:sz w:val="18"/>
                <w:szCs w:val="18"/>
              </w:rPr>
            </w:pPr>
            <w:r w:rsidRPr="00CF24C9">
              <w:rPr>
                <w:rFonts w:eastAsia="Times New Roman" w:cs="Arial"/>
                <w:noProof w:val="0"/>
                <w:sz w:val="20"/>
                <w:szCs w:val="20"/>
              </w:rPr>
              <w:t>* </w:t>
            </w:r>
          </w:p>
        </w:tc>
      </w:tr>
      <w:tr w:rsidR="00EC4216" w:rsidRPr="00CF24C9" w14:paraId="7BAC9832" w14:textId="77777777" w:rsidTr="007B3AAC">
        <w:trPr>
          <w:trHeight w:val="630"/>
        </w:trPr>
        <w:tc>
          <w:tcPr>
            <w:tcW w:w="523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232631" w14:textId="7739EDB6" w:rsidR="00EC4216" w:rsidRPr="00CF24C9" w:rsidRDefault="00EC4216" w:rsidP="00A214F8">
            <w:pPr>
              <w:tabs>
                <w:tab w:val="clear" w:pos="2835"/>
                <w:tab w:val="clear" w:pos="5670"/>
                <w:tab w:val="clear" w:pos="9016"/>
              </w:tabs>
              <w:spacing w:before="0" w:after="0" w:line="240" w:lineRule="auto"/>
              <w:ind w:left="128"/>
              <w:textAlignment w:val="baseline"/>
              <w:rPr>
                <w:rFonts w:ascii="Segoe UI" w:eastAsia="Times New Roman" w:hAnsi="Segoe UI" w:cs="Segoe UI"/>
                <w:noProof w:val="0"/>
                <w:sz w:val="18"/>
                <w:szCs w:val="18"/>
              </w:rPr>
            </w:pPr>
            <w:r w:rsidRPr="00CF24C9">
              <w:rPr>
                <w:rFonts w:eastAsia="Times New Roman" w:cs="Arial"/>
                <w:noProof w:val="0"/>
                <w:color w:val="000000"/>
                <w:sz w:val="20"/>
                <w:szCs w:val="20"/>
              </w:rPr>
              <w:t xml:space="preserve">A&amp;E waiting time performance - All </w:t>
            </w:r>
            <w:r w:rsidR="00AF6A7C">
              <w:rPr>
                <w:rFonts w:eastAsia="Times New Roman" w:cs="Arial"/>
                <w:noProof w:val="0"/>
                <w:color w:val="000000"/>
                <w:sz w:val="20"/>
                <w:szCs w:val="20"/>
              </w:rPr>
              <w:t>t</w:t>
            </w:r>
            <w:r w:rsidRPr="00CF24C9">
              <w:rPr>
                <w:rFonts w:eastAsia="Times New Roman" w:cs="Arial"/>
                <w:noProof w:val="0"/>
                <w:color w:val="000000"/>
                <w:sz w:val="20"/>
                <w:szCs w:val="20"/>
              </w:rPr>
              <w:t xml:space="preserve">ypes -% of patients who spent 4 hours or less in A&amp;E from arrival to transfer, admission or discharge </w:t>
            </w:r>
            <w:r w:rsidRPr="00AF6A7C">
              <w:rPr>
                <w:rFonts w:eastAsia="Times New Roman" w:cs="Arial"/>
                <w:noProof w:val="0"/>
                <w:color w:val="000000"/>
                <w:sz w:val="16"/>
                <w:szCs w:val="16"/>
              </w:rPr>
              <w:t>(</w:t>
            </w:r>
            <w:r w:rsidR="00AF6A7C" w:rsidRPr="00AF6A7C">
              <w:rPr>
                <w:rFonts w:eastAsia="Times New Roman" w:cs="Arial"/>
                <w:noProof w:val="0"/>
                <w:color w:val="000000"/>
                <w:sz w:val="16"/>
                <w:szCs w:val="16"/>
              </w:rPr>
              <w:t>SUS</w:t>
            </w:r>
            <w:r w:rsidRPr="00AF6A7C">
              <w:rPr>
                <w:rFonts w:eastAsia="Times New Roman" w:cs="Arial"/>
                <w:noProof w:val="0"/>
                <w:color w:val="000000"/>
                <w:sz w:val="16"/>
                <w:szCs w:val="16"/>
              </w:rPr>
              <w:t xml:space="preserve"> data)</w:t>
            </w:r>
            <w:r w:rsidRPr="00CF24C9">
              <w:rPr>
                <w:rFonts w:eastAsia="Times New Roman" w:cs="Arial"/>
                <w:noProof w:val="0"/>
                <w:color w:val="000000"/>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7D04F7" w14:textId="77777777" w:rsidR="00EC4216" w:rsidRPr="00CF24C9" w:rsidRDefault="00EC4216" w:rsidP="00A214F8">
            <w:pPr>
              <w:tabs>
                <w:tab w:val="clear" w:pos="2835"/>
                <w:tab w:val="clear" w:pos="5670"/>
                <w:tab w:val="clear" w:pos="9016"/>
              </w:tabs>
              <w:spacing w:before="0" w:after="0" w:line="240" w:lineRule="auto"/>
              <w:ind w:left="59"/>
              <w:textAlignment w:val="baseline"/>
              <w:rPr>
                <w:rFonts w:ascii="Segoe UI" w:eastAsia="Times New Roman" w:hAnsi="Segoe UI" w:cs="Segoe UI"/>
                <w:noProof w:val="0"/>
                <w:sz w:val="18"/>
                <w:szCs w:val="18"/>
              </w:rPr>
            </w:pPr>
            <w:r w:rsidRPr="00CF24C9">
              <w:rPr>
                <w:rFonts w:eastAsia="Times New Roman" w:cs="Arial"/>
                <w:noProof w:val="0"/>
                <w:sz w:val="20"/>
                <w:szCs w:val="20"/>
              </w:rPr>
              <w:t>2021-22 </w:t>
            </w:r>
          </w:p>
        </w:tc>
        <w:tc>
          <w:tcPr>
            <w:tcW w:w="1843" w:type="dxa"/>
            <w:tcBorders>
              <w:top w:val="single" w:sz="6" w:space="0" w:color="auto"/>
              <w:left w:val="single" w:sz="6" w:space="0" w:color="auto"/>
              <w:bottom w:val="single" w:sz="6" w:space="0" w:color="auto"/>
              <w:right w:val="single" w:sz="6" w:space="0" w:color="auto"/>
            </w:tcBorders>
            <w:shd w:val="clear" w:color="auto" w:fill="E5B8B7"/>
            <w:vAlign w:val="center"/>
            <w:hideMark/>
          </w:tcPr>
          <w:p w14:paraId="1C341F12" w14:textId="7A9E4547" w:rsidR="00EC4216" w:rsidRPr="00CF24C9" w:rsidRDefault="00AF6A7C" w:rsidP="00A214F8">
            <w:pPr>
              <w:tabs>
                <w:tab w:val="clear" w:pos="2835"/>
                <w:tab w:val="clear" w:pos="5670"/>
                <w:tab w:val="clear" w:pos="9016"/>
              </w:tabs>
              <w:spacing w:before="0" w:after="0" w:line="240" w:lineRule="auto"/>
              <w:ind w:left="160" w:right="75"/>
              <w:textAlignment w:val="baseline"/>
              <w:rPr>
                <w:rFonts w:ascii="Segoe UI" w:eastAsia="Times New Roman" w:hAnsi="Segoe UI" w:cs="Segoe UI"/>
                <w:noProof w:val="0"/>
                <w:sz w:val="18"/>
                <w:szCs w:val="18"/>
              </w:rPr>
            </w:pPr>
            <w:r>
              <w:rPr>
                <w:rFonts w:eastAsia="Times New Roman" w:cs="Arial"/>
                <w:noProof w:val="0"/>
                <w:sz w:val="20"/>
                <w:szCs w:val="20"/>
              </w:rPr>
              <w:t>76.7</w:t>
            </w:r>
            <w:r w:rsidR="00EC4216" w:rsidRPr="00CF24C9">
              <w:rPr>
                <w:rFonts w:eastAsia="Times New Roman" w:cs="Arial"/>
                <w:noProof w:val="0"/>
                <w:sz w:val="20"/>
                <w:szCs w:val="20"/>
              </w:rPr>
              <w:t>% </w:t>
            </w:r>
            <w:r w:rsidR="00EC4216" w:rsidRPr="00CF24C9">
              <w:rPr>
                <w:rFonts w:eastAsia="Times New Roman" w:cs="Arial"/>
                <w:noProof w:val="0"/>
                <w:sz w:val="20"/>
                <w:szCs w:val="20"/>
              </w:rPr>
              <w:br/>
              <w:t>(Apr 2021-Feb 2022)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98B6E1" w14:textId="77777777" w:rsidR="00EC4216" w:rsidRPr="00CF24C9" w:rsidRDefault="00EC4216" w:rsidP="00A214F8">
            <w:pPr>
              <w:tabs>
                <w:tab w:val="clear" w:pos="2835"/>
                <w:tab w:val="clear" w:pos="5670"/>
                <w:tab w:val="clear" w:pos="9016"/>
              </w:tabs>
              <w:spacing w:before="0" w:after="0" w:line="240" w:lineRule="auto"/>
              <w:ind w:left="130"/>
              <w:textAlignment w:val="baseline"/>
              <w:rPr>
                <w:rFonts w:ascii="Segoe UI" w:eastAsia="Times New Roman" w:hAnsi="Segoe UI" w:cs="Segoe UI"/>
                <w:noProof w:val="0"/>
                <w:sz w:val="18"/>
                <w:szCs w:val="18"/>
              </w:rPr>
            </w:pPr>
            <w:r w:rsidRPr="00CF24C9">
              <w:rPr>
                <w:rFonts w:eastAsia="Times New Roman" w:cs="Arial"/>
                <w:noProof w:val="0"/>
                <w:sz w:val="20"/>
                <w:szCs w:val="20"/>
              </w:rPr>
              <w:t>95% </w:t>
            </w:r>
          </w:p>
        </w:tc>
      </w:tr>
    </w:tbl>
    <w:p w14:paraId="0506AB66" w14:textId="77777777" w:rsidR="00AF6A7C" w:rsidRDefault="00EC4216" w:rsidP="00AF6A7C">
      <w:pPr>
        <w:spacing w:after="0" w:line="240" w:lineRule="auto"/>
        <w:ind w:right="-57"/>
        <w:rPr>
          <w:rStyle w:val="normaltextrun"/>
          <w:i/>
          <w:iCs/>
          <w:color w:val="000000"/>
          <w:sz w:val="16"/>
          <w:szCs w:val="16"/>
          <w:shd w:val="clear" w:color="auto" w:fill="FFFFFF"/>
        </w:rPr>
      </w:pPr>
      <w:r w:rsidRPr="006C6512">
        <w:rPr>
          <w:rStyle w:val="normaltextrun"/>
          <w:i/>
          <w:iCs/>
          <w:color w:val="000000"/>
          <w:sz w:val="16"/>
          <w:szCs w:val="16"/>
          <w:shd w:val="clear" w:color="auto" w:fill="FFFFFF"/>
        </w:rPr>
        <w:t>* Operational planning for 2021</w:t>
      </w:r>
      <w:r w:rsidR="006C6512">
        <w:rPr>
          <w:rStyle w:val="normaltextrun"/>
          <w:i/>
          <w:iCs/>
          <w:color w:val="000000"/>
          <w:sz w:val="16"/>
          <w:szCs w:val="16"/>
          <w:shd w:val="clear" w:color="auto" w:fill="FFFFFF"/>
        </w:rPr>
        <w:t>-</w:t>
      </w:r>
      <w:r w:rsidRPr="006C6512">
        <w:rPr>
          <w:rStyle w:val="normaltextrun"/>
          <w:i/>
          <w:iCs/>
          <w:color w:val="000000"/>
          <w:sz w:val="16"/>
          <w:szCs w:val="16"/>
          <w:shd w:val="clear" w:color="auto" w:fill="FFFFFF"/>
        </w:rPr>
        <w:t>22 was based on different methodology and therefore targets are not measurable against this data. </w:t>
      </w:r>
    </w:p>
    <w:p w14:paraId="2757BACA" w14:textId="36A84EE7" w:rsidR="00EC4216" w:rsidRPr="007248E8" w:rsidRDefault="00AF6A7C" w:rsidP="007248E8">
      <w:pPr>
        <w:rPr>
          <w:rFonts w:ascii="Calibri" w:eastAsiaTheme="minorHAnsi" w:hAnsi="Calibri"/>
          <w:noProof w:val="0"/>
          <w:sz w:val="16"/>
          <w:szCs w:val="16"/>
        </w:rPr>
      </w:pPr>
      <w:r w:rsidRPr="00AF6A7C">
        <w:rPr>
          <w:sz w:val="16"/>
          <w:szCs w:val="16"/>
        </w:rPr>
        <w:t xml:space="preserve">Please note - A&amp;E attendances for type 1 and all types, and A&amp;E waiting time performance taken from </w:t>
      </w:r>
      <w:r>
        <w:rPr>
          <w:sz w:val="16"/>
          <w:szCs w:val="16"/>
        </w:rPr>
        <w:t xml:space="preserve">Secondary </w:t>
      </w:r>
      <w:r w:rsidR="007248E8">
        <w:rPr>
          <w:sz w:val="16"/>
          <w:szCs w:val="16"/>
        </w:rPr>
        <w:t>U</w:t>
      </w:r>
      <w:r>
        <w:rPr>
          <w:sz w:val="16"/>
          <w:szCs w:val="16"/>
        </w:rPr>
        <w:t>ses Service (</w:t>
      </w:r>
      <w:r w:rsidRPr="00AF6A7C">
        <w:rPr>
          <w:sz w:val="16"/>
          <w:szCs w:val="16"/>
        </w:rPr>
        <w:t>SUS</w:t>
      </w:r>
      <w:r>
        <w:rPr>
          <w:sz w:val="16"/>
          <w:szCs w:val="16"/>
        </w:rPr>
        <w:t>)</w:t>
      </w:r>
      <w:r w:rsidRPr="00AF6A7C">
        <w:rPr>
          <w:sz w:val="16"/>
          <w:szCs w:val="16"/>
        </w:rPr>
        <w:t xml:space="preserve"> data.</w:t>
      </w:r>
    </w:p>
    <w:p w14:paraId="6BA59E56" w14:textId="77777777" w:rsidR="00EC4216" w:rsidRPr="006C6512" w:rsidRDefault="00EC4216" w:rsidP="006C6512">
      <w:pPr>
        <w:spacing w:after="0" w:line="240" w:lineRule="auto"/>
        <w:rPr>
          <w:rFonts w:eastAsia="Times New Roman" w:cs="Arial"/>
          <w:b/>
          <w:sz w:val="18"/>
          <w:szCs w:val="18"/>
        </w:rPr>
      </w:pPr>
      <w:r w:rsidRPr="006C6512">
        <w:rPr>
          <w:rFonts w:eastAsia="Times New Roman" w:cs="Arial"/>
          <w:b/>
          <w:sz w:val="18"/>
          <w:szCs w:val="18"/>
        </w:rPr>
        <w:t>Commentary:</w:t>
      </w:r>
    </w:p>
    <w:p w14:paraId="4BB849F8" w14:textId="77777777" w:rsidR="00EC4216" w:rsidRPr="006C6512" w:rsidRDefault="00EC4216" w:rsidP="006C6512">
      <w:pPr>
        <w:tabs>
          <w:tab w:val="left" w:pos="9781"/>
        </w:tabs>
        <w:spacing w:after="0" w:line="240" w:lineRule="auto"/>
        <w:ind w:right="227"/>
        <w:rPr>
          <w:rFonts w:cs="Arial"/>
          <w:b/>
          <w:sz w:val="18"/>
          <w:szCs w:val="18"/>
        </w:rPr>
      </w:pPr>
      <w:r w:rsidRPr="006C6512">
        <w:rPr>
          <w:rFonts w:cs="Arial"/>
          <w:b/>
          <w:sz w:val="18"/>
          <w:szCs w:val="18"/>
        </w:rPr>
        <w:t>Performance against the A&amp;E operational standard whereby patients should spend no more than 4 hours in A&amp;E from arrival to admission, transfer or discharge has been variable during 2021-22 to date.</w:t>
      </w:r>
    </w:p>
    <w:p w14:paraId="77FA8B54" w14:textId="77777777" w:rsidR="00EC4216" w:rsidRPr="006C6512" w:rsidRDefault="00EC4216" w:rsidP="006C6512">
      <w:pPr>
        <w:tabs>
          <w:tab w:val="left" w:pos="9781"/>
        </w:tabs>
        <w:spacing w:after="0" w:line="240" w:lineRule="auto"/>
        <w:ind w:right="227"/>
        <w:rPr>
          <w:rFonts w:cs="Arial"/>
          <w:b/>
          <w:sz w:val="18"/>
          <w:szCs w:val="18"/>
        </w:rPr>
      </w:pPr>
      <w:r w:rsidRPr="006C6512">
        <w:rPr>
          <w:rFonts w:cs="Arial"/>
          <w:b/>
          <w:sz w:val="18"/>
          <w:szCs w:val="18"/>
        </w:rPr>
        <w:t>Throughout 2021-22, and the pandemic, there has been significant and continued demand on the urgent and emergency care pathways with flow through A&amp;E being impacted by increasing numbers of individuals attending with suspected and confirmed Covid.  This required the duplication of pathways to ensure that those with no signs of Covid were managed seperately to those with suspected/confirmed Covid.  We have also seen attendance, within the Urgent Treatment Centre (UTC) setting at Bransholme, surpass pre-pandemic levels from January 2022 and continuing to rise.</w:t>
      </w:r>
    </w:p>
    <w:p w14:paraId="1EC0C02E" w14:textId="3CA436B5" w:rsidR="00EC4216" w:rsidRPr="006C6512" w:rsidRDefault="00EC4216" w:rsidP="006C6512">
      <w:pPr>
        <w:tabs>
          <w:tab w:val="left" w:pos="9781"/>
        </w:tabs>
        <w:spacing w:after="0" w:line="240" w:lineRule="auto"/>
        <w:ind w:right="227"/>
        <w:rPr>
          <w:rFonts w:cs="Arial"/>
          <w:b/>
          <w:sz w:val="18"/>
          <w:szCs w:val="18"/>
        </w:rPr>
      </w:pPr>
      <w:bookmarkStart w:id="56" w:name="_Hlk98488173"/>
      <w:r w:rsidRPr="006C6512">
        <w:rPr>
          <w:rFonts w:cs="Arial"/>
          <w:b/>
          <w:sz w:val="18"/>
          <w:szCs w:val="18"/>
        </w:rPr>
        <w:t xml:space="preserve">Work continues with NHS 111 and 999 to support them undertaking ‘Hear and Treat’ conversations, where they refer patients directly to the most appropriate service to meet their need.  Further work is being undertaken to review all the different serices that NHS 111 and 999, and other health and care services, can access and direct individuals to. This includes the development of a 2 Hour Crisis Response Service, to respond quickly to individuals in the community, who can be supported to stay at home with the right care. This reduces the need for a number of individuals having to go to A&amp;E as their care can be better delivered by a different service, </w:t>
      </w:r>
      <w:bookmarkEnd w:id="56"/>
      <w:r w:rsidRPr="006C6512">
        <w:rPr>
          <w:rFonts w:cs="Arial"/>
          <w:b/>
          <w:sz w:val="18"/>
          <w:szCs w:val="18"/>
        </w:rPr>
        <w:t>ensuring the patients receive the ‘right treatment, in the right place, at the right time’, and the best outcome for them.</w:t>
      </w:r>
    </w:p>
    <w:p w14:paraId="6399667F" w14:textId="77777777" w:rsidR="00EC4216" w:rsidRDefault="00EC4216" w:rsidP="00EC4216">
      <w:pPr>
        <w:tabs>
          <w:tab w:val="left" w:pos="9781"/>
        </w:tabs>
        <w:spacing w:after="0" w:line="240" w:lineRule="auto"/>
        <w:ind w:right="227"/>
        <w:rPr>
          <w:rFonts w:cs="Arial"/>
          <w:b/>
          <w:sz w:val="20"/>
          <w:szCs w:val="20"/>
        </w:rPr>
      </w:pPr>
    </w:p>
    <w:tbl>
      <w:tblPr>
        <w:tblpPr w:leftFromText="180" w:rightFromText="180" w:vertAnchor="text" w:horzAnchor="margin" w:tblpY="1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5"/>
        <w:gridCol w:w="1080"/>
        <w:gridCol w:w="1872"/>
        <w:gridCol w:w="1843"/>
      </w:tblGrid>
      <w:tr w:rsidR="00EC4216" w:rsidRPr="00685FBA" w14:paraId="5401C4B9" w14:textId="77777777" w:rsidTr="007B3AAC">
        <w:trPr>
          <w:trHeight w:val="510"/>
        </w:trPr>
        <w:tc>
          <w:tcPr>
            <w:tcW w:w="5265" w:type="dxa"/>
            <w:tcBorders>
              <w:top w:val="single" w:sz="4" w:space="0" w:color="auto"/>
              <w:left w:val="single" w:sz="4" w:space="0" w:color="auto"/>
              <w:bottom w:val="single" w:sz="4" w:space="0" w:color="auto"/>
              <w:right w:val="single" w:sz="4" w:space="0" w:color="auto"/>
            </w:tcBorders>
            <w:shd w:val="clear" w:color="auto" w:fill="95B3D7"/>
            <w:vAlign w:val="center"/>
          </w:tcPr>
          <w:p w14:paraId="0EFE0269" w14:textId="77777777" w:rsidR="00EC4216" w:rsidRPr="00685FBA" w:rsidRDefault="00EC4216" w:rsidP="00A214F8">
            <w:pPr>
              <w:spacing w:before="0" w:after="0" w:line="240" w:lineRule="auto"/>
              <w:rPr>
                <w:rFonts w:eastAsia="Times New Roman" w:cs="Arial"/>
                <w:b/>
                <w:sz w:val="20"/>
                <w:szCs w:val="20"/>
              </w:rPr>
            </w:pPr>
            <w:r w:rsidRPr="00685FBA">
              <w:rPr>
                <w:rFonts w:eastAsia="Times New Roman" w:cs="Arial"/>
                <w:b/>
                <w:sz w:val="20"/>
                <w:szCs w:val="20"/>
              </w:rPr>
              <w:t>Ambulance Response</w:t>
            </w:r>
          </w:p>
        </w:tc>
        <w:tc>
          <w:tcPr>
            <w:tcW w:w="1080" w:type="dxa"/>
            <w:tcBorders>
              <w:top w:val="single" w:sz="4" w:space="0" w:color="auto"/>
              <w:left w:val="single" w:sz="4" w:space="0" w:color="auto"/>
              <w:bottom w:val="single" w:sz="4" w:space="0" w:color="auto"/>
              <w:right w:val="single" w:sz="4" w:space="0" w:color="auto"/>
            </w:tcBorders>
            <w:shd w:val="clear" w:color="auto" w:fill="95B3D7"/>
            <w:vAlign w:val="center"/>
          </w:tcPr>
          <w:p w14:paraId="41AF3BAE" w14:textId="77777777" w:rsidR="00EC4216" w:rsidRPr="00685FBA" w:rsidRDefault="00EC4216" w:rsidP="00A214F8">
            <w:pPr>
              <w:spacing w:before="0" w:after="0" w:line="240" w:lineRule="auto"/>
              <w:rPr>
                <w:rFonts w:eastAsia="Times New Roman" w:cs="Arial"/>
                <w:sz w:val="20"/>
                <w:szCs w:val="20"/>
              </w:rPr>
            </w:pPr>
          </w:p>
        </w:tc>
        <w:tc>
          <w:tcPr>
            <w:tcW w:w="1872"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7A914B43" w14:textId="77777777" w:rsidR="00EC4216" w:rsidRPr="00685FBA" w:rsidRDefault="00EC4216" w:rsidP="00A214F8">
            <w:pPr>
              <w:spacing w:before="0" w:after="0" w:line="240" w:lineRule="auto"/>
              <w:rPr>
                <w:rFonts w:eastAsia="Times New Roman" w:cs="Arial"/>
                <w:sz w:val="20"/>
                <w:szCs w:val="20"/>
              </w:rPr>
            </w:pPr>
            <w:r w:rsidRPr="00685FBA">
              <w:rPr>
                <w:rFonts w:eastAsia="Times New Roman" w:cs="Arial"/>
                <w:b/>
                <w:bCs/>
                <w:sz w:val="20"/>
                <w:szCs w:val="20"/>
              </w:rPr>
              <w:t>Actual (YTD)</w:t>
            </w:r>
          </w:p>
        </w:tc>
        <w:tc>
          <w:tcPr>
            <w:tcW w:w="1843"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33014D5D" w14:textId="77777777" w:rsidR="00EC4216" w:rsidRPr="00685FBA" w:rsidRDefault="00EC4216" w:rsidP="00A214F8">
            <w:pPr>
              <w:spacing w:before="0" w:after="0" w:line="240" w:lineRule="auto"/>
              <w:rPr>
                <w:rFonts w:eastAsia="Times New Roman" w:cs="Arial"/>
                <w:b/>
                <w:bCs/>
                <w:sz w:val="20"/>
                <w:szCs w:val="20"/>
              </w:rPr>
            </w:pPr>
            <w:r w:rsidRPr="00685FBA">
              <w:rPr>
                <w:rFonts w:eastAsia="Times New Roman" w:cs="Arial"/>
                <w:b/>
                <w:bCs/>
                <w:sz w:val="20"/>
                <w:szCs w:val="20"/>
              </w:rPr>
              <w:t>Target</w:t>
            </w:r>
          </w:p>
        </w:tc>
      </w:tr>
      <w:tr w:rsidR="00EC4216" w:rsidRPr="005C4D20" w14:paraId="61860E32" w14:textId="77777777" w:rsidTr="007B3AAC">
        <w:trPr>
          <w:trHeight w:val="552"/>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E4C22D" w14:textId="77777777" w:rsidR="00EC4216" w:rsidRPr="00AD2051" w:rsidRDefault="00EC4216" w:rsidP="00A214F8">
            <w:pPr>
              <w:spacing w:before="0" w:after="0" w:line="240" w:lineRule="auto"/>
              <w:rPr>
                <w:rFonts w:eastAsia="Times New Roman" w:cs="Arial"/>
                <w:sz w:val="20"/>
                <w:szCs w:val="20"/>
              </w:rPr>
            </w:pPr>
            <w:r w:rsidRPr="00AD2051">
              <w:rPr>
                <w:rFonts w:eastAsia="Times New Roman" w:cs="Arial"/>
                <w:sz w:val="20"/>
                <w:szCs w:val="20"/>
              </w:rPr>
              <w:t xml:space="preserve">Ambulance clinical quality – Category 1 - 7 minute response time - </w:t>
            </w:r>
            <w:r>
              <w:rPr>
                <w:rFonts w:eastAsia="Times New Roman" w:cs="Arial"/>
                <w:sz w:val="20"/>
                <w:szCs w:val="20"/>
              </w:rPr>
              <w:t>T</w:t>
            </w:r>
            <w:r w:rsidRPr="00AD2051">
              <w:rPr>
                <w:rFonts w:eastAsia="Times New Roman" w:cs="Arial"/>
                <w:sz w:val="20"/>
                <w:szCs w:val="20"/>
              </w:rPr>
              <w:t xml:space="preserve">rust </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A116F" w14:textId="77777777" w:rsidR="00EC4216" w:rsidRPr="00AD2051" w:rsidRDefault="00EC4216" w:rsidP="00A214F8">
            <w:pPr>
              <w:spacing w:before="0" w:after="0" w:line="240" w:lineRule="auto"/>
              <w:rPr>
                <w:rFonts w:eastAsia="Times New Roman" w:cs="Arial"/>
                <w:sz w:val="20"/>
                <w:szCs w:val="20"/>
              </w:rPr>
            </w:pPr>
            <w:r w:rsidRPr="00AD2051">
              <w:rPr>
                <w:rFonts w:eastAsia="Times New Roman" w:cs="Arial"/>
                <w:sz w:val="20"/>
                <w:szCs w:val="20"/>
              </w:rPr>
              <w:t>2021-22</w:t>
            </w:r>
          </w:p>
        </w:tc>
        <w:tc>
          <w:tcPr>
            <w:tcW w:w="1872"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207BCE68" w14:textId="77777777" w:rsidR="00EC4216" w:rsidRPr="00AD2051" w:rsidRDefault="00EC4216" w:rsidP="00A214F8">
            <w:pPr>
              <w:spacing w:before="0" w:after="0" w:line="240" w:lineRule="auto"/>
              <w:rPr>
                <w:rFonts w:eastAsia="Times New Roman" w:cs="Arial"/>
                <w:sz w:val="20"/>
                <w:szCs w:val="20"/>
              </w:rPr>
            </w:pPr>
            <w:r w:rsidRPr="00AD2051">
              <w:rPr>
                <w:rFonts w:eastAsia="Times New Roman" w:cs="Arial"/>
                <w:sz w:val="20"/>
                <w:szCs w:val="20"/>
              </w:rPr>
              <w:t>00:09:1</w:t>
            </w:r>
            <w:r>
              <w:rPr>
                <w:rFonts w:eastAsia="Times New Roman" w:cs="Arial"/>
                <w:sz w:val="20"/>
                <w:szCs w:val="20"/>
              </w:rPr>
              <w:t>3*</w:t>
            </w:r>
            <w:r w:rsidRPr="00AD2051">
              <w:rPr>
                <w:rFonts w:eastAsia="Times New Roman" w:cs="Arial"/>
                <w:sz w:val="20"/>
                <w:szCs w:val="20"/>
              </w:rPr>
              <w:br/>
              <w:t>(Apr 2021-Feb 2022)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AA21A8" w14:textId="77777777" w:rsidR="00EC4216" w:rsidRPr="00AD2051" w:rsidRDefault="00EC4216" w:rsidP="00A214F8">
            <w:pPr>
              <w:spacing w:before="0" w:after="0" w:line="240" w:lineRule="auto"/>
              <w:rPr>
                <w:rFonts w:eastAsia="Times New Roman" w:cs="Arial"/>
                <w:sz w:val="20"/>
                <w:szCs w:val="20"/>
              </w:rPr>
            </w:pPr>
            <w:r w:rsidRPr="00AD2051">
              <w:rPr>
                <w:rFonts w:eastAsia="Times New Roman" w:cs="Arial"/>
                <w:sz w:val="20"/>
                <w:szCs w:val="20"/>
              </w:rPr>
              <w:t>00:07:00</w:t>
            </w:r>
          </w:p>
          <w:p w14:paraId="41D9F483" w14:textId="77777777" w:rsidR="00EC4216" w:rsidRPr="00AD2051" w:rsidRDefault="00EC4216" w:rsidP="00A214F8">
            <w:pPr>
              <w:spacing w:before="0" w:after="0" w:line="240" w:lineRule="auto"/>
              <w:rPr>
                <w:rFonts w:eastAsia="Times New Roman" w:cs="Arial"/>
                <w:sz w:val="20"/>
                <w:szCs w:val="20"/>
              </w:rPr>
            </w:pPr>
            <w:r w:rsidRPr="00AD2051">
              <w:rPr>
                <w:rFonts w:eastAsia="Times New Roman" w:cs="Arial"/>
                <w:sz w:val="20"/>
                <w:szCs w:val="20"/>
              </w:rPr>
              <w:t>(Minutes)</w:t>
            </w:r>
          </w:p>
        </w:tc>
      </w:tr>
    </w:tbl>
    <w:p w14:paraId="6EDB6E60" w14:textId="4EB6CB11" w:rsidR="00EC4216" w:rsidRPr="006C6512" w:rsidRDefault="00EC4216" w:rsidP="00EC4216">
      <w:pPr>
        <w:spacing w:after="0" w:line="240" w:lineRule="auto"/>
        <w:rPr>
          <w:rFonts w:eastAsia="Times New Roman" w:cs="Arial"/>
          <w:b/>
          <w:i/>
          <w:iCs/>
          <w:sz w:val="18"/>
          <w:szCs w:val="18"/>
        </w:rPr>
      </w:pPr>
      <w:r w:rsidRPr="006C6512">
        <w:rPr>
          <w:rFonts w:eastAsia="Times New Roman" w:cs="Arial"/>
          <w:bCs/>
          <w:i/>
          <w:iCs/>
          <w:sz w:val="18"/>
          <w:szCs w:val="18"/>
        </w:rPr>
        <w:t>* The data above is shown at a Yorkshire and Humber level.</w:t>
      </w:r>
    </w:p>
    <w:p w14:paraId="73264D63" w14:textId="77777777" w:rsidR="00EC4216" w:rsidRPr="006C6512" w:rsidRDefault="00EC4216" w:rsidP="00EC4216">
      <w:pPr>
        <w:spacing w:after="0" w:line="240" w:lineRule="auto"/>
        <w:rPr>
          <w:rFonts w:eastAsia="Times New Roman" w:cs="Arial"/>
          <w:b/>
          <w:sz w:val="18"/>
          <w:szCs w:val="18"/>
        </w:rPr>
      </w:pPr>
      <w:r w:rsidRPr="006C6512">
        <w:rPr>
          <w:rFonts w:eastAsia="Times New Roman" w:cs="Arial"/>
          <w:b/>
          <w:sz w:val="18"/>
          <w:szCs w:val="18"/>
        </w:rPr>
        <w:t>Commentary:</w:t>
      </w:r>
    </w:p>
    <w:p w14:paraId="1F73BA31" w14:textId="77777777" w:rsidR="00EC4216" w:rsidRPr="006C6512" w:rsidRDefault="00EC4216" w:rsidP="009D7744">
      <w:pPr>
        <w:spacing w:after="0" w:line="240" w:lineRule="auto"/>
        <w:rPr>
          <w:rFonts w:eastAsia="Times New Roman" w:cs="Arial"/>
          <w:b/>
          <w:sz w:val="18"/>
          <w:szCs w:val="18"/>
          <w:u w:val="single"/>
        </w:rPr>
      </w:pPr>
      <w:bookmarkStart w:id="57" w:name="_Hlk98316643"/>
      <w:r w:rsidRPr="006C6512">
        <w:rPr>
          <w:rFonts w:eastAsia="Times New Roman" w:cs="Arial"/>
          <w:b/>
          <w:sz w:val="18"/>
          <w:szCs w:val="18"/>
        </w:rPr>
        <w:lastRenderedPageBreak/>
        <w:t>The indicator above relates to Yorkshire Ambulance Service regional information. This remains a priority work stream for the Hull &amp; East Riding A&amp;E Delivery Board chaired by Hull University Teaching Hospital NHS Trust. Plans are in place to increase the utilisation of alternative pathways for the ambulance service and to streamline the process when an ambulance attends A&amp;E.</w:t>
      </w:r>
      <w:bookmarkEnd w:id="57"/>
    </w:p>
    <w:tbl>
      <w:tblPr>
        <w:tblpPr w:leftFromText="180" w:rightFromText="180" w:vertAnchor="text" w:horzAnchor="margin" w:tblpX="-5" w:tblpY="12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134"/>
        <w:gridCol w:w="1701"/>
        <w:gridCol w:w="2014"/>
      </w:tblGrid>
      <w:tr w:rsidR="00EC4216" w:rsidRPr="00FD6531" w14:paraId="18B7FD62" w14:textId="77777777" w:rsidTr="007B3AAC">
        <w:trPr>
          <w:trHeight w:val="498"/>
        </w:trPr>
        <w:tc>
          <w:tcPr>
            <w:tcW w:w="5211" w:type="dxa"/>
            <w:tcBorders>
              <w:top w:val="single" w:sz="4" w:space="0" w:color="auto"/>
              <w:left w:val="single" w:sz="4" w:space="0" w:color="auto"/>
              <w:bottom w:val="single" w:sz="4" w:space="0" w:color="auto"/>
              <w:right w:val="single" w:sz="4" w:space="0" w:color="auto"/>
            </w:tcBorders>
            <w:shd w:val="clear" w:color="auto" w:fill="95B3D7"/>
            <w:vAlign w:val="center"/>
          </w:tcPr>
          <w:p w14:paraId="35BA9A94" w14:textId="77777777" w:rsidR="00EC4216" w:rsidRPr="00CF24C9" w:rsidRDefault="00EC4216" w:rsidP="00A214F8">
            <w:pPr>
              <w:spacing w:before="0" w:after="0" w:line="240" w:lineRule="auto"/>
              <w:ind w:right="-108"/>
              <w:rPr>
                <w:rFonts w:eastAsia="Times New Roman" w:cs="Arial"/>
                <w:sz w:val="20"/>
                <w:szCs w:val="20"/>
              </w:rPr>
            </w:pPr>
            <w:r w:rsidRPr="00CF24C9">
              <w:rPr>
                <w:rFonts w:eastAsia="Times New Roman" w:cs="Arial"/>
                <w:b/>
                <w:sz w:val="20"/>
                <w:szCs w:val="20"/>
              </w:rPr>
              <w:t>Ambulance Handover</w:t>
            </w:r>
          </w:p>
        </w:tc>
        <w:tc>
          <w:tcPr>
            <w:tcW w:w="1134" w:type="dxa"/>
            <w:tcBorders>
              <w:top w:val="single" w:sz="4" w:space="0" w:color="auto"/>
              <w:left w:val="single" w:sz="4" w:space="0" w:color="auto"/>
              <w:bottom w:val="single" w:sz="4" w:space="0" w:color="auto"/>
              <w:right w:val="single" w:sz="4" w:space="0" w:color="auto"/>
            </w:tcBorders>
            <w:shd w:val="clear" w:color="auto" w:fill="95B3D7"/>
            <w:vAlign w:val="center"/>
          </w:tcPr>
          <w:p w14:paraId="52C9031F" w14:textId="77777777" w:rsidR="00EC4216" w:rsidRPr="00CF24C9" w:rsidRDefault="00EC4216" w:rsidP="00A214F8">
            <w:pPr>
              <w:spacing w:before="0" w:after="0" w:line="240" w:lineRule="auto"/>
              <w:rPr>
                <w:rFonts w:eastAsia="Times New Roman"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0489908F" w14:textId="77777777" w:rsidR="00EC4216" w:rsidRPr="00CF24C9" w:rsidRDefault="00EC4216" w:rsidP="00A214F8">
            <w:pPr>
              <w:spacing w:before="0" w:after="0" w:line="240" w:lineRule="auto"/>
              <w:rPr>
                <w:rFonts w:eastAsia="Times New Roman" w:cs="Arial"/>
                <w:b/>
                <w:sz w:val="20"/>
                <w:szCs w:val="20"/>
              </w:rPr>
            </w:pPr>
            <w:r w:rsidRPr="00CF24C9">
              <w:rPr>
                <w:rFonts w:eastAsia="Times New Roman" w:cs="Arial"/>
                <w:b/>
                <w:sz w:val="20"/>
                <w:szCs w:val="20"/>
              </w:rPr>
              <w:t>Actual (YTD)</w:t>
            </w:r>
          </w:p>
        </w:tc>
        <w:tc>
          <w:tcPr>
            <w:tcW w:w="2014"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2C7B7EB0" w14:textId="77777777" w:rsidR="00EC4216" w:rsidRPr="00CF24C9" w:rsidRDefault="00EC4216" w:rsidP="00A214F8">
            <w:pPr>
              <w:spacing w:before="0" w:after="0" w:line="240" w:lineRule="auto"/>
              <w:rPr>
                <w:rFonts w:eastAsia="Times New Roman" w:cs="Arial"/>
                <w:b/>
                <w:sz w:val="20"/>
                <w:szCs w:val="20"/>
              </w:rPr>
            </w:pPr>
            <w:r w:rsidRPr="00CF24C9">
              <w:rPr>
                <w:rFonts w:eastAsia="Times New Roman" w:cs="Arial"/>
                <w:b/>
                <w:sz w:val="20"/>
                <w:szCs w:val="20"/>
              </w:rPr>
              <w:t>Target</w:t>
            </w:r>
          </w:p>
        </w:tc>
      </w:tr>
      <w:tr w:rsidR="00EC4216" w:rsidRPr="00FD6531" w14:paraId="2967ADBD" w14:textId="77777777" w:rsidTr="007B3AAC">
        <w:trPr>
          <w:trHeight w:val="498"/>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804B1A" w14:textId="77777777" w:rsidR="00EC4216" w:rsidRPr="00CF24C9" w:rsidRDefault="00EC4216" w:rsidP="00A214F8">
            <w:pPr>
              <w:spacing w:before="0" w:after="0" w:line="240" w:lineRule="auto"/>
              <w:ind w:right="-108"/>
              <w:rPr>
                <w:rFonts w:eastAsia="Times New Roman" w:cs="Arial"/>
                <w:sz w:val="20"/>
                <w:szCs w:val="20"/>
                <w:highlight w:val="green"/>
              </w:rPr>
            </w:pPr>
            <w:r w:rsidRPr="00CF24C9">
              <w:rPr>
                <w:rFonts w:eastAsia="Times New Roman" w:cs="Arial"/>
                <w:sz w:val="20"/>
                <w:szCs w:val="20"/>
              </w:rPr>
              <w:t xml:space="preserve">Ambulance Handover Time - Delays of +30 minutes - YAS </w:t>
            </w:r>
            <w:r>
              <w:rPr>
                <w:rFonts w:eastAsia="Times New Roman" w:cs="Arial"/>
                <w:sz w:val="20"/>
                <w:szCs w:val="20"/>
              </w:rPr>
              <w:t>T</w:t>
            </w:r>
            <w:r w:rsidRPr="00CF24C9">
              <w:rPr>
                <w:rFonts w:eastAsia="Times New Roman" w:cs="Arial"/>
                <w:sz w:val="20"/>
                <w:szCs w:val="20"/>
              </w:rPr>
              <w:t>rust level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CE0E9F" w14:textId="77777777" w:rsidR="00EC4216" w:rsidRPr="00CF24C9" w:rsidRDefault="00EC4216" w:rsidP="00A214F8">
            <w:pPr>
              <w:spacing w:before="0" w:after="0" w:line="240" w:lineRule="auto"/>
              <w:rPr>
                <w:rFonts w:cs="Arial"/>
                <w:sz w:val="20"/>
                <w:szCs w:val="20"/>
              </w:rPr>
            </w:pPr>
            <w:r w:rsidRPr="00CF24C9">
              <w:rPr>
                <w:rFonts w:eastAsia="Times New Roman" w:cs="Arial"/>
                <w:sz w:val="20"/>
                <w:szCs w:val="20"/>
              </w:rPr>
              <w:t>2021-22</w:t>
            </w:r>
          </w:p>
        </w:tc>
        <w:tc>
          <w:tcPr>
            <w:tcW w:w="170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4D13ABFF" w14:textId="77777777" w:rsidR="00EC4216" w:rsidRDefault="00EC4216" w:rsidP="00A214F8">
            <w:pPr>
              <w:spacing w:before="0" w:after="0" w:line="240" w:lineRule="auto"/>
              <w:ind w:right="-66"/>
              <w:rPr>
                <w:rFonts w:eastAsia="Times New Roman" w:cs="Arial"/>
                <w:sz w:val="20"/>
                <w:szCs w:val="20"/>
              </w:rPr>
            </w:pPr>
            <w:r w:rsidRPr="00CF24C9">
              <w:rPr>
                <w:rFonts w:eastAsia="Times New Roman" w:cs="Arial"/>
                <w:sz w:val="20"/>
                <w:szCs w:val="20"/>
              </w:rPr>
              <w:t>69,069*</w:t>
            </w:r>
            <w:r w:rsidRPr="00CF24C9">
              <w:rPr>
                <w:rFonts w:eastAsia="Times New Roman" w:cs="Arial"/>
                <w:sz w:val="20"/>
                <w:szCs w:val="20"/>
              </w:rPr>
              <w:br/>
              <w:t>(Apr 2021-Feb 2022)</w:t>
            </w:r>
          </w:p>
          <w:p w14:paraId="06BA455C" w14:textId="77777777" w:rsidR="00EC4216" w:rsidRPr="00CF24C9" w:rsidRDefault="00EC4216" w:rsidP="00A214F8">
            <w:pPr>
              <w:spacing w:before="0" w:after="0" w:line="240" w:lineRule="auto"/>
              <w:ind w:right="-66"/>
              <w:rPr>
                <w:rFonts w:eastAsia="Times New Roman" w:cs="Arial"/>
                <w:sz w:val="20"/>
                <w:szCs w:val="20"/>
              </w:rPr>
            </w:pP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03873B" w14:textId="77777777" w:rsidR="00EC4216" w:rsidRPr="00CF24C9" w:rsidRDefault="00EC4216" w:rsidP="00A214F8">
            <w:pPr>
              <w:spacing w:before="0" w:after="0" w:line="240" w:lineRule="auto"/>
              <w:rPr>
                <w:rFonts w:eastAsia="Times New Roman" w:cs="Arial"/>
                <w:sz w:val="20"/>
                <w:szCs w:val="20"/>
              </w:rPr>
            </w:pPr>
            <w:r w:rsidRPr="00CF24C9">
              <w:rPr>
                <w:rFonts w:eastAsia="Times New Roman" w:cs="Arial"/>
                <w:sz w:val="20"/>
                <w:szCs w:val="20"/>
              </w:rPr>
              <w:t>0</w:t>
            </w:r>
          </w:p>
        </w:tc>
      </w:tr>
    </w:tbl>
    <w:p w14:paraId="0980F432" w14:textId="5BBD6E02" w:rsidR="00EC4216" w:rsidRPr="006C6512" w:rsidRDefault="00EC4216" w:rsidP="00EC4216">
      <w:pPr>
        <w:spacing w:after="0" w:line="240" w:lineRule="auto"/>
        <w:rPr>
          <w:rFonts w:eastAsia="Times New Roman" w:cs="Arial"/>
          <w:b/>
          <w:i/>
          <w:iCs/>
          <w:sz w:val="16"/>
          <w:szCs w:val="16"/>
        </w:rPr>
      </w:pPr>
      <w:r w:rsidRPr="006C6512">
        <w:rPr>
          <w:rFonts w:eastAsia="Times New Roman" w:cs="Arial"/>
          <w:bCs/>
          <w:i/>
          <w:iCs/>
          <w:sz w:val="16"/>
          <w:szCs w:val="16"/>
        </w:rPr>
        <w:t>* The number of breaches reported are at provider level (i.e. totals for Yorkshire Ambulance Service (YAS)) rather than Hull patients.</w:t>
      </w:r>
    </w:p>
    <w:p w14:paraId="3324CF0C" w14:textId="77777777" w:rsidR="00EC4216" w:rsidRPr="006C6512" w:rsidRDefault="00EC4216" w:rsidP="00EC4216">
      <w:pPr>
        <w:spacing w:after="0" w:line="240" w:lineRule="auto"/>
        <w:rPr>
          <w:rFonts w:eastAsia="Times New Roman" w:cs="Arial"/>
          <w:b/>
          <w:sz w:val="18"/>
          <w:szCs w:val="18"/>
        </w:rPr>
      </w:pPr>
      <w:r w:rsidRPr="006C6512">
        <w:rPr>
          <w:rFonts w:eastAsia="Times New Roman" w:cs="Arial"/>
          <w:b/>
          <w:sz w:val="18"/>
          <w:szCs w:val="18"/>
        </w:rPr>
        <w:t>Commentary:</w:t>
      </w:r>
    </w:p>
    <w:p w14:paraId="2627D1A2" w14:textId="77777777" w:rsidR="00EC4216" w:rsidRPr="006C6512" w:rsidRDefault="00EC4216" w:rsidP="009D7744">
      <w:pPr>
        <w:spacing w:after="0" w:line="240" w:lineRule="auto"/>
        <w:ind w:right="-46"/>
        <w:rPr>
          <w:rFonts w:eastAsia="Times New Roman" w:cs="Arial"/>
          <w:b/>
          <w:color w:val="FF0000"/>
          <w:sz w:val="18"/>
          <w:szCs w:val="18"/>
          <w:u w:val="single"/>
        </w:rPr>
      </w:pPr>
      <w:r w:rsidRPr="006C6512">
        <w:rPr>
          <w:rFonts w:eastAsia="Times New Roman" w:cs="Arial"/>
          <w:b/>
          <w:sz w:val="18"/>
          <w:szCs w:val="18"/>
        </w:rPr>
        <w:t>Long delays in ambulance handover and turnaround are detrimental to clinical quality and patient experience and are costly to the NHS. Ideally, ambulance turnaround should be complete within 30 minutes, allowing 15 minutes for patient handover to A&amp;E and 15 minutes to clean and prepare the ambulance vehicle to be ready for the next call. Ambulance handover and Crew Clear delays are against zero-tolerance targets and work is in place to reduce the number and level of delays.</w:t>
      </w:r>
    </w:p>
    <w:tbl>
      <w:tblPr>
        <w:tblpPr w:leftFromText="180" w:rightFromText="180" w:vertAnchor="text" w:horzAnchor="margin" w:tblpX="-5" w:tblpY="12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134"/>
        <w:gridCol w:w="1701"/>
        <w:gridCol w:w="2014"/>
      </w:tblGrid>
      <w:tr w:rsidR="00EC4216" w:rsidRPr="00EB6A22" w14:paraId="327FDEA1" w14:textId="77777777" w:rsidTr="007B3AAC">
        <w:trPr>
          <w:trHeight w:val="510"/>
        </w:trPr>
        <w:tc>
          <w:tcPr>
            <w:tcW w:w="5211" w:type="dxa"/>
            <w:tcBorders>
              <w:top w:val="single" w:sz="4" w:space="0" w:color="auto"/>
              <w:left w:val="single" w:sz="4" w:space="0" w:color="auto"/>
              <w:bottom w:val="single" w:sz="4" w:space="0" w:color="auto"/>
              <w:right w:val="single" w:sz="4" w:space="0" w:color="auto"/>
            </w:tcBorders>
            <w:shd w:val="clear" w:color="auto" w:fill="95B3D7"/>
            <w:vAlign w:val="center"/>
          </w:tcPr>
          <w:p w14:paraId="60A1F842" w14:textId="77777777" w:rsidR="00EC4216" w:rsidRPr="00EB6A22" w:rsidRDefault="00EC4216" w:rsidP="00A214F8">
            <w:pPr>
              <w:spacing w:before="0" w:after="0" w:line="240" w:lineRule="auto"/>
              <w:rPr>
                <w:rFonts w:eastAsia="Times New Roman" w:cs="Arial"/>
                <w:b/>
                <w:sz w:val="20"/>
                <w:szCs w:val="20"/>
              </w:rPr>
            </w:pPr>
            <w:r w:rsidRPr="00EB6A22">
              <w:rPr>
                <w:rFonts w:eastAsia="Times New Roman" w:cs="Arial"/>
                <w:b/>
                <w:sz w:val="20"/>
                <w:szCs w:val="20"/>
              </w:rPr>
              <w:t>Waiting Times – Referral to Treatment (RTT)</w:t>
            </w:r>
          </w:p>
        </w:tc>
        <w:tc>
          <w:tcPr>
            <w:tcW w:w="1134" w:type="dxa"/>
            <w:tcBorders>
              <w:top w:val="single" w:sz="4" w:space="0" w:color="auto"/>
              <w:left w:val="single" w:sz="4" w:space="0" w:color="auto"/>
              <w:bottom w:val="single" w:sz="4" w:space="0" w:color="auto"/>
              <w:right w:val="single" w:sz="4" w:space="0" w:color="auto"/>
            </w:tcBorders>
            <w:shd w:val="clear" w:color="auto" w:fill="95B3D7"/>
            <w:vAlign w:val="center"/>
          </w:tcPr>
          <w:p w14:paraId="40BDF5F6" w14:textId="77777777" w:rsidR="00EC4216" w:rsidRPr="00EB6A22" w:rsidRDefault="00EC4216" w:rsidP="00A214F8">
            <w:pPr>
              <w:spacing w:before="0" w:after="0" w:line="240" w:lineRule="auto"/>
              <w:rPr>
                <w:rFonts w:eastAsia="Times New Roman" w:cs="Arial"/>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5291AD1E" w14:textId="77777777" w:rsidR="00EC4216" w:rsidRPr="00EB6A22" w:rsidRDefault="00EC4216" w:rsidP="00A214F8">
            <w:pPr>
              <w:spacing w:before="0" w:after="0" w:line="240" w:lineRule="auto"/>
              <w:rPr>
                <w:rFonts w:eastAsia="Times New Roman" w:cs="Arial"/>
                <w:b/>
                <w:sz w:val="20"/>
                <w:szCs w:val="20"/>
              </w:rPr>
            </w:pPr>
            <w:r w:rsidRPr="00EB6A22">
              <w:rPr>
                <w:rFonts w:eastAsia="Times New Roman" w:cs="Arial"/>
                <w:b/>
                <w:sz w:val="20"/>
                <w:szCs w:val="20"/>
              </w:rPr>
              <w:t>Actual</w:t>
            </w:r>
          </w:p>
          <w:p w14:paraId="39AB2E11" w14:textId="77777777" w:rsidR="00EC4216" w:rsidRPr="00EB6A22" w:rsidRDefault="00EC4216" w:rsidP="00A214F8">
            <w:pPr>
              <w:spacing w:before="0" w:after="0" w:line="240" w:lineRule="auto"/>
              <w:rPr>
                <w:rFonts w:eastAsia="Times New Roman" w:cs="Arial"/>
                <w:b/>
                <w:sz w:val="20"/>
                <w:szCs w:val="20"/>
              </w:rPr>
            </w:pPr>
            <w:r w:rsidRPr="00EB6A22">
              <w:rPr>
                <w:rFonts w:eastAsia="Times New Roman" w:cs="Arial"/>
                <w:b/>
                <w:sz w:val="20"/>
                <w:szCs w:val="20"/>
              </w:rPr>
              <w:t>(Month)</w:t>
            </w:r>
          </w:p>
        </w:tc>
        <w:tc>
          <w:tcPr>
            <w:tcW w:w="2014"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771317AA" w14:textId="77777777" w:rsidR="00EC4216" w:rsidRPr="00EB6A22" w:rsidRDefault="00EC4216" w:rsidP="00A214F8">
            <w:pPr>
              <w:spacing w:before="0" w:after="0" w:line="240" w:lineRule="auto"/>
              <w:rPr>
                <w:rFonts w:eastAsia="Times New Roman" w:cs="Arial"/>
                <w:b/>
                <w:sz w:val="20"/>
                <w:szCs w:val="20"/>
              </w:rPr>
            </w:pPr>
            <w:r w:rsidRPr="00EB6A22">
              <w:rPr>
                <w:rFonts w:eastAsia="Times New Roman" w:cs="Arial"/>
                <w:b/>
                <w:sz w:val="20"/>
                <w:szCs w:val="20"/>
              </w:rPr>
              <w:t>Target</w:t>
            </w:r>
          </w:p>
        </w:tc>
      </w:tr>
      <w:tr w:rsidR="00EC4216" w:rsidRPr="00EB6A22" w14:paraId="0B614F76" w14:textId="77777777" w:rsidTr="007B3AAC">
        <w:trPr>
          <w:trHeight w:val="690"/>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8C825A"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The percentage of incomplete pathways within 18 weeks for patients on incomplete pathways at the end of the period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1BBEC"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2021-22</w:t>
            </w:r>
          </w:p>
        </w:tc>
        <w:tc>
          <w:tcPr>
            <w:tcW w:w="170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6942FEB6"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shd w:val="clear" w:color="auto" w:fill="E5B8B7"/>
              </w:rPr>
              <w:t>58.3%</w:t>
            </w:r>
            <w:r w:rsidRPr="00EB6A22">
              <w:rPr>
                <w:rFonts w:eastAsia="Times New Roman" w:cs="Arial"/>
                <w:sz w:val="20"/>
                <w:szCs w:val="20"/>
                <w:shd w:val="clear" w:color="auto" w:fill="E5B8B7"/>
              </w:rPr>
              <w:br/>
              <w:t>(Jan 2022)</w:t>
            </w: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326BE0"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92%</w:t>
            </w:r>
          </w:p>
        </w:tc>
      </w:tr>
    </w:tbl>
    <w:p w14:paraId="2F32289A" w14:textId="77777777" w:rsidR="00EC4216" w:rsidRPr="006C6512" w:rsidRDefault="00EC4216" w:rsidP="00EC4216">
      <w:pPr>
        <w:spacing w:after="0" w:line="240" w:lineRule="auto"/>
        <w:rPr>
          <w:rFonts w:eastAsia="Times New Roman" w:cs="Arial"/>
          <w:b/>
          <w:sz w:val="18"/>
          <w:szCs w:val="18"/>
        </w:rPr>
      </w:pPr>
      <w:r w:rsidRPr="006C6512">
        <w:rPr>
          <w:rFonts w:eastAsia="Times New Roman" w:cs="Arial"/>
          <w:b/>
          <w:sz w:val="18"/>
          <w:szCs w:val="18"/>
        </w:rPr>
        <w:t>Commentary:</w:t>
      </w:r>
    </w:p>
    <w:p w14:paraId="324C6168" w14:textId="77777777" w:rsidR="00EC4216" w:rsidRPr="006C6512" w:rsidRDefault="00EC4216" w:rsidP="009D7744">
      <w:pPr>
        <w:spacing w:after="0" w:line="240" w:lineRule="auto"/>
        <w:ind w:right="-46"/>
        <w:rPr>
          <w:rFonts w:eastAsia="Times New Roman" w:cs="Arial"/>
          <w:b/>
          <w:color w:val="FF0000"/>
          <w:sz w:val="18"/>
          <w:szCs w:val="18"/>
        </w:rPr>
      </w:pPr>
      <w:r w:rsidRPr="006C6512">
        <w:rPr>
          <w:rFonts w:eastAsia="Times New Roman" w:cs="Arial"/>
          <w:b/>
          <w:sz w:val="18"/>
          <w:szCs w:val="18"/>
        </w:rPr>
        <w:t>The NHS constitution states patients should wait no more than 18 weeks from GP Referral to Treatment (RTT).  Delivery of the target has been challenging as a result of increased demand and capacity issues across the local system with the redeployment of staff to meet the ongoing needs of wards and intensive care bedded areas in support of the pandemic response,</w:t>
      </w:r>
      <w:r w:rsidRPr="006C6512">
        <w:rPr>
          <w:b/>
          <w:sz w:val="18"/>
          <w:szCs w:val="18"/>
        </w:rPr>
        <w:t xml:space="preserve"> </w:t>
      </w:r>
      <w:r w:rsidRPr="006C6512">
        <w:rPr>
          <w:rFonts w:eastAsia="Times New Roman" w:cs="Arial"/>
          <w:b/>
          <w:sz w:val="18"/>
          <w:szCs w:val="18"/>
        </w:rPr>
        <w:t>reducing the capacity to undertake less urgent interventions.</w:t>
      </w:r>
      <w:r w:rsidRPr="006C6512">
        <w:rPr>
          <w:rFonts w:eastAsia="Times New Roman" w:cs="Arial"/>
          <w:b/>
          <w:color w:val="FF0000"/>
          <w:sz w:val="18"/>
          <w:szCs w:val="18"/>
        </w:rPr>
        <w:t xml:space="preserve"> </w:t>
      </w:r>
    </w:p>
    <w:p w14:paraId="518469BC" w14:textId="24C78CF1" w:rsidR="00962920" w:rsidRPr="00D326D4" w:rsidRDefault="00962920" w:rsidP="00962920">
      <w:pPr>
        <w:spacing w:after="0" w:line="240" w:lineRule="auto"/>
        <w:jc w:val="both"/>
        <w:rPr>
          <w:rFonts w:eastAsia="Times New Roman" w:cs="Arial"/>
          <w:b/>
          <w:sz w:val="18"/>
          <w:szCs w:val="18"/>
        </w:rPr>
      </w:pPr>
      <w:r w:rsidRPr="00181694">
        <w:rPr>
          <w:rFonts w:eastAsia="Times New Roman" w:cs="Arial"/>
          <w:b/>
          <w:sz w:val="18"/>
          <w:szCs w:val="18"/>
        </w:rPr>
        <w:t>The Trust has continued to work to national guidance and have implemented recovery plans in line with the operational planning.</w:t>
      </w:r>
      <w:r w:rsidRPr="00D326D4">
        <w:rPr>
          <w:rFonts w:eastAsia="Times New Roman" w:cs="Arial"/>
          <w:b/>
          <w:sz w:val="18"/>
          <w:szCs w:val="18"/>
        </w:rPr>
        <w:t xml:space="preserve"> </w:t>
      </w:r>
    </w:p>
    <w:p w14:paraId="6684816A" w14:textId="3F0E0CE4" w:rsidR="00962920" w:rsidRPr="00D326D4" w:rsidRDefault="00962920" w:rsidP="00962920">
      <w:pPr>
        <w:spacing w:after="0" w:line="240" w:lineRule="auto"/>
        <w:jc w:val="both"/>
        <w:rPr>
          <w:rFonts w:cs="Arial"/>
          <w:b/>
          <w:bCs/>
          <w:sz w:val="18"/>
          <w:szCs w:val="18"/>
        </w:rPr>
      </w:pPr>
      <w:r w:rsidRPr="00D326D4">
        <w:rPr>
          <w:b/>
          <w:bCs/>
          <w:sz w:val="18"/>
          <w:szCs w:val="18"/>
        </w:rPr>
        <w:t xml:space="preserve">As part of the H1 </w:t>
      </w:r>
      <w:r w:rsidR="0036791D" w:rsidRPr="00D326D4">
        <w:rPr>
          <w:b/>
          <w:bCs/>
          <w:sz w:val="18"/>
          <w:szCs w:val="18"/>
        </w:rPr>
        <w:t>and</w:t>
      </w:r>
      <w:r w:rsidRPr="00D326D4">
        <w:rPr>
          <w:b/>
          <w:bCs/>
          <w:sz w:val="18"/>
          <w:szCs w:val="18"/>
        </w:rPr>
        <w:t xml:space="preserve"> H2 Operational Planning 2021-22 submission, Hull CCG worked </w:t>
      </w:r>
      <w:r w:rsidRPr="00D326D4">
        <w:rPr>
          <w:rFonts w:cs="Arial"/>
          <w:b/>
          <w:bCs/>
          <w:sz w:val="18"/>
          <w:szCs w:val="18"/>
        </w:rPr>
        <w:t>at a Humber level (Hull, East Riding of Yorkshire, North East Lincolnshire and North Lincolnshire CCGs) to agree performance trajectories.  The key priorities the CCG</w:t>
      </w:r>
      <w:r w:rsidR="0036791D" w:rsidRPr="00D326D4">
        <w:rPr>
          <w:rFonts w:cs="Arial"/>
          <w:b/>
          <w:bCs/>
          <w:sz w:val="18"/>
          <w:szCs w:val="18"/>
        </w:rPr>
        <w:t>s</w:t>
      </w:r>
      <w:r w:rsidRPr="00D326D4">
        <w:rPr>
          <w:rFonts w:cs="Arial"/>
          <w:b/>
          <w:bCs/>
          <w:sz w:val="18"/>
          <w:szCs w:val="18"/>
        </w:rPr>
        <w:t xml:space="preserve"> are responsible for are highlighted below with input to other areas as part of the wider geographical partnership</w:t>
      </w:r>
      <w:r w:rsidR="0036791D" w:rsidRPr="00D326D4">
        <w:rPr>
          <w:rFonts w:cs="Arial"/>
          <w:b/>
          <w:bCs/>
          <w:sz w:val="18"/>
          <w:szCs w:val="18"/>
        </w:rPr>
        <w:t>:</w:t>
      </w:r>
    </w:p>
    <w:p w14:paraId="69757D21" w14:textId="77777777" w:rsidR="00962920" w:rsidRPr="00D326D4" w:rsidRDefault="00962920" w:rsidP="0036791D">
      <w:pPr>
        <w:pStyle w:val="ListParagraph"/>
        <w:numPr>
          <w:ilvl w:val="0"/>
          <w:numId w:val="55"/>
        </w:numPr>
        <w:tabs>
          <w:tab w:val="clear" w:pos="2835"/>
          <w:tab w:val="clear" w:pos="5670"/>
          <w:tab w:val="clear" w:pos="9016"/>
        </w:tabs>
        <w:spacing w:before="0" w:after="0" w:line="240" w:lineRule="auto"/>
        <w:jc w:val="both"/>
        <w:rPr>
          <w:rFonts w:cs="Arial"/>
          <w:b/>
          <w:bCs/>
          <w:sz w:val="18"/>
          <w:szCs w:val="18"/>
        </w:rPr>
      </w:pPr>
      <w:r w:rsidRPr="00D326D4">
        <w:rPr>
          <w:rFonts w:cs="Arial"/>
          <w:b/>
          <w:bCs/>
          <w:sz w:val="18"/>
          <w:szCs w:val="18"/>
        </w:rPr>
        <w:t xml:space="preserve">Total Outpatients (Consultant and Non-Consultant Led) </w:t>
      </w:r>
    </w:p>
    <w:p w14:paraId="4F436D0C" w14:textId="77777777" w:rsidR="00962920" w:rsidRPr="00D326D4" w:rsidRDefault="00962920" w:rsidP="0036791D">
      <w:pPr>
        <w:pStyle w:val="ListParagraph"/>
        <w:numPr>
          <w:ilvl w:val="0"/>
          <w:numId w:val="55"/>
        </w:numPr>
        <w:tabs>
          <w:tab w:val="clear" w:pos="2835"/>
          <w:tab w:val="clear" w:pos="5670"/>
          <w:tab w:val="clear" w:pos="9016"/>
        </w:tabs>
        <w:spacing w:before="0" w:after="0" w:line="240" w:lineRule="auto"/>
        <w:jc w:val="both"/>
        <w:rPr>
          <w:rFonts w:cs="Arial"/>
          <w:b/>
          <w:bCs/>
          <w:sz w:val="18"/>
          <w:szCs w:val="18"/>
        </w:rPr>
      </w:pPr>
      <w:r w:rsidRPr="00D326D4">
        <w:rPr>
          <w:rFonts w:cs="Arial"/>
          <w:b/>
          <w:bCs/>
          <w:sz w:val="18"/>
          <w:szCs w:val="18"/>
        </w:rPr>
        <w:t xml:space="preserve">Outpatient Transformation </w:t>
      </w:r>
    </w:p>
    <w:p w14:paraId="25331E7A" w14:textId="1EF78F24" w:rsidR="00962920" w:rsidRPr="00D326D4" w:rsidRDefault="00D326D4" w:rsidP="0036791D">
      <w:pPr>
        <w:pStyle w:val="ListParagraph"/>
        <w:numPr>
          <w:ilvl w:val="0"/>
          <w:numId w:val="55"/>
        </w:numPr>
        <w:tabs>
          <w:tab w:val="clear" w:pos="2835"/>
          <w:tab w:val="clear" w:pos="5670"/>
          <w:tab w:val="clear" w:pos="9016"/>
        </w:tabs>
        <w:spacing w:before="0" w:after="0" w:line="240" w:lineRule="auto"/>
        <w:jc w:val="both"/>
        <w:rPr>
          <w:rFonts w:cs="Arial"/>
          <w:b/>
          <w:bCs/>
          <w:sz w:val="18"/>
          <w:szCs w:val="18"/>
        </w:rPr>
      </w:pPr>
      <w:r>
        <w:rPr>
          <w:rFonts w:cs="Arial"/>
          <w:b/>
          <w:bCs/>
          <w:sz w:val="18"/>
          <w:szCs w:val="18"/>
        </w:rPr>
        <w:t>First</w:t>
      </w:r>
      <w:r w:rsidR="00962920" w:rsidRPr="00D326D4">
        <w:rPr>
          <w:rFonts w:cs="Arial"/>
          <w:b/>
          <w:bCs/>
          <w:sz w:val="18"/>
          <w:szCs w:val="18"/>
        </w:rPr>
        <w:t xml:space="preserve"> Outpatients</w:t>
      </w:r>
    </w:p>
    <w:p w14:paraId="529D3EBF" w14:textId="77777777" w:rsidR="00962920" w:rsidRPr="00D326D4" w:rsidRDefault="00962920" w:rsidP="0036791D">
      <w:pPr>
        <w:pStyle w:val="ListParagraph"/>
        <w:numPr>
          <w:ilvl w:val="0"/>
          <w:numId w:val="55"/>
        </w:numPr>
        <w:tabs>
          <w:tab w:val="clear" w:pos="2835"/>
          <w:tab w:val="clear" w:pos="5670"/>
          <w:tab w:val="clear" w:pos="9016"/>
        </w:tabs>
        <w:spacing w:before="0" w:after="0" w:line="240" w:lineRule="auto"/>
        <w:jc w:val="both"/>
        <w:rPr>
          <w:rFonts w:cs="Arial"/>
          <w:b/>
          <w:bCs/>
          <w:sz w:val="18"/>
          <w:szCs w:val="18"/>
        </w:rPr>
      </w:pPr>
      <w:r w:rsidRPr="00D326D4">
        <w:rPr>
          <w:rFonts w:cs="Arial"/>
          <w:b/>
          <w:bCs/>
          <w:sz w:val="18"/>
          <w:szCs w:val="18"/>
        </w:rPr>
        <w:t>Follow-Up Outpatients</w:t>
      </w:r>
    </w:p>
    <w:p w14:paraId="692A4DE3" w14:textId="77777777" w:rsidR="00962920" w:rsidRPr="00D326D4" w:rsidRDefault="00962920" w:rsidP="0036791D">
      <w:pPr>
        <w:pStyle w:val="ListParagraph"/>
        <w:numPr>
          <w:ilvl w:val="0"/>
          <w:numId w:val="55"/>
        </w:numPr>
        <w:tabs>
          <w:tab w:val="clear" w:pos="2835"/>
          <w:tab w:val="clear" w:pos="5670"/>
          <w:tab w:val="clear" w:pos="9016"/>
        </w:tabs>
        <w:spacing w:before="0" w:after="0" w:line="240" w:lineRule="auto"/>
        <w:jc w:val="both"/>
        <w:rPr>
          <w:rFonts w:cs="Arial"/>
          <w:b/>
          <w:bCs/>
          <w:sz w:val="18"/>
          <w:szCs w:val="18"/>
        </w:rPr>
      </w:pPr>
      <w:r w:rsidRPr="00D326D4">
        <w:rPr>
          <w:rFonts w:cs="Arial"/>
          <w:b/>
          <w:bCs/>
          <w:sz w:val="18"/>
          <w:szCs w:val="18"/>
        </w:rPr>
        <w:t>Electives</w:t>
      </w:r>
    </w:p>
    <w:p w14:paraId="56E6A621" w14:textId="0F648238" w:rsidR="00962920" w:rsidRPr="00D326D4" w:rsidRDefault="00962920" w:rsidP="0036791D">
      <w:pPr>
        <w:pStyle w:val="ListParagraph"/>
        <w:numPr>
          <w:ilvl w:val="0"/>
          <w:numId w:val="55"/>
        </w:numPr>
        <w:tabs>
          <w:tab w:val="clear" w:pos="2835"/>
          <w:tab w:val="clear" w:pos="5670"/>
          <w:tab w:val="clear" w:pos="9016"/>
        </w:tabs>
        <w:spacing w:before="0" w:after="0" w:line="240" w:lineRule="auto"/>
        <w:jc w:val="both"/>
        <w:rPr>
          <w:rFonts w:cs="Arial"/>
          <w:b/>
          <w:bCs/>
          <w:sz w:val="18"/>
          <w:szCs w:val="18"/>
        </w:rPr>
      </w:pPr>
      <w:r w:rsidRPr="00D326D4">
        <w:rPr>
          <w:rFonts w:cs="Arial"/>
          <w:b/>
          <w:bCs/>
          <w:sz w:val="18"/>
          <w:szCs w:val="18"/>
        </w:rPr>
        <w:t>A&amp;E</w:t>
      </w:r>
    </w:p>
    <w:p w14:paraId="0CA3D238" w14:textId="52A6CCB5" w:rsidR="00962920" w:rsidRPr="00D326D4" w:rsidRDefault="00962920" w:rsidP="0036791D">
      <w:pPr>
        <w:pStyle w:val="ListParagraph"/>
        <w:numPr>
          <w:ilvl w:val="0"/>
          <w:numId w:val="55"/>
        </w:numPr>
        <w:tabs>
          <w:tab w:val="clear" w:pos="2835"/>
          <w:tab w:val="clear" w:pos="5670"/>
          <w:tab w:val="clear" w:pos="9016"/>
        </w:tabs>
        <w:spacing w:before="0" w:after="0" w:line="240" w:lineRule="auto"/>
        <w:jc w:val="both"/>
        <w:rPr>
          <w:rFonts w:cs="Arial"/>
          <w:b/>
          <w:bCs/>
          <w:sz w:val="18"/>
          <w:szCs w:val="18"/>
        </w:rPr>
      </w:pPr>
      <w:r w:rsidRPr="00D326D4">
        <w:rPr>
          <w:rFonts w:cs="Arial"/>
          <w:b/>
          <w:bCs/>
          <w:sz w:val="18"/>
          <w:szCs w:val="18"/>
        </w:rPr>
        <w:t>Non-Electives</w:t>
      </w:r>
    </w:p>
    <w:p w14:paraId="03C467BE" w14:textId="77777777" w:rsidR="00962920" w:rsidRPr="00D326D4" w:rsidRDefault="00962920" w:rsidP="0036791D">
      <w:pPr>
        <w:pStyle w:val="ListParagraph"/>
        <w:numPr>
          <w:ilvl w:val="0"/>
          <w:numId w:val="55"/>
        </w:numPr>
        <w:tabs>
          <w:tab w:val="clear" w:pos="2835"/>
          <w:tab w:val="clear" w:pos="5670"/>
          <w:tab w:val="clear" w:pos="9016"/>
        </w:tabs>
        <w:spacing w:before="0" w:after="0" w:line="240" w:lineRule="auto"/>
        <w:jc w:val="both"/>
        <w:rPr>
          <w:rFonts w:cs="Arial"/>
          <w:b/>
          <w:bCs/>
          <w:sz w:val="18"/>
          <w:szCs w:val="18"/>
        </w:rPr>
      </w:pPr>
      <w:r w:rsidRPr="00D326D4">
        <w:rPr>
          <w:rFonts w:cs="Arial"/>
          <w:b/>
          <w:bCs/>
          <w:sz w:val="18"/>
          <w:szCs w:val="18"/>
        </w:rPr>
        <w:t>Diagnostics</w:t>
      </w:r>
    </w:p>
    <w:p w14:paraId="1676CC33" w14:textId="183F6AE4" w:rsidR="00962920" w:rsidRPr="00D326D4" w:rsidRDefault="00962920" w:rsidP="00962920">
      <w:pPr>
        <w:pStyle w:val="ListParagraph"/>
        <w:numPr>
          <w:ilvl w:val="0"/>
          <w:numId w:val="55"/>
        </w:numPr>
        <w:tabs>
          <w:tab w:val="clear" w:pos="2835"/>
          <w:tab w:val="clear" w:pos="5670"/>
          <w:tab w:val="clear" w:pos="9016"/>
        </w:tabs>
        <w:spacing w:before="0" w:after="0" w:line="240" w:lineRule="auto"/>
        <w:jc w:val="both"/>
        <w:rPr>
          <w:rFonts w:cs="Arial"/>
          <w:b/>
          <w:bCs/>
          <w:sz w:val="18"/>
          <w:szCs w:val="18"/>
        </w:rPr>
      </w:pPr>
      <w:r w:rsidRPr="00D326D4">
        <w:rPr>
          <w:rFonts w:cs="Arial"/>
          <w:b/>
          <w:bCs/>
          <w:sz w:val="18"/>
          <w:szCs w:val="18"/>
        </w:rPr>
        <w:t>GP Appointments</w:t>
      </w:r>
    </w:p>
    <w:tbl>
      <w:tblPr>
        <w:tblpPr w:leftFromText="180" w:rightFromText="180" w:vertAnchor="text" w:horzAnchor="margin" w:tblpX="-5" w:tblpY="12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168"/>
        <w:gridCol w:w="1667"/>
        <w:gridCol w:w="2014"/>
      </w:tblGrid>
      <w:tr w:rsidR="00EC4216" w:rsidRPr="00EB6A22" w14:paraId="4C5EAEDD" w14:textId="77777777" w:rsidTr="007B3AAC">
        <w:trPr>
          <w:trHeight w:val="510"/>
        </w:trPr>
        <w:tc>
          <w:tcPr>
            <w:tcW w:w="5211" w:type="dxa"/>
            <w:tcBorders>
              <w:top w:val="single" w:sz="4" w:space="0" w:color="auto"/>
              <w:left w:val="single" w:sz="4" w:space="0" w:color="auto"/>
              <w:bottom w:val="single" w:sz="4" w:space="0" w:color="auto"/>
              <w:right w:val="single" w:sz="4" w:space="0" w:color="auto"/>
            </w:tcBorders>
            <w:shd w:val="clear" w:color="auto" w:fill="95B3D7"/>
            <w:vAlign w:val="center"/>
          </w:tcPr>
          <w:p w14:paraId="69F8EA6D" w14:textId="77777777" w:rsidR="00EC4216" w:rsidRPr="00EB6A22" w:rsidRDefault="00EC4216" w:rsidP="00A214F8">
            <w:pPr>
              <w:spacing w:before="0" w:after="0" w:line="240" w:lineRule="auto"/>
              <w:rPr>
                <w:rFonts w:eastAsia="Times New Roman" w:cs="Arial"/>
                <w:b/>
                <w:sz w:val="20"/>
                <w:szCs w:val="20"/>
              </w:rPr>
            </w:pPr>
            <w:r w:rsidRPr="00EB6A22">
              <w:rPr>
                <w:rFonts w:eastAsia="Times New Roman" w:cs="Arial"/>
                <w:b/>
                <w:sz w:val="20"/>
                <w:szCs w:val="20"/>
              </w:rPr>
              <w:t>Diagnostics</w:t>
            </w:r>
          </w:p>
        </w:tc>
        <w:tc>
          <w:tcPr>
            <w:tcW w:w="1168" w:type="dxa"/>
            <w:tcBorders>
              <w:top w:val="single" w:sz="4" w:space="0" w:color="auto"/>
              <w:left w:val="single" w:sz="4" w:space="0" w:color="auto"/>
              <w:bottom w:val="single" w:sz="4" w:space="0" w:color="auto"/>
              <w:right w:val="single" w:sz="4" w:space="0" w:color="auto"/>
            </w:tcBorders>
            <w:shd w:val="clear" w:color="auto" w:fill="95B3D7"/>
            <w:vAlign w:val="center"/>
          </w:tcPr>
          <w:p w14:paraId="0D465960" w14:textId="77777777" w:rsidR="00EC4216" w:rsidRPr="00EB6A22" w:rsidRDefault="00EC4216" w:rsidP="00A214F8">
            <w:pPr>
              <w:spacing w:before="0" w:after="0" w:line="240" w:lineRule="auto"/>
              <w:rPr>
                <w:rFonts w:eastAsia="Times New Roman" w:cs="Arial"/>
                <w:b/>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5EDF826D" w14:textId="77777777" w:rsidR="00EC4216" w:rsidRPr="00EB6A22" w:rsidRDefault="00EC4216" w:rsidP="00A214F8">
            <w:pPr>
              <w:spacing w:before="0" w:after="0" w:line="240" w:lineRule="auto"/>
              <w:rPr>
                <w:rFonts w:eastAsia="Times New Roman" w:cs="Arial"/>
                <w:b/>
                <w:sz w:val="20"/>
                <w:szCs w:val="20"/>
              </w:rPr>
            </w:pPr>
            <w:r w:rsidRPr="00EB6A22">
              <w:rPr>
                <w:rFonts w:eastAsia="Times New Roman" w:cs="Arial"/>
                <w:b/>
                <w:sz w:val="20"/>
                <w:szCs w:val="20"/>
              </w:rPr>
              <w:t>Actual (YTD)</w:t>
            </w:r>
          </w:p>
        </w:tc>
        <w:tc>
          <w:tcPr>
            <w:tcW w:w="2014"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3F9B8589" w14:textId="77777777" w:rsidR="00EC4216" w:rsidRPr="00EB6A22" w:rsidRDefault="00EC4216" w:rsidP="00A214F8">
            <w:pPr>
              <w:spacing w:before="0" w:after="0" w:line="240" w:lineRule="auto"/>
              <w:rPr>
                <w:rFonts w:eastAsia="Times New Roman" w:cs="Arial"/>
                <w:b/>
                <w:sz w:val="20"/>
                <w:szCs w:val="20"/>
              </w:rPr>
            </w:pPr>
            <w:r w:rsidRPr="00EB6A22">
              <w:rPr>
                <w:rFonts w:eastAsia="Times New Roman" w:cs="Arial"/>
                <w:b/>
                <w:sz w:val="20"/>
                <w:szCs w:val="20"/>
              </w:rPr>
              <w:t>Target</w:t>
            </w:r>
          </w:p>
        </w:tc>
      </w:tr>
      <w:tr w:rsidR="00EC4216" w:rsidRPr="00EB6A22" w14:paraId="7A468DD8" w14:textId="77777777" w:rsidTr="007B3AAC">
        <w:trPr>
          <w:trHeight w:val="495"/>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6722CF"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Diagnostics Test Waiting Times</w:t>
            </w:r>
            <w:r>
              <w:rPr>
                <w:rFonts w:eastAsia="Times New Roman" w:cs="Arial"/>
                <w:sz w:val="20"/>
                <w:szCs w:val="20"/>
              </w:rPr>
              <w:t xml:space="preserve"> - % of patients waiting 6+ weeks for a diagnostic test</w:t>
            </w: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F46D2"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2021-22</w:t>
            </w:r>
          </w:p>
        </w:tc>
        <w:tc>
          <w:tcPr>
            <w:tcW w:w="1667"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313CEE83" w14:textId="77777777" w:rsidR="00EC4216" w:rsidRPr="00EB6A22" w:rsidRDefault="00EC4216" w:rsidP="00A214F8">
            <w:pPr>
              <w:spacing w:before="0" w:after="0" w:line="240" w:lineRule="auto"/>
              <w:rPr>
                <w:rFonts w:eastAsia="Times New Roman" w:cs="Arial"/>
                <w:sz w:val="20"/>
                <w:szCs w:val="20"/>
              </w:rPr>
            </w:pPr>
            <w:r>
              <w:rPr>
                <w:rFonts w:eastAsia="Times New Roman" w:cs="Arial"/>
                <w:sz w:val="20"/>
                <w:szCs w:val="20"/>
                <w:shd w:val="clear" w:color="auto" w:fill="E5B8B7"/>
              </w:rPr>
              <w:t>3</w:t>
            </w:r>
            <w:r w:rsidRPr="00EB6A22">
              <w:rPr>
                <w:rFonts w:eastAsia="Times New Roman" w:cs="Arial"/>
                <w:sz w:val="20"/>
                <w:szCs w:val="20"/>
                <w:shd w:val="clear" w:color="auto" w:fill="E5B8B7"/>
              </w:rPr>
              <w:t>6.9%</w:t>
            </w:r>
            <w:r w:rsidRPr="00EB6A22">
              <w:rPr>
                <w:rFonts w:eastAsia="Times New Roman" w:cs="Arial"/>
                <w:sz w:val="20"/>
                <w:szCs w:val="20"/>
                <w:shd w:val="clear" w:color="auto" w:fill="E5B8B7"/>
              </w:rPr>
              <w:br/>
              <w:t>(Jan 2022)</w:t>
            </w: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96D3C3"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&lt;1%</w:t>
            </w:r>
          </w:p>
        </w:tc>
      </w:tr>
    </w:tbl>
    <w:p w14:paraId="7FBC8589" w14:textId="77777777" w:rsidR="00EC4216" w:rsidRPr="006C6512" w:rsidRDefault="00EC4216" w:rsidP="00EC4216">
      <w:pPr>
        <w:spacing w:after="0" w:line="240" w:lineRule="auto"/>
        <w:rPr>
          <w:rFonts w:eastAsia="Times New Roman" w:cs="Arial"/>
          <w:b/>
          <w:sz w:val="18"/>
          <w:szCs w:val="18"/>
        </w:rPr>
      </w:pPr>
      <w:r w:rsidRPr="006C6512">
        <w:rPr>
          <w:rFonts w:eastAsia="Times New Roman" w:cs="Arial"/>
          <w:b/>
          <w:sz w:val="18"/>
          <w:szCs w:val="18"/>
        </w:rPr>
        <w:t>Commentary:</w:t>
      </w:r>
    </w:p>
    <w:p w14:paraId="7E5BD286" w14:textId="77777777" w:rsidR="00EC4216" w:rsidRPr="006C6512" w:rsidRDefault="00EC4216" w:rsidP="009D7744">
      <w:pPr>
        <w:spacing w:after="0" w:line="240" w:lineRule="auto"/>
        <w:ind w:right="-46"/>
        <w:rPr>
          <w:rFonts w:eastAsia="Times New Roman" w:cs="Arial"/>
          <w:b/>
          <w:sz w:val="18"/>
          <w:szCs w:val="18"/>
        </w:rPr>
      </w:pPr>
      <w:r w:rsidRPr="006C6512">
        <w:rPr>
          <w:rFonts w:eastAsia="Times New Roman" w:cs="Arial"/>
          <w:b/>
          <w:sz w:val="18"/>
          <w:szCs w:val="18"/>
        </w:rPr>
        <w:t>Diagnostic test 6-week waiting times exceeds the national target, being negatively impacted by the COVID-19 pandemic and the cessation of some diagnostic tests, adhering to Government advice.</w:t>
      </w:r>
    </w:p>
    <w:p w14:paraId="23A86554" w14:textId="77777777" w:rsidR="00EC4216" w:rsidRPr="006C6512" w:rsidRDefault="00EC4216" w:rsidP="009D7744">
      <w:pPr>
        <w:spacing w:after="0" w:line="240" w:lineRule="auto"/>
        <w:ind w:right="-46"/>
        <w:rPr>
          <w:rFonts w:eastAsia="Times New Roman" w:cs="Arial"/>
          <w:b/>
          <w:sz w:val="18"/>
          <w:szCs w:val="18"/>
        </w:rPr>
      </w:pPr>
      <w:r w:rsidRPr="006C6512">
        <w:rPr>
          <w:rFonts w:eastAsia="Times New Roman" w:cs="Arial"/>
          <w:b/>
          <w:sz w:val="18"/>
          <w:szCs w:val="18"/>
        </w:rPr>
        <w:t xml:space="preserve">Capacity challenges exist, associated with social distancing and infection control measures. However, all available options continue to be explored to ensure patient and staff safety, including the use of independent sector services, community sites and extended opening hours. </w:t>
      </w:r>
    </w:p>
    <w:p w14:paraId="5D4B7319" w14:textId="6DDD125A" w:rsidR="003A3560" w:rsidRPr="006C6512" w:rsidRDefault="00EC4216" w:rsidP="009D7744">
      <w:pPr>
        <w:spacing w:after="0" w:line="240" w:lineRule="auto"/>
        <w:ind w:right="-46"/>
        <w:rPr>
          <w:rFonts w:eastAsia="Times New Roman" w:cs="Arial"/>
          <w:b/>
          <w:sz w:val="18"/>
          <w:szCs w:val="18"/>
        </w:rPr>
      </w:pPr>
      <w:r w:rsidRPr="006C6512">
        <w:rPr>
          <w:rFonts w:eastAsia="Times New Roman" w:cs="Arial"/>
          <w:b/>
          <w:sz w:val="18"/>
          <w:szCs w:val="18"/>
        </w:rPr>
        <w:t>Endoscopy delivery remains challenged due to the pause in the service during the pandemic, a trend seen nationally.</w:t>
      </w:r>
    </w:p>
    <w:tbl>
      <w:tblPr>
        <w:tblpPr w:leftFromText="180" w:rightFromText="180" w:vertAnchor="text" w:horzAnchor="margin" w:tblpY="33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134"/>
        <w:gridCol w:w="1701"/>
        <w:gridCol w:w="2014"/>
      </w:tblGrid>
      <w:tr w:rsidR="00EC4216" w:rsidRPr="00FD6531" w14:paraId="11608B7D" w14:textId="77777777" w:rsidTr="007B3AAC">
        <w:trPr>
          <w:trHeight w:val="705"/>
        </w:trPr>
        <w:tc>
          <w:tcPr>
            <w:tcW w:w="5211" w:type="dxa"/>
            <w:tcBorders>
              <w:top w:val="single" w:sz="4" w:space="0" w:color="auto"/>
              <w:left w:val="single" w:sz="4" w:space="0" w:color="auto"/>
              <w:bottom w:val="single" w:sz="4" w:space="0" w:color="auto"/>
              <w:right w:val="single" w:sz="4" w:space="0" w:color="auto"/>
            </w:tcBorders>
            <w:shd w:val="clear" w:color="auto" w:fill="95B3D7"/>
            <w:vAlign w:val="center"/>
          </w:tcPr>
          <w:p w14:paraId="635C58C9" w14:textId="77777777" w:rsidR="00EC4216" w:rsidRPr="00EB6A22" w:rsidRDefault="00EC4216" w:rsidP="00A214F8">
            <w:pPr>
              <w:spacing w:before="0" w:after="0" w:line="240" w:lineRule="auto"/>
              <w:rPr>
                <w:rFonts w:eastAsia="Times New Roman" w:cs="Arial"/>
                <w:b/>
                <w:sz w:val="20"/>
                <w:szCs w:val="20"/>
              </w:rPr>
            </w:pPr>
            <w:r w:rsidRPr="00EB6A22">
              <w:rPr>
                <w:rFonts w:eastAsia="Times New Roman" w:cs="Arial"/>
                <w:b/>
                <w:sz w:val="20"/>
                <w:szCs w:val="20"/>
              </w:rPr>
              <w:t>Cancer</w:t>
            </w:r>
          </w:p>
        </w:tc>
        <w:tc>
          <w:tcPr>
            <w:tcW w:w="1134" w:type="dxa"/>
            <w:tcBorders>
              <w:top w:val="single" w:sz="4" w:space="0" w:color="auto"/>
              <w:left w:val="single" w:sz="4" w:space="0" w:color="auto"/>
              <w:bottom w:val="single" w:sz="4" w:space="0" w:color="auto"/>
              <w:right w:val="single" w:sz="4" w:space="0" w:color="auto"/>
            </w:tcBorders>
            <w:shd w:val="clear" w:color="auto" w:fill="95B3D7"/>
            <w:vAlign w:val="center"/>
          </w:tcPr>
          <w:p w14:paraId="68C70157" w14:textId="77777777" w:rsidR="00EC4216" w:rsidRPr="00FD6531" w:rsidRDefault="00EC4216" w:rsidP="00A214F8">
            <w:pPr>
              <w:spacing w:before="0" w:after="0" w:line="240" w:lineRule="auto"/>
              <w:rPr>
                <w:rFonts w:eastAsia="Times New Roman" w:cs="Arial"/>
                <w:b/>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95B3D7"/>
            <w:vAlign w:val="center"/>
          </w:tcPr>
          <w:p w14:paraId="358B5D25" w14:textId="77777777" w:rsidR="00EC4216" w:rsidRPr="000279BC" w:rsidRDefault="00EC4216" w:rsidP="00A214F8">
            <w:pPr>
              <w:spacing w:before="0" w:after="0" w:line="240" w:lineRule="auto"/>
              <w:rPr>
                <w:rFonts w:eastAsia="Times New Roman" w:cs="Arial"/>
                <w:b/>
                <w:sz w:val="20"/>
                <w:szCs w:val="20"/>
              </w:rPr>
            </w:pPr>
            <w:r w:rsidRPr="000279BC">
              <w:rPr>
                <w:rFonts w:eastAsia="Times New Roman" w:cs="Arial"/>
                <w:b/>
                <w:sz w:val="20"/>
                <w:szCs w:val="20"/>
              </w:rPr>
              <w:t>Actual</w:t>
            </w:r>
          </w:p>
          <w:p w14:paraId="3E81158E" w14:textId="77777777" w:rsidR="00EC4216" w:rsidRPr="00FD6531" w:rsidRDefault="00EC4216" w:rsidP="00A214F8">
            <w:pPr>
              <w:spacing w:before="0" w:after="0" w:line="240" w:lineRule="auto"/>
              <w:rPr>
                <w:rFonts w:eastAsia="Times New Roman" w:cs="Arial"/>
                <w:b/>
                <w:color w:val="FF0000"/>
                <w:sz w:val="20"/>
                <w:szCs w:val="20"/>
              </w:rPr>
            </w:pPr>
            <w:r w:rsidRPr="000279BC">
              <w:rPr>
                <w:rFonts w:eastAsia="Times New Roman" w:cs="Arial"/>
                <w:b/>
                <w:sz w:val="20"/>
                <w:szCs w:val="20"/>
              </w:rPr>
              <w:t>(Month)</w:t>
            </w:r>
          </w:p>
        </w:tc>
        <w:tc>
          <w:tcPr>
            <w:tcW w:w="2014" w:type="dxa"/>
            <w:tcBorders>
              <w:top w:val="single" w:sz="4" w:space="0" w:color="auto"/>
              <w:left w:val="single" w:sz="4" w:space="0" w:color="auto"/>
              <w:bottom w:val="single" w:sz="4" w:space="0" w:color="auto"/>
              <w:right w:val="single" w:sz="4" w:space="0" w:color="auto"/>
            </w:tcBorders>
            <w:shd w:val="clear" w:color="auto" w:fill="95B3D7"/>
            <w:vAlign w:val="center"/>
          </w:tcPr>
          <w:p w14:paraId="7924BC81" w14:textId="77777777" w:rsidR="00EC4216" w:rsidRPr="00EB6A22" w:rsidRDefault="00EC4216" w:rsidP="00A214F8">
            <w:pPr>
              <w:spacing w:before="0" w:after="0" w:line="240" w:lineRule="auto"/>
              <w:rPr>
                <w:rFonts w:eastAsia="Times New Roman" w:cs="Arial"/>
                <w:b/>
                <w:sz w:val="20"/>
                <w:szCs w:val="20"/>
              </w:rPr>
            </w:pPr>
            <w:r w:rsidRPr="00EB6A22">
              <w:rPr>
                <w:rFonts w:eastAsia="Times New Roman" w:cs="Arial"/>
                <w:b/>
                <w:sz w:val="20"/>
                <w:szCs w:val="20"/>
              </w:rPr>
              <w:t>Target</w:t>
            </w:r>
          </w:p>
        </w:tc>
      </w:tr>
      <w:tr w:rsidR="00EC4216" w:rsidRPr="00FD6531" w14:paraId="483D200F" w14:textId="77777777" w:rsidTr="007B3AAC">
        <w:trPr>
          <w:trHeight w:val="705"/>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D4002B"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lastRenderedPageBreak/>
              <w:t>Cancer- All Cancer two week wait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74F95"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2021-22</w:t>
            </w:r>
          </w:p>
        </w:tc>
        <w:tc>
          <w:tcPr>
            <w:tcW w:w="170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7054D86C" w14:textId="77777777" w:rsidR="00EC4216" w:rsidRPr="009A232B" w:rsidRDefault="00EC4216" w:rsidP="00A214F8">
            <w:pPr>
              <w:spacing w:before="0" w:after="0" w:line="240" w:lineRule="auto"/>
              <w:rPr>
                <w:rFonts w:eastAsia="Times New Roman" w:cs="Arial"/>
                <w:sz w:val="20"/>
                <w:szCs w:val="20"/>
              </w:rPr>
            </w:pPr>
            <w:r>
              <w:rPr>
                <w:rFonts w:eastAsia="Times New Roman" w:cs="Arial"/>
                <w:sz w:val="20"/>
                <w:szCs w:val="20"/>
              </w:rPr>
              <w:t>77</w:t>
            </w:r>
            <w:r w:rsidRPr="009A232B">
              <w:rPr>
                <w:rFonts w:eastAsia="Times New Roman" w:cs="Arial"/>
                <w:sz w:val="20"/>
                <w:szCs w:val="20"/>
              </w:rPr>
              <w:t>.</w:t>
            </w:r>
            <w:r>
              <w:rPr>
                <w:rFonts w:eastAsia="Times New Roman" w:cs="Arial"/>
                <w:sz w:val="20"/>
                <w:szCs w:val="20"/>
              </w:rPr>
              <w:t>8</w:t>
            </w:r>
            <w:r w:rsidRPr="009A232B">
              <w:rPr>
                <w:rFonts w:eastAsia="Times New Roman" w:cs="Arial"/>
                <w:sz w:val="20"/>
                <w:szCs w:val="20"/>
              </w:rPr>
              <w:t>%</w:t>
            </w:r>
            <w:r w:rsidRPr="009A232B">
              <w:rPr>
                <w:rFonts w:eastAsia="Times New Roman" w:cs="Arial"/>
                <w:sz w:val="20"/>
                <w:szCs w:val="20"/>
              </w:rPr>
              <w:br/>
              <w:t>(Apr 2021-Jan 2022)</w:t>
            </w: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FFAA83"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93%</w:t>
            </w:r>
          </w:p>
        </w:tc>
      </w:tr>
      <w:tr w:rsidR="00EC4216" w:rsidRPr="00FD6531" w14:paraId="08F971BA" w14:textId="77777777" w:rsidTr="007B3AAC">
        <w:trPr>
          <w:trHeight w:val="780"/>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3A954"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Cancer - Two week wait for breast symptoms (where cancer not initially suspected)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3F01A" w14:textId="77777777" w:rsidR="00EC4216" w:rsidRPr="00EB6A22" w:rsidRDefault="00EC4216" w:rsidP="00A214F8">
            <w:pPr>
              <w:spacing w:before="0" w:after="0" w:line="240" w:lineRule="auto"/>
              <w:rPr>
                <w:rFonts w:eastAsia="Times New Roman" w:cs="Arial"/>
                <w:sz w:val="20"/>
                <w:szCs w:val="20"/>
                <w:highlight w:val="yellow"/>
              </w:rPr>
            </w:pPr>
            <w:r w:rsidRPr="00EB6A22">
              <w:rPr>
                <w:rFonts w:eastAsia="Times New Roman" w:cs="Arial"/>
                <w:sz w:val="20"/>
                <w:szCs w:val="20"/>
              </w:rPr>
              <w:t>2021-22</w:t>
            </w:r>
          </w:p>
        </w:tc>
        <w:tc>
          <w:tcPr>
            <w:tcW w:w="170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579F078F" w14:textId="77777777" w:rsidR="00EC4216" w:rsidRPr="009A232B" w:rsidRDefault="00EC4216" w:rsidP="00A214F8">
            <w:pPr>
              <w:spacing w:before="0" w:after="0" w:line="240" w:lineRule="auto"/>
              <w:rPr>
                <w:rFonts w:eastAsia="Times New Roman" w:cs="Arial"/>
                <w:sz w:val="20"/>
                <w:szCs w:val="20"/>
              </w:rPr>
            </w:pPr>
            <w:r>
              <w:rPr>
                <w:rFonts w:eastAsia="Times New Roman" w:cs="Arial"/>
                <w:sz w:val="20"/>
                <w:szCs w:val="20"/>
              </w:rPr>
              <w:t>15.6</w:t>
            </w:r>
            <w:r w:rsidRPr="009A232B">
              <w:rPr>
                <w:rFonts w:eastAsia="Times New Roman" w:cs="Arial"/>
                <w:sz w:val="20"/>
                <w:szCs w:val="20"/>
              </w:rPr>
              <w:t>%</w:t>
            </w:r>
          </w:p>
          <w:p w14:paraId="0AF1EB4B" w14:textId="77777777" w:rsidR="00EC4216" w:rsidRPr="009A232B" w:rsidRDefault="00EC4216" w:rsidP="00A214F8">
            <w:pPr>
              <w:spacing w:before="0" w:after="0" w:line="240" w:lineRule="auto"/>
              <w:rPr>
                <w:rFonts w:eastAsia="Times New Roman" w:cs="Arial"/>
                <w:sz w:val="20"/>
                <w:szCs w:val="20"/>
              </w:rPr>
            </w:pPr>
            <w:r w:rsidRPr="009A232B">
              <w:rPr>
                <w:rFonts w:eastAsia="Times New Roman" w:cs="Arial"/>
                <w:sz w:val="20"/>
                <w:szCs w:val="20"/>
              </w:rPr>
              <w:t>(Apr 2021-Jan 2022)</w:t>
            </w: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C56C3"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93%</w:t>
            </w:r>
          </w:p>
        </w:tc>
      </w:tr>
      <w:tr w:rsidR="00EC4216" w:rsidRPr="00FD6531" w14:paraId="7FD8BB54" w14:textId="77777777" w:rsidTr="007B3AAC">
        <w:trPr>
          <w:trHeight w:val="720"/>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C9BD9" w14:textId="77777777" w:rsidR="00EC4216" w:rsidRPr="00EB6A22" w:rsidRDefault="00EC4216" w:rsidP="00A214F8">
            <w:pPr>
              <w:spacing w:before="0" w:after="0" w:line="240" w:lineRule="auto"/>
              <w:rPr>
                <w:rFonts w:eastAsia="Times New Roman" w:cs="Arial"/>
                <w:sz w:val="20"/>
                <w:szCs w:val="20"/>
                <w:highlight w:val="green"/>
              </w:rPr>
            </w:pPr>
            <w:r w:rsidRPr="00EB6A22">
              <w:rPr>
                <w:rFonts w:eastAsia="Times New Roman" w:cs="Arial"/>
                <w:sz w:val="20"/>
                <w:szCs w:val="20"/>
              </w:rPr>
              <w:t>Cancer - Percentage of patients receiving first definitive treatment within 31 days of a cancer diagnosis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43C547"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2021-22</w:t>
            </w:r>
          </w:p>
        </w:tc>
        <w:tc>
          <w:tcPr>
            <w:tcW w:w="170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1FF3E86C" w14:textId="77777777" w:rsidR="00EC4216" w:rsidRPr="009A232B" w:rsidRDefault="00EC4216" w:rsidP="00A214F8">
            <w:pPr>
              <w:spacing w:before="0" w:after="0" w:line="240" w:lineRule="auto"/>
              <w:rPr>
                <w:rFonts w:eastAsia="Times New Roman" w:cs="Arial"/>
                <w:sz w:val="20"/>
                <w:szCs w:val="20"/>
              </w:rPr>
            </w:pPr>
            <w:r>
              <w:rPr>
                <w:rFonts w:eastAsia="Times New Roman" w:cs="Arial"/>
                <w:sz w:val="20"/>
                <w:szCs w:val="20"/>
              </w:rPr>
              <w:t>91.8</w:t>
            </w:r>
            <w:r w:rsidRPr="009A232B">
              <w:rPr>
                <w:rFonts w:eastAsia="Times New Roman" w:cs="Arial"/>
                <w:sz w:val="20"/>
                <w:szCs w:val="20"/>
              </w:rPr>
              <w:t xml:space="preserve">% </w:t>
            </w:r>
            <w:r w:rsidRPr="009A232B">
              <w:rPr>
                <w:rFonts w:eastAsia="Times New Roman" w:cs="Arial"/>
                <w:sz w:val="20"/>
                <w:szCs w:val="20"/>
              </w:rPr>
              <w:br/>
              <w:t>(Apr 2021-Jan 2022)</w:t>
            </w: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28307A"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96%</w:t>
            </w:r>
          </w:p>
        </w:tc>
      </w:tr>
      <w:tr w:rsidR="00EC4216" w:rsidRPr="00FD6531" w14:paraId="5E4C4EDA" w14:textId="77777777" w:rsidTr="007B3AAC">
        <w:trPr>
          <w:trHeight w:val="570"/>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97899D"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Cancer - 31 Day standard for subsequent cancer treatments - surgery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872EDE"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2021-22</w:t>
            </w:r>
          </w:p>
        </w:tc>
        <w:tc>
          <w:tcPr>
            <w:tcW w:w="170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651DC487" w14:textId="77777777" w:rsidR="00EC4216" w:rsidRPr="009A232B" w:rsidRDefault="00EC4216" w:rsidP="00A214F8">
            <w:pPr>
              <w:spacing w:before="0" w:after="0" w:line="240" w:lineRule="auto"/>
              <w:rPr>
                <w:rFonts w:eastAsia="Times New Roman" w:cs="Arial"/>
                <w:sz w:val="20"/>
                <w:szCs w:val="20"/>
              </w:rPr>
            </w:pPr>
            <w:r>
              <w:rPr>
                <w:rFonts w:eastAsia="Times New Roman" w:cs="Arial"/>
                <w:sz w:val="20"/>
                <w:szCs w:val="20"/>
              </w:rPr>
              <w:t>76.9</w:t>
            </w:r>
            <w:r w:rsidRPr="009A232B">
              <w:rPr>
                <w:rFonts w:eastAsia="Times New Roman" w:cs="Arial"/>
                <w:sz w:val="20"/>
                <w:szCs w:val="20"/>
              </w:rPr>
              <w:t xml:space="preserve">% </w:t>
            </w:r>
            <w:r w:rsidRPr="009A232B">
              <w:rPr>
                <w:rFonts w:eastAsia="Times New Roman" w:cs="Arial"/>
                <w:sz w:val="20"/>
                <w:szCs w:val="20"/>
              </w:rPr>
              <w:br w:type="page"/>
            </w:r>
          </w:p>
          <w:p w14:paraId="42094CA1" w14:textId="77777777" w:rsidR="00EC4216" w:rsidRPr="009A232B" w:rsidRDefault="00EC4216" w:rsidP="00A214F8">
            <w:pPr>
              <w:spacing w:before="0" w:after="0" w:line="240" w:lineRule="auto"/>
              <w:rPr>
                <w:rFonts w:eastAsia="Times New Roman" w:cs="Arial"/>
                <w:sz w:val="20"/>
                <w:szCs w:val="20"/>
              </w:rPr>
            </w:pPr>
            <w:r w:rsidRPr="009A232B">
              <w:rPr>
                <w:rFonts w:eastAsia="Times New Roman" w:cs="Arial"/>
                <w:sz w:val="20"/>
                <w:szCs w:val="20"/>
              </w:rPr>
              <w:t>(Apr 2021-Jan 2022)</w:t>
            </w: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CD914E"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94%</w:t>
            </w:r>
          </w:p>
        </w:tc>
      </w:tr>
      <w:tr w:rsidR="00EC4216" w:rsidRPr="00FD6531" w14:paraId="74E18377" w14:textId="77777777" w:rsidTr="007B3AAC">
        <w:trPr>
          <w:trHeight w:val="540"/>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79E23B"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Cancer - 31 Day standard for subsequent cancer treatments - anti cancer drug regimens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E8AD87"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2021-22</w:t>
            </w:r>
          </w:p>
        </w:tc>
        <w:tc>
          <w:tcPr>
            <w:tcW w:w="1701"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F55E171" w14:textId="77777777" w:rsidR="00EC4216" w:rsidRPr="009A232B" w:rsidRDefault="00EC4216" w:rsidP="00A214F8">
            <w:pPr>
              <w:spacing w:before="0" w:after="0" w:line="240" w:lineRule="auto"/>
              <w:rPr>
                <w:rFonts w:eastAsia="Times New Roman" w:cs="Arial"/>
                <w:sz w:val="20"/>
                <w:szCs w:val="20"/>
              </w:rPr>
            </w:pPr>
            <w:r w:rsidRPr="009A232B">
              <w:rPr>
                <w:rFonts w:eastAsia="Times New Roman" w:cs="Arial"/>
                <w:sz w:val="20"/>
                <w:szCs w:val="20"/>
              </w:rPr>
              <w:t>99.6%</w:t>
            </w:r>
            <w:r w:rsidRPr="009A232B">
              <w:rPr>
                <w:rFonts w:eastAsia="Times New Roman" w:cs="Arial"/>
                <w:sz w:val="20"/>
                <w:szCs w:val="20"/>
              </w:rPr>
              <w:br/>
              <w:t>(Apr 2021-Jan 2022)</w:t>
            </w: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B69E3E"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98%</w:t>
            </w:r>
          </w:p>
        </w:tc>
      </w:tr>
      <w:tr w:rsidR="00EC4216" w:rsidRPr="00FD6531" w14:paraId="5DD3EE1D" w14:textId="77777777" w:rsidTr="007B3AAC">
        <w:trPr>
          <w:trHeight w:val="570"/>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7D6F5C" w14:textId="77777777" w:rsidR="00EC4216" w:rsidRPr="00EB6A22" w:rsidRDefault="00EC4216" w:rsidP="00A214F8">
            <w:pPr>
              <w:spacing w:before="0" w:after="0" w:line="240" w:lineRule="auto"/>
              <w:rPr>
                <w:rFonts w:eastAsia="Times New Roman" w:cs="Arial"/>
                <w:sz w:val="20"/>
                <w:szCs w:val="20"/>
                <w:highlight w:val="green"/>
              </w:rPr>
            </w:pPr>
            <w:r w:rsidRPr="00EB6A22">
              <w:rPr>
                <w:rFonts w:eastAsia="Times New Roman" w:cs="Arial"/>
                <w:sz w:val="20"/>
                <w:szCs w:val="20"/>
              </w:rPr>
              <w:t>Cancer - 31 Day standard for subsequent cancer treatments – radiotherapy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25CB1B"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2021-22</w:t>
            </w:r>
          </w:p>
        </w:tc>
        <w:tc>
          <w:tcPr>
            <w:tcW w:w="1701"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9ED8482" w14:textId="77777777" w:rsidR="00EC4216" w:rsidRPr="009A232B" w:rsidRDefault="00EC4216" w:rsidP="00A214F8">
            <w:pPr>
              <w:spacing w:before="0" w:after="0" w:line="240" w:lineRule="auto"/>
              <w:rPr>
                <w:rFonts w:eastAsia="Times New Roman" w:cs="Arial"/>
                <w:sz w:val="20"/>
                <w:szCs w:val="20"/>
              </w:rPr>
            </w:pPr>
            <w:r>
              <w:rPr>
                <w:rFonts w:eastAsia="Times New Roman" w:cs="Arial"/>
                <w:sz w:val="20"/>
                <w:szCs w:val="20"/>
              </w:rPr>
              <w:t>98.6</w:t>
            </w:r>
            <w:r w:rsidRPr="009A232B">
              <w:rPr>
                <w:rFonts w:eastAsia="Times New Roman" w:cs="Arial"/>
                <w:sz w:val="20"/>
                <w:szCs w:val="20"/>
              </w:rPr>
              <w:t xml:space="preserve">% </w:t>
            </w:r>
            <w:r w:rsidRPr="009A232B">
              <w:rPr>
                <w:rFonts w:eastAsia="Times New Roman" w:cs="Arial"/>
                <w:sz w:val="20"/>
                <w:szCs w:val="20"/>
              </w:rPr>
              <w:br/>
              <w:t>(Apr 2021-Jan 2022)</w:t>
            </w: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011D74"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94%</w:t>
            </w:r>
          </w:p>
        </w:tc>
      </w:tr>
      <w:tr w:rsidR="00EC4216" w:rsidRPr="00FD6531" w14:paraId="1FF92104" w14:textId="77777777" w:rsidTr="007B3AAC">
        <w:trPr>
          <w:trHeight w:val="645"/>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62BBDB"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Cancer - All cancer 62 day urgent referral to first treatment wait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CD9AEC"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2021-22</w:t>
            </w:r>
          </w:p>
        </w:tc>
        <w:tc>
          <w:tcPr>
            <w:tcW w:w="170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4EBD2BD2" w14:textId="77777777" w:rsidR="00EC4216" w:rsidRPr="009A232B" w:rsidRDefault="00EC4216" w:rsidP="00A214F8">
            <w:pPr>
              <w:spacing w:before="0" w:after="0" w:line="240" w:lineRule="auto"/>
              <w:rPr>
                <w:rFonts w:eastAsia="Times New Roman" w:cs="Arial"/>
                <w:sz w:val="20"/>
                <w:szCs w:val="20"/>
              </w:rPr>
            </w:pPr>
            <w:r>
              <w:rPr>
                <w:rFonts w:eastAsia="Times New Roman" w:cs="Arial"/>
                <w:sz w:val="20"/>
                <w:szCs w:val="20"/>
              </w:rPr>
              <w:t>57.5</w:t>
            </w:r>
            <w:r w:rsidRPr="009A232B">
              <w:rPr>
                <w:rFonts w:eastAsia="Times New Roman" w:cs="Arial"/>
                <w:sz w:val="20"/>
                <w:szCs w:val="20"/>
              </w:rPr>
              <w:t>%</w:t>
            </w:r>
            <w:r w:rsidRPr="009A232B">
              <w:rPr>
                <w:rFonts w:eastAsia="Times New Roman" w:cs="Arial"/>
                <w:sz w:val="20"/>
                <w:szCs w:val="20"/>
              </w:rPr>
              <w:br/>
              <w:t>(Apr 2021-Jan 2022)</w:t>
            </w: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46FA32"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85%</w:t>
            </w:r>
          </w:p>
        </w:tc>
      </w:tr>
      <w:tr w:rsidR="00EC4216" w:rsidRPr="00FD6531" w14:paraId="4F9F3728" w14:textId="77777777" w:rsidTr="007B3AAC">
        <w:trPr>
          <w:trHeight w:val="570"/>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4498E"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Cancer - 62 day wait for first treatment following referral from an NHS cancer screening service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36A1C8"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2021-22</w:t>
            </w:r>
          </w:p>
        </w:tc>
        <w:tc>
          <w:tcPr>
            <w:tcW w:w="170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3DE93D4A" w14:textId="77777777" w:rsidR="00EC4216" w:rsidRPr="009A232B" w:rsidRDefault="00EC4216" w:rsidP="00A214F8">
            <w:pPr>
              <w:spacing w:before="0" w:after="0" w:line="240" w:lineRule="auto"/>
              <w:rPr>
                <w:rFonts w:eastAsia="Times New Roman" w:cs="Arial"/>
                <w:sz w:val="20"/>
                <w:szCs w:val="20"/>
              </w:rPr>
            </w:pPr>
            <w:r>
              <w:rPr>
                <w:rFonts w:eastAsia="Times New Roman" w:cs="Arial"/>
                <w:sz w:val="20"/>
                <w:szCs w:val="20"/>
              </w:rPr>
              <w:t>40.9</w:t>
            </w:r>
            <w:r w:rsidRPr="009A232B">
              <w:rPr>
                <w:rFonts w:eastAsia="Times New Roman" w:cs="Arial"/>
                <w:sz w:val="20"/>
                <w:szCs w:val="20"/>
              </w:rPr>
              <w:t>%</w:t>
            </w:r>
            <w:r w:rsidRPr="009A232B">
              <w:rPr>
                <w:rFonts w:eastAsia="Times New Roman" w:cs="Arial"/>
                <w:sz w:val="20"/>
                <w:szCs w:val="20"/>
              </w:rPr>
              <w:br/>
              <w:t>(Apr 2021-Jan 2022)</w:t>
            </w: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E10C3C"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90%</w:t>
            </w:r>
          </w:p>
        </w:tc>
      </w:tr>
      <w:tr w:rsidR="00EC4216" w:rsidRPr="00FD6531" w14:paraId="1CD1CA80" w14:textId="77777777" w:rsidTr="007B3AAC">
        <w:trPr>
          <w:trHeight w:val="570"/>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3DFCF"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Cancer - 62 day wait for first treatment for cancer following a consultant's decision to upgrade the patients priority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DDFB7"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2021-22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FC4F51" w14:textId="77777777" w:rsidR="00EC4216" w:rsidRPr="009A232B" w:rsidRDefault="00EC4216" w:rsidP="00A214F8">
            <w:pPr>
              <w:spacing w:before="0" w:after="0" w:line="240" w:lineRule="auto"/>
              <w:rPr>
                <w:rFonts w:eastAsia="Times New Roman" w:cs="Arial"/>
                <w:sz w:val="20"/>
                <w:szCs w:val="20"/>
              </w:rPr>
            </w:pPr>
            <w:r>
              <w:rPr>
                <w:rFonts w:eastAsia="Times New Roman" w:cs="Arial"/>
                <w:sz w:val="20"/>
                <w:szCs w:val="20"/>
              </w:rPr>
              <w:t>32.7</w:t>
            </w:r>
            <w:r w:rsidRPr="009A232B">
              <w:rPr>
                <w:rFonts w:eastAsia="Times New Roman" w:cs="Arial"/>
                <w:sz w:val="20"/>
                <w:szCs w:val="20"/>
              </w:rPr>
              <w:t>%</w:t>
            </w:r>
          </w:p>
          <w:p w14:paraId="747B961D" w14:textId="77777777" w:rsidR="00EC4216" w:rsidRPr="009A232B" w:rsidRDefault="00EC4216" w:rsidP="00A214F8">
            <w:pPr>
              <w:spacing w:before="0" w:after="0" w:line="240" w:lineRule="auto"/>
              <w:rPr>
                <w:rFonts w:eastAsia="Times New Roman" w:cs="Arial"/>
                <w:sz w:val="20"/>
                <w:szCs w:val="20"/>
              </w:rPr>
            </w:pPr>
            <w:r w:rsidRPr="009A232B">
              <w:rPr>
                <w:rFonts w:eastAsia="Times New Roman" w:cs="Arial"/>
                <w:sz w:val="20"/>
                <w:szCs w:val="20"/>
              </w:rPr>
              <w:t>(Apr 2021-Jan 2022)</w:t>
            </w: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3ABF83"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No Target</w:t>
            </w:r>
          </w:p>
        </w:tc>
      </w:tr>
      <w:tr w:rsidR="00EC4216" w:rsidRPr="00FD6531" w14:paraId="31312B8E" w14:textId="77777777" w:rsidTr="007B3AAC">
        <w:trPr>
          <w:trHeight w:val="570"/>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tcPr>
          <w:p w14:paraId="37525609" w14:textId="77777777" w:rsidR="00EC4216" w:rsidRPr="00FD6531" w:rsidRDefault="00EC4216" w:rsidP="00A214F8">
            <w:pPr>
              <w:spacing w:before="0" w:after="0" w:line="240" w:lineRule="auto"/>
              <w:rPr>
                <w:rFonts w:eastAsia="Times New Roman" w:cs="Arial"/>
                <w:color w:val="FF0000"/>
                <w:sz w:val="20"/>
                <w:szCs w:val="20"/>
              </w:rPr>
            </w:pPr>
            <w:r>
              <w:rPr>
                <w:rStyle w:val="normaltextrun"/>
                <w:color w:val="000000"/>
                <w:sz w:val="20"/>
                <w:szCs w:val="20"/>
                <w:shd w:val="clear" w:color="auto" w:fill="FFFFFF"/>
              </w:rPr>
              <w:t>NEW Cancer – 28 Day faster diagnosis standard</w:t>
            </w:r>
            <w:r>
              <w:rPr>
                <w:rStyle w:val="eop"/>
                <w:rFonts w:cs="Arial"/>
                <w:color w:val="000000"/>
                <w:sz w:val="20"/>
                <w:szCs w:val="20"/>
                <w:shd w:val="clear" w:color="auto" w:fill="FFFFFF"/>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BB6052"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2021-22</w:t>
            </w:r>
          </w:p>
        </w:tc>
        <w:tc>
          <w:tcPr>
            <w:tcW w:w="1701" w:type="dxa"/>
            <w:tcBorders>
              <w:top w:val="single" w:sz="4" w:space="0" w:color="auto"/>
              <w:left w:val="single" w:sz="4" w:space="0" w:color="auto"/>
              <w:bottom w:val="single" w:sz="4" w:space="0" w:color="auto"/>
              <w:right w:val="single" w:sz="4" w:space="0" w:color="auto"/>
            </w:tcBorders>
            <w:shd w:val="clear" w:color="auto" w:fill="C2D69B"/>
            <w:vAlign w:val="center"/>
          </w:tcPr>
          <w:p w14:paraId="6B6B2DCF" w14:textId="77777777" w:rsidR="00EC4216" w:rsidRPr="00E77064" w:rsidRDefault="00EC4216" w:rsidP="00A214F8">
            <w:pPr>
              <w:spacing w:before="0" w:after="0" w:line="240" w:lineRule="auto"/>
              <w:rPr>
                <w:rFonts w:eastAsia="Times New Roman"/>
                <w:sz w:val="20"/>
                <w:szCs w:val="20"/>
              </w:rPr>
            </w:pPr>
            <w:r w:rsidRPr="00E77064">
              <w:rPr>
                <w:rFonts w:eastAsia="Times New Roman"/>
                <w:sz w:val="20"/>
                <w:szCs w:val="20"/>
              </w:rPr>
              <w:t>76.9%</w:t>
            </w:r>
          </w:p>
          <w:p w14:paraId="09C96081" w14:textId="77777777" w:rsidR="00EC4216" w:rsidRPr="00FD6531" w:rsidRDefault="00EC4216" w:rsidP="00A214F8">
            <w:pPr>
              <w:spacing w:before="0" w:after="0" w:line="240" w:lineRule="auto"/>
              <w:rPr>
                <w:rFonts w:eastAsia="Times New Roman" w:cs="Arial"/>
                <w:color w:val="FF0000"/>
                <w:sz w:val="20"/>
                <w:szCs w:val="20"/>
              </w:rPr>
            </w:pPr>
            <w:r w:rsidRPr="00E77064">
              <w:rPr>
                <w:rFonts w:eastAsia="Times New Roman"/>
                <w:sz w:val="20"/>
                <w:szCs w:val="20"/>
              </w:rPr>
              <w:t>(Apr 2021-Jan 2022)</w:t>
            </w: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0D87E38C" w14:textId="77777777" w:rsidR="00EC4216" w:rsidRPr="00EB6A22" w:rsidRDefault="00EC4216" w:rsidP="00A214F8">
            <w:pPr>
              <w:spacing w:before="0" w:after="0" w:line="240" w:lineRule="auto"/>
              <w:rPr>
                <w:rFonts w:eastAsia="Times New Roman" w:cs="Arial"/>
                <w:sz w:val="20"/>
                <w:szCs w:val="20"/>
              </w:rPr>
            </w:pPr>
            <w:r w:rsidRPr="00EB6A22">
              <w:rPr>
                <w:rFonts w:eastAsia="Times New Roman" w:cs="Arial"/>
                <w:sz w:val="20"/>
                <w:szCs w:val="20"/>
              </w:rPr>
              <w:t>75%</w:t>
            </w:r>
          </w:p>
        </w:tc>
      </w:tr>
    </w:tbl>
    <w:p w14:paraId="07F9B053" w14:textId="77777777" w:rsidR="00EC4216" w:rsidRPr="009D7744" w:rsidRDefault="00EC4216" w:rsidP="009D7744">
      <w:pPr>
        <w:spacing w:after="0" w:line="240" w:lineRule="auto"/>
        <w:rPr>
          <w:rFonts w:eastAsia="Times New Roman" w:cs="Arial"/>
          <w:b/>
          <w:sz w:val="18"/>
          <w:szCs w:val="18"/>
        </w:rPr>
      </w:pPr>
      <w:r w:rsidRPr="009D7744">
        <w:rPr>
          <w:rFonts w:eastAsia="Times New Roman" w:cs="Arial"/>
          <w:b/>
          <w:sz w:val="18"/>
          <w:szCs w:val="18"/>
        </w:rPr>
        <w:t>Commentary:</w:t>
      </w:r>
    </w:p>
    <w:p w14:paraId="10EE271D" w14:textId="77777777" w:rsidR="00EC4216" w:rsidRPr="009D7744" w:rsidRDefault="00EC4216" w:rsidP="009D7744">
      <w:pPr>
        <w:spacing w:after="0" w:line="240" w:lineRule="auto"/>
        <w:ind w:right="227"/>
        <w:rPr>
          <w:rFonts w:eastAsia="Times New Roman" w:cs="Arial"/>
          <w:b/>
          <w:sz w:val="18"/>
          <w:szCs w:val="18"/>
        </w:rPr>
      </w:pPr>
      <w:r w:rsidRPr="009D7744">
        <w:rPr>
          <w:rFonts w:eastAsia="Times New Roman" w:cs="Arial"/>
          <w:b/>
          <w:sz w:val="18"/>
          <w:szCs w:val="18"/>
        </w:rPr>
        <w:t xml:space="preserve">The NHS Constitution includes a number of targets relating to treatment for cancer patients. </w:t>
      </w:r>
    </w:p>
    <w:p w14:paraId="1B5F378A" w14:textId="77777777" w:rsidR="00EC4216" w:rsidRPr="009D7744" w:rsidRDefault="00EC4216" w:rsidP="009D7744">
      <w:pPr>
        <w:spacing w:after="0" w:line="240" w:lineRule="auto"/>
        <w:ind w:right="227"/>
        <w:rPr>
          <w:rFonts w:eastAsia="Times New Roman" w:cs="Arial"/>
          <w:b/>
          <w:sz w:val="18"/>
          <w:szCs w:val="18"/>
        </w:rPr>
      </w:pPr>
      <w:r w:rsidRPr="009D7744">
        <w:rPr>
          <w:rFonts w:eastAsia="Times New Roman" w:cs="Arial"/>
          <w:b/>
          <w:sz w:val="18"/>
          <w:szCs w:val="18"/>
        </w:rPr>
        <w:t>These include the right to be seen within two weeks when referred for a suspected cancer; the right to be treated within 62 days from the date of GP referral to treatment; and the right to be treated within 31 days from the day of decision to treat to the day of treatment.</w:t>
      </w:r>
    </w:p>
    <w:p w14:paraId="2EE25EDC" w14:textId="77777777" w:rsidR="00EC4216" w:rsidRPr="009D7744" w:rsidRDefault="00EC4216" w:rsidP="009D7744">
      <w:pPr>
        <w:spacing w:after="0" w:line="240" w:lineRule="auto"/>
        <w:ind w:right="227"/>
        <w:rPr>
          <w:rFonts w:eastAsia="Times New Roman" w:cs="Arial"/>
          <w:b/>
          <w:sz w:val="18"/>
          <w:szCs w:val="18"/>
        </w:rPr>
      </w:pPr>
      <w:r w:rsidRPr="009D7744">
        <w:rPr>
          <w:rFonts w:eastAsia="Times New Roman" w:cs="Arial"/>
          <w:b/>
          <w:sz w:val="18"/>
          <w:szCs w:val="18"/>
        </w:rPr>
        <w:t>As a result of COVID-19 cancer patients have been triaged in line with national guidance and streamed accordingly. Challenges to diagnostic capacity has proved to be significant in the delay in the pathways. The conversion of elective capacity into COVID-19 positive capacity, and the expansion of critical care capacity has affected the availability of staff. Wherever possible, cancer patients have been prioritised, but there have been some cancellations of cancer related surgery due to capacity and staffing constraints.</w:t>
      </w:r>
    </w:p>
    <w:tbl>
      <w:tblPr>
        <w:tblpPr w:leftFromText="180" w:rightFromText="180" w:vertAnchor="text" w:horzAnchor="margin" w:tblpY="10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134"/>
        <w:gridCol w:w="1701"/>
        <w:gridCol w:w="2014"/>
      </w:tblGrid>
      <w:tr w:rsidR="00EC4216" w:rsidRPr="00FD6531" w14:paraId="0AF218A0" w14:textId="77777777" w:rsidTr="007B3AAC">
        <w:trPr>
          <w:trHeight w:val="510"/>
        </w:trPr>
        <w:tc>
          <w:tcPr>
            <w:tcW w:w="5211" w:type="dxa"/>
            <w:tcBorders>
              <w:top w:val="single" w:sz="4" w:space="0" w:color="auto"/>
              <w:left w:val="single" w:sz="4" w:space="0" w:color="auto"/>
              <w:bottom w:val="single" w:sz="4" w:space="0" w:color="auto"/>
              <w:right w:val="single" w:sz="4" w:space="0" w:color="auto"/>
            </w:tcBorders>
            <w:shd w:val="clear" w:color="auto" w:fill="95B3D7"/>
            <w:vAlign w:val="center"/>
          </w:tcPr>
          <w:p w14:paraId="3D5DDA77" w14:textId="77777777" w:rsidR="00EC4216" w:rsidRPr="00E77064" w:rsidRDefault="00EC4216" w:rsidP="00A214F8">
            <w:pPr>
              <w:spacing w:line="240" w:lineRule="auto"/>
              <w:rPr>
                <w:rFonts w:eastAsia="Times New Roman" w:cs="Arial"/>
                <w:b/>
                <w:sz w:val="20"/>
                <w:szCs w:val="20"/>
              </w:rPr>
            </w:pPr>
            <w:r w:rsidRPr="00E77064">
              <w:rPr>
                <w:rFonts w:eastAsia="Times New Roman" w:cs="Arial"/>
                <w:b/>
                <w:sz w:val="20"/>
                <w:szCs w:val="20"/>
              </w:rPr>
              <w:t>Mental Health</w:t>
            </w:r>
          </w:p>
        </w:tc>
        <w:tc>
          <w:tcPr>
            <w:tcW w:w="1134" w:type="dxa"/>
            <w:tcBorders>
              <w:top w:val="single" w:sz="4" w:space="0" w:color="auto"/>
              <w:left w:val="single" w:sz="4" w:space="0" w:color="auto"/>
              <w:bottom w:val="single" w:sz="4" w:space="0" w:color="auto"/>
              <w:right w:val="single" w:sz="4" w:space="0" w:color="auto"/>
            </w:tcBorders>
            <w:shd w:val="clear" w:color="auto" w:fill="95B3D7"/>
            <w:vAlign w:val="center"/>
          </w:tcPr>
          <w:p w14:paraId="5492D814" w14:textId="77777777" w:rsidR="00EC4216" w:rsidRPr="00E77064" w:rsidRDefault="00EC4216" w:rsidP="00A214F8">
            <w:pPr>
              <w:spacing w:after="0" w:line="240" w:lineRule="auto"/>
              <w:rPr>
                <w:rFonts w:eastAsia="Times New Roman" w:cs="Arial"/>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207850BB" w14:textId="77777777" w:rsidR="00EC4216" w:rsidRPr="00E77064" w:rsidRDefault="00EC4216" w:rsidP="00A214F8">
            <w:pPr>
              <w:spacing w:before="0" w:after="0" w:line="240" w:lineRule="auto"/>
              <w:rPr>
                <w:rFonts w:eastAsia="Times New Roman" w:cs="Arial"/>
                <w:b/>
                <w:sz w:val="20"/>
                <w:szCs w:val="20"/>
              </w:rPr>
            </w:pPr>
            <w:r w:rsidRPr="00E77064">
              <w:rPr>
                <w:rFonts w:eastAsia="Times New Roman" w:cs="Arial"/>
                <w:b/>
                <w:sz w:val="20"/>
                <w:szCs w:val="20"/>
              </w:rPr>
              <w:t>Actual (YTD)</w:t>
            </w:r>
          </w:p>
        </w:tc>
        <w:tc>
          <w:tcPr>
            <w:tcW w:w="2014"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42BDEB21" w14:textId="77777777" w:rsidR="00EC4216" w:rsidRPr="00E77064" w:rsidRDefault="00EC4216" w:rsidP="00A214F8">
            <w:pPr>
              <w:spacing w:before="0" w:after="0" w:line="240" w:lineRule="auto"/>
              <w:rPr>
                <w:rFonts w:eastAsia="Times New Roman" w:cs="Arial"/>
                <w:b/>
                <w:sz w:val="20"/>
                <w:szCs w:val="20"/>
              </w:rPr>
            </w:pPr>
            <w:r w:rsidRPr="00E77064">
              <w:rPr>
                <w:rFonts w:eastAsia="Times New Roman" w:cs="Arial"/>
                <w:b/>
                <w:sz w:val="20"/>
                <w:szCs w:val="20"/>
              </w:rPr>
              <w:t>Target</w:t>
            </w:r>
          </w:p>
        </w:tc>
      </w:tr>
      <w:tr w:rsidR="00EC4216" w:rsidRPr="00FD6531" w14:paraId="0E07C902" w14:textId="77777777" w:rsidTr="007B3AAC">
        <w:trPr>
          <w:trHeight w:val="855"/>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A7581E"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 xml:space="preserve">The proportion of people that wait six weeks or less from referral to entering a course of IAPT treatment against the number of people who finish a course of treatment in the reporting period.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C2DE6"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2021-22</w:t>
            </w:r>
          </w:p>
        </w:tc>
        <w:tc>
          <w:tcPr>
            <w:tcW w:w="1701"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9A99078"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92.1%</w:t>
            </w:r>
            <w:r w:rsidRPr="00E77064">
              <w:rPr>
                <w:rFonts w:eastAsia="Times New Roman" w:cs="Arial"/>
                <w:sz w:val="20"/>
                <w:szCs w:val="20"/>
              </w:rPr>
              <w:br/>
              <w:t>(Apr-Dec 2021)</w:t>
            </w: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18231C"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75%</w:t>
            </w:r>
          </w:p>
        </w:tc>
      </w:tr>
      <w:tr w:rsidR="00EC4216" w:rsidRPr="00FD6531" w14:paraId="7CC09B4B" w14:textId="77777777" w:rsidTr="007B3AAC">
        <w:trPr>
          <w:trHeight w:val="1373"/>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B7116A"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 xml:space="preserve">The proportion of people that wait 18 weeks or less from referral to entering a course of IAPT treatment against the number of people who finish a course of treatment in the reporting period.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3F87C"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2021-22</w:t>
            </w:r>
          </w:p>
        </w:tc>
        <w:tc>
          <w:tcPr>
            <w:tcW w:w="1701"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140072E2"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99.6%</w:t>
            </w:r>
            <w:r w:rsidRPr="00E77064">
              <w:rPr>
                <w:rFonts w:eastAsia="Times New Roman" w:cs="Arial"/>
                <w:sz w:val="20"/>
                <w:szCs w:val="20"/>
              </w:rPr>
              <w:br/>
              <w:t>(Apr-Dec 2021)</w:t>
            </w: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4406AA"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95%</w:t>
            </w:r>
          </w:p>
        </w:tc>
      </w:tr>
      <w:tr w:rsidR="00EC4216" w:rsidRPr="00FD6531" w14:paraId="0A0FE3B1" w14:textId="77777777" w:rsidTr="007B3AAC">
        <w:trPr>
          <w:trHeight w:val="570"/>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2900D"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 xml:space="preserve">% of people who have depression and/or anxiety disorders who receive psychological therapies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CE351"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2021-22</w:t>
            </w:r>
          </w:p>
        </w:tc>
        <w:tc>
          <w:tcPr>
            <w:tcW w:w="170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701974C9"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16.34%</w:t>
            </w:r>
          </w:p>
          <w:p w14:paraId="1BA24579"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(Apr-Dec 2021)</w:t>
            </w: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4FEF93"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16.88%</w:t>
            </w:r>
          </w:p>
          <w:p w14:paraId="04A6B239"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(Apr-Dec 2021)</w:t>
            </w:r>
          </w:p>
        </w:tc>
      </w:tr>
      <w:tr w:rsidR="00EC4216" w:rsidRPr="00FD6531" w14:paraId="2392BE22" w14:textId="77777777" w:rsidTr="007B3AAC">
        <w:trPr>
          <w:trHeight w:val="495"/>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EAC82"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 xml:space="preserve">People who are moving to recovery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4CBB56"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2021-22</w:t>
            </w:r>
          </w:p>
        </w:tc>
        <w:tc>
          <w:tcPr>
            <w:tcW w:w="1701"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2BBB05A"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56.09%</w:t>
            </w:r>
            <w:r w:rsidRPr="00E77064">
              <w:rPr>
                <w:rFonts w:eastAsia="Times New Roman" w:cs="Arial"/>
                <w:sz w:val="20"/>
                <w:szCs w:val="20"/>
              </w:rPr>
              <w:br/>
              <w:t>(Apr-Dec 202</w:t>
            </w:r>
            <w:r>
              <w:rPr>
                <w:rFonts w:eastAsia="Times New Roman" w:cs="Arial"/>
                <w:sz w:val="20"/>
                <w:szCs w:val="20"/>
              </w:rPr>
              <w:t>1</w:t>
            </w:r>
            <w:r w:rsidRPr="00E77064">
              <w:rPr>
                <w:rFonts w:eastAsia="Times New Roman" w:cs="Arial"/>
                <w:sz w:val="20"/>
                <w:szCs w:val="20"/>
              </w:rPr>
              <w:t>)</w:t>
            </w: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694BEE"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50%</w:t>
            </w:r>
          </w:p>
        </w:tc>
      </w:tr>
      <w:tr w:rsidR="00EC4216" w:rsidRPr="00FD6531" w14:paraId="0A3FE01C" w14:textId="77777777" w:rsidTr="007B3AAC">
        <w:trPr>
          <w:trHeight w:val="495"/>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tcPr>
          <w:p w14:paraId="4F94DB91"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 xml:space="preserve">Dementia - Estimated diagnosis rate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CB832E1"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2021-22</w:t>
            </w:r>
          </w:p>
        </w:tc>
        <w:tc>
          <w:tcPr>
            <w:tcW w:w="1701" w:type="dxa"/>
            <w:tcBorders>
              <w:top w:val="single" w:sz="4" w:space="0" w:color="auto"/>
              <w:left w:val="single" w:sz="4" w:space="0" w:color="auto"/>
              <w:bottom w:val="single" w:sz="4" w:space="0" w:color="auto"/>
              <w:right w:val="single" w:sz="4" w:space="0" w:color="auto"/>
            </w:tcBorders>
            <w:shd w:val="clear" w:color="auto" w:fill="E5B8B7"/>
            <w:vAlign w:val="center"/>
          </w:tcPr>
          <w:p w14:paraId="6184961D"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65.0%</w:t>
            </w:r>
          </w:p>
          <w:p w14:paraId="367FAF1A" w14:textId="77777777" w:rsidR="00EC4216" w:rsidRPr="00FD6531" w:rsidRDefault="00EC4216" w:rsidP="00A214F8">
            <w:pPr>
              <w:spacing w:before="0" w:after="0" w:line="240" w:lineRule="auto"/>
              <w:rPr>
                <w:rFonts w:eastAsia="Times New Roman" w:cs="Arial"/>
                <w:color w:val="FF0000"/>
                <w:sz w:val="20"/>
                <w:szCs w:val="20"/>
              </w:rPr>
            </w:pPr>
            <w:r w:rsidRPr="00E77064">
              <w:rPr>
                <w:rFonts w:eastAsia="Times New Roman" w:cs="Arial"/>
                <w:sz w:val="20"/>
                <w:szCs w:val="20"/>
              </w:rPr>
              <w:t>(Feb 202</w:t>
            </w:r>
            <w:r>
              <w:rPr>
                <w:rFonts w:eastAsia="Times New Roman" w:cs="Arial"/>
                <w:sz w:val="20"/>
                <w:szCs w:val="20"/>
              </w:rPr>
              <w:t>2</w:t>
            </w:r>
            <w:r w:rsidRPr="00E77064">
              <w:rPr>
                <w:rFonts w:eastAsia="Times New Roman" w:cs="Arial"/>
                <w:sz w:val="20"/>
                <w:szCs w:val="20"/>
              </w:rPr>
              <w:t>)</w:t>
            </w:r>
          </w:p>
        </w:tc>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5B6D46BE" w14:textId="77777777" w:rsidR="00EC4216" w:rsidRPr="00FD6531" w:rsidRDefault="00EC4216" w:rsidP="00A214F8">
            <w:pPr>
              <w:spacing w:before="0" w:after="0" w:line="240" w:lineRule="auto"/>
              <w:rPr>
                <w:rFonts w:eastAsia="Times New Roman" w:cs="Arial"/>
                <w:color w:val="FF0000"/>
                <w:sz w:val="20"/>
                <w:szCs w:val="20"/>
              </w:rPr>
            </w:pPr>
            <w:r w:rsidRPr="00E77064">
              <w:rPr>
                <w:rFonts w:eastAsia="Times New Roman" w:cs="Arial"/>
                <w:sz w:val="20"/>
                <w:szCs w:val="20"/>
              </w:rPr>
              <w:t>66.7%</w:t>
            </w:r>
          </w:p>
        </w:tc>
      </w:tr>
    </w:tbl>
    <w:p w14:paraId="66A0BA0A" w14:textId="77777777" w:rsidR="0036791D" w:rsidRDefault="0036791D" w:rsidP="009D7744">
      <w:pPr>
        <w:spacing w:after="0" w:line="240" w:lineRule="auto"/>
        <w:rPr>
          <w:rFonts w:eastAsia="Times New Roman" w:cs="Arial"/>
          <w:b/>
          <w:sz w:val="18"/>
          <w:szCs w:val="18"/>
        </w:rPr>
      </w:pPr>
    </w:p>
    <w:p w14:paraId="4F855A07" w14:textId="4ED1EDE8" w:rsidR="00EC4216" w:rsidRPr="009D7744" w:rsidRDefault="00EC4216" w:rsidP="009D7744">
      <w:pPr>
        <w:spacing w:after="0" w:line="240" w:lineRule="auto"/>
        <w:rPr>
          <w:rFonts w:eastAsia="Times New Roman" w:cs="Arial"/>
          <w:b/>
          <w:sz w:val="18"/>
          <w:szCs w:val="18"/>
        </w:rPr>
      </w:pPr>
      <w:r w:rsidRPr="009D7744">
        <w:rPr>
          <w:rFonts w:eastAsia="Times New Roman" w:cs="Arial"/>
          <w:b/>
          <w:sz w:val="18"/>
          <w:szCs w:val="18"/>
        </w:rPr>
        <w:lastRenderedPageBreak/>
        <w:t>Commentary:</w:t>
      </w:r>
    </w:p>
    <w:p w14:paraId="49DB9FCD" w14:textId="77777777" w:rsidR="00EC4216" w:rsidRPr="009D7744" w:rsidRDefault="00EC4216" w:rsidP="009D7744">
      <w:pPr>
        <w:spacing w:after="0" w:line="240" w:lineRule="auto"/>
        <w:ind w:right="227"/>
        <w:rPr>
          <w:rFonts w:cs="Arial"/>
          <w:b/>
          <w:sz w:val="18"/>
          <w:szCs w:val="18"/>
        </w:rPr>
      </w:pPr>
      <w:r w:rsidRPr="009D7744">
        <w:rPr>
          <w:rFonts w:cs="Arial"/>
          <w:b/>
          <w:sz w:val="18"/>
          <w:szCs w:val="18"/>
        </w:rPr>
        <w:t>Improving Access to Psychological Therapies (IAPT) is a key element of the national strategy to improve support for those with mental health issues. There are a number of measures used to assess how well CCGs are doing in supporting access.</w:t>
      </w:r>
    </w:p>
    <w:p w14:paraId="098E4C79" w14:textId="77777777" w:rsidR="00EC4216" w:rsidRPr="009D7744" w:rsidRDefault="00EC4216" w:rsidP="009D7744">
      <w:pPr>
        <w:spacing w:line="240" w:lineRule="auto"/>
        <w:ind w:right="227"/>
        <w:rPr>
          <w:rFonts w:cs="Arial"/>
          <w:b/>
          <w:sz w:val="18"/>
          <w:szCs w:val="18"/>
        </w:rPr>
      </w:pPr>
      <w:r w:rsidRPr="009D7744">
        <w:rPr>
          <w:rFonts w:cs="Arial"/>
          <w:b/>
          <w:sz w:val="18"/>
          <w:szCs w:val="18"/>
        </w:rPr>
        <w:t xml:space="preserve">The CCG and provider continue to work jointly to review the performance of IAPT metrics; the psychological therapies service has seen maintained performance in the Recovery Standard throughout the pandemic. </w:t>
      </w:r>
    </w:p>
    <w:tbl>
      <w:tblPr>
        <w:tblpPr w:leftFromText="180" w:rightFromText="180" w:vertAnchor="text" w:horzAnchor="margin" w:tblpY="8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134"/>
        <w:gridCol w:w="1730"/>
        <w:gridCol w:w="1985"/>
      </w:tblGrid>
      <w:tr w:rsidR="00EC4216" w:rsidRPr="00E77064" w14:paraId="2A04D91C" w14:textId="77777777" w:rsidTr="002272E8">
        <w:trPr>
          <w:trHeight w:val="510"/>
        </w:trPr>
        <w:tc>
          <w:tcPr>
            <w:tcW w:w="5211" w:type="dxa"/>
            <w:tcBorders>
              <w:top w:val="single" w:sz="4" w:space="0" w:color="auto"/>
              <w:left w:val="single" w:sz="4" w:space="0" w:color="auto"/>
              <w:bottom w:val="single" w:sz="4" w:space="0" w:color="auto"/>
              <w:right w:val="single" w:sz="4" w:space="0" w:color="auto"/>
            </w:tcBorders>
            <w:shd w:val="clear" w:color="auto" w:fill="95B3D7"/>
            <w:vAlign w:val="center"/>
          </w:tcPr>
          <w:p w14:paraId="33187EFF" w14:textId="77777777" w:rsidR="00EC4216" w:rsidRPr="00E77064" w:rsidRDefault="00EC4216" w:rsidP="00A214F8">
            <w:pPr>
              <w:spacing w:before="0" w:after="0" w:line="240" w:lineRule="auto"/>
              <w:rPr>
                <w:rFonts w:eastAsia="Times New Roman" w:cs="Arial"/>
                <w:b/>
                <w:sz w:val="20"/>
                <w:szCs w:val="20"/>
              </w:rPr>
            </w:pPr>
            <w:r w:rsidRPr="00E77064">
              <w:rPr>
                <w:rFonts w:eastAsia="Times New Roman" w:cs="Arial"/>
                <w:b/>
                <w:sz w:val="20"/>
                <w:szCs w:val="20"/>
              </w:rPr>
              <w:t>Cancelled Operations</w:t>
            </w:r>
          </w:p>
        </w:tc>
        <w:tc>
          <w:tcPr>
            <w:tcW w:w="1134" w:type="dxa"/>
            <w:tcBorders>
              <w:top w:val="single" w:sz="4" w:space="0" w:color="auto"/>
              <w:left w:val="single" w:sz="4" w:space="0" w:color="auto"/>
              <w:bottom w:val="single" w:sz="4" w:space="0" w:color="auto"/>
              <w:right w:val="single" w:sz="4" w:space="0" w:color="auto"/>
            </w:tcBorders>
            <w:shd w:val="clear" w:color="auto" w:fill="95B3D7"/>
            <w:vAlign w:val="center"/>
          </w:tcPr>
          <w:p w14:paraId="4DCCC996" w14:textId="77777777" w:rsidR="00EC4216" w:rsidRPr="00E77064" w:rsidRDefault="00EC4216" w:rsidP="00A214F8">
            <w:pPr>
              <w:spacing w:before="0" w:after="0" w:line="240" w:lineRule="auto"/>
              <w:rPr>
                <w:rFonts w:eastAsia="Times New Roman" w:cs="Arial"/>
                <w:b/>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95B3D7"/>
            <w:vAlign w:val="center"/>
          </w:tcPr>
          <w:p w14:paraId="445E6E3C" w14:textId="77777777" w:rsidR="00EC4216" w:rsidRPr="00E77064" w:rsidRDefault="00EC4216" w:rsidP="00A214F8">
            <w:pPr>
              <w:spacing w:before="0" w:after="0" w:line="240" w:lineRule="auto"/>
              <w:rPr>
                <w:rFonts w:eastAsia="Times New Roman" w:cs="Arial"/>
                <w:b/>
                <w:sz w:val="20"/>
                <w:szCs w:val="20"/>
              </w:rPr>
            </w:pPr>
            <w:r w:rsidRPr="00E77064">
              <w:rPr>
                <w:rFonts w:eastAsia="Times New Roman" w:cs="Arial"/>
                <w:b/>
                <w:sz w:val="20"/>
                <w:szCs w:val="20"/>
              </w:rPr>
              <w:t>Actual  (Month)</w:t>
            </w:r>
          </w:p>
        </w:tc>
        <w:tc>
          <w:tcPr>
            <w:tcW w:w="1985" w:type="dxa"/>
            <w:tcBorders>
              <w:top w:val="single" w:sz="4" w:space="0" w:color="auto"/>
              <w:left w:val="single" w:sz="4" w:space="0" w:color="auto"/>
              <w:bottom w:val="single" w:sz="4" w:space="0" w:color="auto"/>
              <w:right w:val="single" w:sz="4" w:space="0" w:color="auto"/>
            </w:tcBorders>
            <w:shd w:val="clear" w:color="auto" w:fill="95B3D7"/>
            <w:vAlign w:val="center"/>
          </w:tcPr>
          <w:p w14:paraId="75B7DF77" w14:textId="77777777" w:rsidR="00EC4216" w:rsidRPr="00E77064" w:rsidRDefault="00EC4216" w:rsidP="00A214F8">
            <w:pPr>
              <w:spacing w:before="0" w:after="0" w:line="240" w:lineRule="auto"/>
              <w:rPr>
                <w:rFonts w:eastAsia="Times New Roman" w:cs="Arial"/>
                <w:b/>
                <w:sz w:val="20"/>
                <w:szCs w:val="20"/>
              </w:rPr>
            </w:pPr>
            <w:r w:rsidRPr="00E77064">
              <w:rPr>
                <w:rFonts w:eastAsia="Times New Roman" w:cs="Arial"/>
                <w:b/>
                <w:sz w:val="20"/>
                <w:szCs w:val="20"/>
              </w:rPr>
              <w:t>Target</w:t>
            </w:r>
          </w:p>
        </w:tc>
      </w:tr>
      <w:tr w:rsidR="00EC4216" w:rsidRPr="00E77064" w14:paraId="28D711CC" w14:textId="77777777" w:rsidTr="002272E8">
        <w:trPr>
          <w:trHeight w:val="600"/>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09CAD6" w14:textId="77777777" w:rsidR="00EC4216" w:rsidRPr="00E77064" w:rsidRDefault="00EC4216" w:rsidP="00A214F8">
            <w:pPr>
              <w:spacing w:before="0" w:after="0" w:line="240" w:lineRule="auto"/>
              <w:rPr>
                <w:rFonts w:eastAsia="Times New Roman" w:cs="Arial"/>
                <w:sz w:val="20"/>
                <w:szCs w:val="20"/>
                <w:highlight w:val="green"/>
              </w:rPr>
            </w:pPr>
            <w:r w:rsidRPr="00E77064">
              <w:rPr>
                <w:rFonts w:eastAsia="Times New Roman" w:cs="Arial"/>
                <w:sz w:val="20"/>
                <w:szCs w:val="20"/>
              </w:rPr>
              <w:t>Urgent Operations Cancelled - Hull University Teaching Hospitals Trust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7280A"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202</w:t>
            </w:r>
            <w:r>
              <w:rPr>
                <w:rFonts w:eastAsia="Times New Roman" w:cs="Arial"/>
                <w:sz w:val="20"/>
                <w:szCs w:val="20"/>
              </w:rPr>
              <w:t>1</w:t>
            </w:r>
            <w:r w:rsidRPr="00E77064">
              <w:rPr>
                <w:rFonts w:eastAsia="Times New Roman" w:cs="Arial"/>
                <w:sz w:val="20"/>
                <w:szCs w:val="20"/>
              </w:rPr>
              <w:t>-2</w:t>
            </w:r>
            <w:r>
              <w:rPr>
                <w:rFonts w:eastAsia="Times New Roman" w:cs="Arial"/>
                <w:sz w:val="20"/>
                <w:szCs w:val="20"/>
              </w:rPr>
              <w:t>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7FF98"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Not reported after Feb 2020 due to Covid</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653CB7"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0</w:t>
            </w:r>
          </w:p>
        </w:tc>
      </w:tr>
      <w:tr w:rsidR="00EC4216" w:rsidRPr="00E77064" w14:paraId="68DF2E72" w14:textId="77777777" w:rsidTr="002272E8">
        <w:trPr>
          <w:trHeight w:val="465"/>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2865D"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Number of urgent operations cancelled for a second time - Hull University Teaching Hospitals Trust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799405"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202</w:t>
            </w:r>
            <w:r>
              <w:rPr>
                <w:rFonts w:eastAsia="Times New Roman" w:cs="Arial"/>
                <w:sz w:val="20"/>
                <w:szCs w:val="20"/>
              </w:rPr>
              <w:t>1</w:t>
            </w:r>
            <w:r w:rsidRPr="00E77064">
              <w:rPr>
                <w:rFonts w:eastAsia="Times New Roman" w:cs="Arial"/>
                <w:sz w:val="20"/>
                <w:szCs w:val="20"/>
              </w:rPr>
              <w:t>-2</w:t>
            </w:r>
            <w:r>
              <w:rPr>
                <w:rFonts w:eastAsia="Times New Roman" w:cs="Arial"/>
                <w:sz w:val="20"/>
                <w:szCs w:val="20"/>
              </w:rPr>
              <w:t>2</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075C9"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Not reported after Feb 2020 due to Covid</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235E22" w14:textId="77777777" w:rsidR="00EC4216" w:rsidRPr="00E77064" w:rsidRDefault="00EC4216" w:rsidP="00A214F8">
            <w:pPr>
              <w:spacing w:before="0" w:after="0" w:line="240" w:lineRule="auto"/>
              <w:rPr>
                <w:rFonts w:eastAsia="Times New Roman" w:cs="Arial"/>
                <w:sz w:val="20"/>
                <w:szCs w:val="20"/>
              </w:rPr>
            </w:pPr>
            <w:r w:rsidRPr="00E77064">
              <w:rPr>
                <w:rFonts w:eastAsia="Times New Roman" w:cs="Arial"/>
                <w:sz w:val="20"/>
                <w:szCs w:val="20"/>
              </w:rPr>
              <w:t>0</w:t>
            </w:r>
          </w:p>
        </w:tc>
      </w:tr>
    </w:tbl>
    <w:p w14:paraId="5505B224" w14:textId="77777777" w:rsidR="00EC4216" w:rsidRPr="009D7744" w:rsidRDefault="00EC4216" w:rsidP="00EC4216">
      <w:pPr>
        <w:spacing w:after="0" w:line="240" w:lineRule="auto"/>
        <w:rPr>
          <w:rFonts w:eastAsia="Times New Roman" w:cs="Arial"/>
          <w:b/>
          <w:sz w:val="18"/>
          <w:szCs w:val="18"/>
        </w:rPr>
      </w:pPr>
      <w:r w:rsidRPr="009D7744">
        <w:rPr>
          <w:rFonts w:eastAsia="Times New Roman" w:cs="Arial"/>
          <w:b/>
          <w:sz w:val="18"/>
          <w:szCs w:val="18"/>
        </w:rPr>
        <w:t>Commentary:</w:t>
      </w:r>
    </w:p>
    <w:p w14:paraId="568FEA0A" w14:textId="77777777" w:rsidR="00EC4216" w:rsidRPr="009D7744" w:rsidRDefault="00EC4216" w:rsidP="00EC4216">
      <w:pPr>
        <w:spacing w:after="0" w:line="240" w:lineRule="auto"/>
        <w:rPr>
          <w:rFonts w:eastAsia="Times New Roman" w:cs="Arial"/>
          <w:b/>
          <w:sz w:val="18"/>
          <w:szCs w:val="18"/>
        </w:rPr>
      </w:pPr>
      <w:r w:rsidRPr="009D7744">
        <w:rPr>
          <w:rFonts w:eastAsia="Times New Roman" w:cs="Arial"/>
          <w:b/>
          <w:sz w:val="18"/>
          <w:szCs w:val="18"/>
        </w:rPr>
        <w:t>Due to the COVID-19 pandemic and the need to release capacity across the NHS to support the response, NHS England paused the collection and publication of some of the official statistics, including Cancelled Operations.</w:t>
      </w:r>
    </w:p>
    <w:tbl>
      <w:tblPr>
        <w:tblpPr w:leftFromText="180" w:rightFromText="180" w:vertAnchor="text" w:horzAnchor="margin" w:tblpY="29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134"/>
        <w:gridCol w:w="1696"/>
        <w:gridCol w:w="1985"/>
      </w:tblGrid>
      <w:tr w:rsidR="00EC4216" w:rsidRPr="00FD6531" w14:paraId="685B1628" w14:textId="77777777" w:rsidTr="007B3AAC">
        <w:trPr>
          <w:trHeight w:val="570"/>
        </w:trPr>
        <w:tc>
          <w:tcPr>
            <w:tcW w:w="5245" w:type="dxa"/>
            <w:tcBorders>
              <w:top w:val="single" w:sz="4" w:space="0" w:color="auto"/>
              <w:left w:val="single" w:sz="4" w:space="0" w:color="auto"/>
              <w:bottom w:val="single" w:sz="4" w:space="0" w:color="auto"/>
              <w:right w:val="single" w:sz="4" w:space="0" w:color="auto"/>
            </w:tcBorders>
            <w:shd w:val="clear" w:color="auto" w:fill="95B3D7"/>
            <w:vAlign w:val="center"/>
          </w:tcPr>
          <w:p w14:paraId="6A126F1A" w14:textId="77777777" w:rsidR="00EC4216" w:rsidRPr="0095026C" w:rsidRDefault="00EC4216" w:rsidP="00A214F8">
            <w:pPr>
              <w:spacing w:before="0" w:after="0" w:line="240" w:lineRule="auto"/>
              <w:rPr>
                <w:rFonts w:eastAsia="Times New Roman" w:cs="Arial"/>
                <w:b/>
                <w:sz w:val="20"/>
                <w:szCs w:val="20"/>
              </w:rPr>
            </w:pPr>
            <w:r w:rsidRPr="0095026C">
              <w:rPr>
                <w:rFonts w:eastAsia="Times New Roman" w:cs="Arial"/>
                <w:b/>
                <w:sz w:val="20"/>
                <w:szCs w:val="20"/>
              </w:rPr>
              <w:t>Stroke</w:t>
            </w:r>
          </w:p>
        </w:tc>
        <w:tc>
          <w:tcPr>
            <w:tcW w:w="1134" w:type="dxa"/>
            <w:tcBorders>
              <w:top w:val="single" w:sz="4" w:space="0" w:color="auto"/>
              <w:left w:val="single" w:sz="4" w:space="0" w:color="auto"/>
              <w:bottom w:val="single" w:sz="4" w:space="0" w:color="auto"/>
              <w:right w:val="single" w:sz="4" w:space="0" w:color="auto"/>
            </w:tcBorders>
            <w:shd w:val="clear" w:color="auto" w:fill="95B3D7"/>
            <w:vAlign w:val="center"/>
          </w:tcPr>
          <w:p w14:paraId="603D20BE" w14:textId="77777777" w:rsidR="00EC4216" w:rsidRPr="0095026C" w:rsidRDefault="00EC4216" w:rsidP="00A214F8">
            <w:pPr>
              <w:spacing w:before="0" w:after="0" w:line="240" w:lineRule="auto"/>
              <w:rPr>
                <w:rFonts w:eastAsia="Times New Roman" w:cs="Arial"/>
                <w:b/>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95B3D7"/>
            <w:vAlign w:val="center"/>
          </w:tcPr>
          <w:p w14:paraId="241E133C" w14:textId="77777777" w:rsidR="00EC4216" w:rsidRPr="0095026C" w:rsidRDefault="00EC4216" w:rsidP="00A214F8">
            <w:pPr>
              <w:spacing w:before="0" w:after="0" w:line="240" w:lineRule="auto"/>
              <w:rPr>
                <w:rFonts w:eastAsia="Times New Roman" w:cs="Arial"/>
                <w:b/>
                <w:sz w:val="20"/>
                <w:szCs w:val="20"/>
              </w:rPr>
            </w:pPr>
            <w:r w:rsidRPr="0095026C">
              <w:rPr>
                <w:rFonts w:eastAsia="Times New Roman" w:cs="Arial"/>
                <w:b/>
                <w:sz w:val="20"/>
                <w:szCs w:val="20"/>
              </w:rPr>
              <w:t>Actual (YTD)</w:t>
            </w:r>
          </w:p>
        </w:tc>
        <w:tc>
          <w:tcPr>
            <w:tcW w:w="1985" w:type="dxa"/>
            <w:tcBorders>
              <w:top w:val="single" w:sz="4" w:space="0" w:color="auto"/>
              <w:left w:val="single" w:sz="4" w:space="0" w:color="auto"/>
              <w:bottom w:val="single" w:sz="4" w:space="0" w:color="auto"/>
              <w:right w:val="single" w:sz="4" w:space="0" w:color="auto"/>
            </w:tcBorders>
            <w:shd w:val="clear" w:color="auto" w:fill="95B3D7"/>
            <w:vAlign w:val="center"/>
          </w:tcPr>
          <w:p w14:paraId="30D4A217" w14:textId="77777777" w:rsidR="00EC4216" w:rsidRPr="0095026C" w:rsidRDefault="00EC4216" w:rsidP="00A214F8">
            <w:pPr>
              <w:spacing w:before="0" w:after="0" w:line="240" w:lineRule="auto"/>
              <w:rPr>
                <w:rFonts w:eastAsia="Times New Roman" w:cs="Arial"/>
                <w:b/>
                <w:sz w:val="20"/>
                <w:szCs w:val="20"/>
              </w:rPr>
            </w:pPr>
            <w:r w:rsidRPr="0095026C">
              <w:rPr>
                <w:rFonts w:eastAsia="Times New Roman" w:cs="Arial"/>
                <w:b/>
                <w:sz w:val="20"/>
                <w:szCs w:val="20"/>
              </w:rPr>
              <w:t>Target</w:t>
            </w:r>
            <w:r>
              <w:rPr>
                <w:rFonts w:eastAsia="Times New Roman" w:cs="Arial"/>
                <w:b/>
                <w:sz w:val="20"/>
                <w:szCs w:val="20"/>
              </w:rPr>
              <w:t>*</w:t>
            </w:r>
          </w:p>
        </w:tc>
      </w:tr>
      <w:tr w:rsidR="00EC4216" w:rsidRPr="00FD6531" w14:paraId="66192FF6" w14:textId="77777777" w:rsidTr="007B3AAC">
        <w:trPr>
          <w:trHeight w:val="570"/>
        </w:trPr>
        <w:tc>
          <w:tcPr>
            <w:tcW w:w="5245" w:type="dxa"/>
            <w:tcBorders>
              <w:top w:val="single" w:sz="4" w:space="0" w:color="auto"/>
              <w:left w:val="single" w:sz="4" w:space="0" w:color="auto"/>
              <w:bottom w:val="single" w:sz="4" w:space="0" w:color="auto"/>
              <w:right w:val="single" w:sz="4" w:space="0" w:color="auto"/>
            </w:tcBorders>
            <w:shd w:val="clear" w:color="auto" w:fill="auto"/>
          </w:tcPr>
          <w:p w14:paraId="096DF984" w14:textId="77777777" w:rsidR="00EC4216" w:rsidRPr="0095026C" w:rsidRDefault="00EC4216" w:rsidP="00A214F8">
            <w:pPr>
              <w:spacing w:before="0" w:after="0" w:line="240" w:lineRule="auto"/>
              <w:rPr>
                <w:rFonts w:eastAsia="Times New Roman" w:cs="Arial"/>
                <w:sz w:val="20"/>
                <w:szCs w:val="20"/>
              </w:rPr>
            </w:pPr>
            <w:r w:rsidRPr="0025215D">
              <w:rPr>
                <w:rFonts w:eastAsia="Times New Roman" w:cs="Arial"/>
                <w:sz w:val="20"/>
                <w:szCs w:val="20"/>
              </w:rPr>
              <w:t>Percentage of patients scanned within 1 hour</w:t>
            </w:r>
            <w:r w:rsidRPr="0095026C">
              <w:rPr>
                <w:rFonts w:eastAsia="Times New Roman" w:cs="Arial"/>
                <w:sz w:val="20"/>
                <w:szCs w:val="20"/>
              </w:rPr>
              <w:t xml:space="preserve"> of arrival to hospital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9EF87" w14:textId="77777777" w:rsidR="00EC4216" w:rsidRPr="0095026C" w:rsidRDefault="00EC4216" w:rsidP="00A214F8">
            <w:pPr>
              <w:spacing w:before="0" w:after="0" w:line="240" w:lineRule="auto"/>
              <w:rPr>
                <w:rFonts w:eastAsia="Times New Roman" w:cs="Arial"/>
                <w:sz w:val="20"/>
                <w:szCs w:val="20"/>
              </w:rPr>
            </w:pPr>
            <w:r>
              <w:rPr>
                <w:rFonts w:eastAsia="Times New Roman" w:cs="Arial"/>
                <w:sz w:val="20"/>
                <w:szCs w:val="20"/>
              </w:rPr>
              <w:t>2020-21</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736FF30" w14:textId="77777777" w:rsidR="00EC4216" w:rsidRDefault="00EC4216" w:rsidP="00A214F8">
            <w:pPr>
              <w:spacing w:before="0" w:after="0" w:line="240" w:lineRule="auto"/>
              <w:rPr>
                <w:rFonts w:eastAsia="Times New Roman" w:cs="Arial"/>
                <w:sz w:val="20"/>
                <w:szCs w:val="20"/>
              </w:rPr>
            </w:pPr>
            <w:r w:rsidRPr="0025215D">
              <w:rPr>
                <w:rFonts w:eastAsia="Times New Roman" w:cs="Arial"/>
                <w:sz w:val="20"/>
                <w:szCs w:val="20"/>
              </w:rPr>
              <w:t>46.9%</w:t>
            </w:r>
          </w:p>
          <w:p w14:paraId="03E8928F" w14:textId="77777777" w:rsidR="00EC4216" w:rsidRPr="0025215D" w:rsidRDefault="00EC4216" w:rsidP="00A214F8">
            <w:pPr>
              <w:spacing w:before="0" w:after="0" w:line="240" w:lineRule="auto"/>
              <w:rPr>
                <w:rFonts w:eastAsia="Times New Roman" w:cs="Arial"/>
                <w:sz w:val="20"/>
                <w:szCs w:val="20"/>
              </w:rPr>
            </w:pPr>
            <w:r>
              <w:rPr>
                <w:rFonts w:eastAsia="Times New Roman" w:cs="Arial"/>
                <w:sz w:val="20"/>
                <w:szCs w:val="20"/>
              </w:rPr>
              <w:t>(2020-21)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C4B1B52" w14:textId="77777777" w:rsidR="00EC4216" w:rsidRPr="0025215D" w:rsidRDefault="00EC4216" w:rsidP="00A214F8">
            <w:pPr>
              <w:spacing w:before="0" w:after="0" w:line="240" w:lineRule="auto"/>
              <w:rPr>
                <w:rFonts w:eastAsia="Times New Roman" w:cs="Arial"/>
                <w:sz w:val="20"/>
                <w:szCs w:val="20"/>
              </w:rPr>
            </w:pPr>
            <w:r w:rsidRPr="0025215D">
              <w:rPr>
                <w:rFonts w:eastAsia="Times New Roman" w:cs="Arial"/>
                <w:sz w:val="20"/>
                <w:szCs w:val="20"/>
              </w:rPr>
              <w:t>46.1%</w:t>
            </w:r>
          </w:p>
          <w:p w14:paraId="3863C213" w14:textId="77777777" w:rsidR="00EC4216" w:rsidRPr="00FD6531" w:rsidRDefault="00EC4216" w:rsidP="00A214F8">
            <w:pPr>
              <w:spacing w:before="0" w:after="0" w:line="240" w:lineRule="auto"/>
              <w:rPr>
                <w:rFonts w:eastAsia="Times New Roman" w:cs="Arial"/>
                <w:color w:val="FF0000"/>
                <w:sz w:val="20"/>
                <w:szCs w:val="20"/>
              </w:rPr>
            </w:pPr>
            <w:r w:rsidRPr="0025215D">
              <w:rPr>
                <w:rFonts w:eastAsia="Times New Roman" w:cs="Arial"/>
                <w:sz w:val="20"/>
                <w:szCs w:val="20"/>
              </w:rPr>
              <w:t>(2019-20)</w:t>
            </w:r>
          </w:p>
        </w:tc>
      </w:tr>
      <w:tr w:rsidR="00EC4216" w:rsidRPr="00FD6531" w14:paraId="6774668E" w14:textId="77777777" w:rsidTr="007B3AAC">
        <w:trPr>
          <w:trHeight w:val="57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6F51E122" w14:textId="77777777" w:rsidR="00EC4216" w:rsidRPr="0095026C" w:rsidRDefault="00EC4216" w:rsidP="00A214F8">
            <w:pPr>
              <w:spacing w:before="0" w:after="0" w:line="240" w:lineRule="auto"/>
              <w:rPr>
                <w:rFonts w:eastAsia="Times New Roman" w:cs="Arial"/>
                <w:sz w:val="20"/>
                <w:szCs w:val="20"/>
              </w:rPr>
            </w:pPr>
            <w:r w:rsidRPr="0095026C">
              <w:rPr>
                <w:rFonts w:eastAsia="Times New Roman" w:cs="Arial"/>
                <w:sz w:val="20"/>
                <w:szCs w:val="20"/>
              </w:rPr>
              <w:t xml:space="preserve">People who have had a stroke who are admitted to an acute stroke unit within </w:t>
            </w:r>
            <w:r>
              <w:rPr>
                <w:rFonts w:eastAsia="Times New Roman" w:cs="Arial"/>
                <w:sz w:val="20"/>
                <w:szCs w:val="20"/>
              </w:rPr>
              <w:t>4</w:t>
            </w:r>
            <w:r w:rsidRPr="0095026C">
              <w:rPr>
                <w:rFonts w:eastAsia="Times New Roman" w:cs="Arial"/>
                <w:sz w:val="20"/>
                <w:szCs w:val="20"/>
              </w:rPr>
              <w:t xml:space="preserve"> hours of arrival to hospital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6BD5A" w14:textId="77777777" w:rsidR="00EC4216" w:rsidRPr="0095026C" w:rsidRDefault="00EC4216" w:rsidP="00A214F8">
            <w:pPr>
              <w:spacing w:before="0" w:after="0" w:line="240" w:lineRule="auto"/>
              <w:rPr>
                <w:rFonts w:eastAsia="Times New Roman" w:cs="Arial"/>
                <w:sz w:val="20"/>
                <w:szCs w:val="20"/>
              </w:rPr>
            </w:pPr>
            <w:r w:rsidRPr="0095026C">
              <w:rPr>
                <w:rFonts w:eastAsia="Times New Roman" w:cs="Arial"/>
                <w:sz w:val="20"/>
                <w:szCs w:val="20"/>
              </w:rPr>
              <w:t>2020-21</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0407" w14:textId="77777777" w:rsidR="00EC4216" w:rsidRPr="0025215D" w:rsidRDefault="00EC4216" w:rsidP="00A214F8">
            <w:pPr>
              <w:spacing w:before="0" w:after="0" w:line="240" w:lineRule="auto"/>
              <w:rPr>
                <w:rFonts w:eastAsia="Times New Roman" w:cs="Arial"/>
                <w:sz w:val="20"/>
                <w:szCs w:val="20"/>
              </w:rPr>
            </w:pPr>
            <w:r w:rsidRPr="0025215D">
              <w:rPr>
                <w:rFonts w:eastAsia="Times New Roman" w:cs="Arial"/>
                <w:sz w:val="20"/>
                <w:szCs w:val="20"/>
              </w:rPr>
              <w:t>62.4%</w:t>
            </w:r>
          </w:p>
          <w:p w14:paraId="7FA674AE" w14:textId="77777777" w:rsidR="00EC4216" w:rsidRPr="0025215D" w:rsidRDefault="00EC4216" w:rsidP="00A214F8">
            <w:pPr>
              <w:spacing w:before="0" w:after="0" w:line="240" w:lineRule="auto"/>
              <w:rPr>
                <w:rFonts w:eastAsia="Times New Roman" w:cs="Arial"/>
                <w:sz w:val="20"/>
                <w:szCs w:val="20"/>
              </w:rPr>
            </w:pPr>
            <w:r w:rsidRPr="0025215D">
              <w:rPr>
                <w:rFonts w:eastAsia="Times New Roman" w:cs="Arial"/>
                <w:sz w:val="20"/>
                <w:szCs w:val="20"/>
              </w:rPr>
              <w:t>(2020-21)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D725E2" w14:textId="77777777" w:rsidR="00EC4216" w:rsidRPr="0025215D" w:rsidRDefault="00EC4216" w:rsidP="00A214F8">
            <w:pPr>
              <w:spacing w:before="0" w:after="0" w:line="240" w:lineRule="auto"/>
              <w:rPr>
                <w:rFonts w:eastAsia="Times New Roman" w:cs="Arial"/>
                <w:sz w:val="20"/>
                <w:szCs w:val="20"/>
              </w:rPr>
            </w:pPr>
            <w:r w:rsidRPr="0025215D">
              <w:rPr>
                <w:rFonts w:eastAsia="Times New Roman" w:cs="Arial"/>
                <w:sz w:val="20"/>
                <w:szCs w:val="20"/>
              </w:rPr>
              <w:t>58.5%</w:t>
            </w:r>
          </w:p>
          <w:p w14:paraId="6BD50D84" w14:textId="77777777" w:rsidR="00EC4216" w:rsidRPr="00FD6531" w:rsidRDefault="00EC4216" w:rsidP="00A214F8">
            <w:pPr>
              <w:spacing w:before="0" w:after="0" w:line="240" w:lineRule="auto"/>
              <w:rPr>
                <w:rFonts w:eastAsia="Times New Roman" w:cs="Arial"/>
                <w:color w:val="FF0000"/>
                <w:sz w:val="20"/>
                <w:szCs w:val="20"/>
              </w:rPr>
            </w:pPr>
            <w:r w:rsidRPr="0025215D">
              <w:rPr>
                <w:rFonts w:eastAsia="Times New Roman" w:cs="Arial"/>
                <w:sz w:val="20"/>
                <w:szCs w:val="20"/>
              </w:rPr>
              <w:t>(2019-20)</w:t>
            </w:r>
          </w:p>
        </w:tc>
      </w:tr>
      <w:tr w:rsidR="00EC4216" w:rsidRPr="00FD6531" w14:paraId="3CDF00B9" w14:textId="77777777" w:rsidTr="007B3AAC">
        <w:trPr>
          <w:trHeight w:val="64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778F3B1C" w14:textId="77777777" w:rsidR="00EC4216" w:rsidRPr="0095026C" w:rsidRDefault="00EC4216" w:rsidP="00A214F8">
            <w:pPr>
              <w:spacing w:before="0" w:after="0" w:line="240" w:lineRule="auto"/>
              <w:rPr>
                <w:rFonts w:eastAsia="Times New Roman" w:cs="Arial"/>
                <w:sz w:val="20"/>
                <w:szCs w:val="20"/>
              </w:rPr>
            </w:pPr>
            <w:r w:rsidRPr="0025215D">
              <w:rPr>
                <w:rFonts w:eastAsia="Times New Roman" w:cs="Arial"/>
                <w:sz w:val="20"/>
                <w:szCs w:val="20"/>
              </w:rPr>
              <w:t>Percentage of eligible patients (according to the RCP guideline minimum threshold) given thrombolysis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BA618" w14:textId="77777777" w:rsidR="00EC4216" w:rsidRPr="0095026C" w:rsidRDefault="00EC4216" w:rsidP="00A214F8">
            <w:pPr>
              <w:spacing w:before="0" w:after="0" w:line="240" w:lineRule="auto"/>
              <w:rPr>
                <w:rFonts w:eastAsia="Times New Roman" w:cs="Arial"/>
                <w:sz w:val="20"/>
                <w:szCs w:val="20"/>
              </w:rPr>
            </w:pPr>
            <w:r w:rsidRPr="0095026C">
              <w:rPr>
                <w:rFonts w:eastAsia="Times New Roman" w:cs="Arial"/>
                <w:sz w:val="20"/>
                <w:szCs w:val="20"/>
              </w:rPr>
              <w:t>2020-21</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FC98D" w14:textId="77777777" w:rsidR="00EC4216" w:rsidRPr="0025215D" w:rsidRDefault="00EC4216" w:rsidP="00A214F8">
            <w:pPr>
              <w:spacing w:before="0" w:after="0" w:line="240" w:lineRule="auto"/>
              <w:rPr>
                <w:rFonts w:eastAsia="Times New Roman" w:cs="Arial"/>
                <w:sz w:val="20"/>
                <w:szCs w:val="20"/>
              </w:rPr>
            </w:pPr>
            <w:r>
              <w:rPr>
                <w:rFonts w:eastAsia="Times New Roman" w:cs="Arial"/>
                <w:sz w:val="20"/>
                <w:szCs w:val="20"/>
              </w:rPr>
              <w:t>62.5</w:t>
            </w:r>
            <w:r w:rsidRPr="0025215D">
              <w:rPr>
                <w:rFonts w:eastAsia="Times New Roman" w:cs="Arial"/>
                <w:sz w:val="20"/>
                <w:szCs w:val="20"/>
              </w:rPr>
              <w:t>%</w:t>
            </w:r>
          </w:p>
          <w:p w14:paraId="3E63F01A" w14:textId="77777777" w:rsidR="00EC4216" w:rsidRPr="0025215D" w:rsidRDefault="00EC4216" w:rsidP="00A214F8">
            <w:pPr>
              <w:spacing w:before="0" w:after="0" w:line="240" w:lineRule="auto"/>
              <w:rPr>
                <w:rFonts w:eastAsia="Times New Roman" w:cs="Arial"/>
                <w:sz w:val="20"/>
                <w:szCs w:val="20"/>
              </w:rPr>
            </w:pPr>
            <w:r w:rsidRPr="0025215D">
              <w:rPr>
                <w:rFonts w:eastAsia="Times New Roman" w:cs="Arial"/>
                <w:sz w:val="20"/>
                <w:szCs w:val="20"/>
              </w:rPr>
              <w:t>(2020-21)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EF309" w14:textId="77777777" w:rsidR="00EC4216" w:rsidRPr="0025215D" w:rsidRDefault="00EC4216" w:rsidP="00A214F8">
            <w:pPr>
              <w:spacing w:before="0" w:after="0" w:line="240" w:lineRule="auto"/>
              <w:rPr>
                <w:rFonts w:eastAsia="Times New Roman" w:cs="Arial"/>
                <w:sz w:val="20"/>
                <w:szCs w:val="20"/>
              </w:rPr>
            </w:pPr>
            <w:r w:rsidRPr="0025215D">
              <w:rPr>
                <w:rFonts w:eastAsia="Times New Roman" w:cs="Arial"/>
                <w:sz w:val="20"/>
                <w:szCs w:val="20"/>
              </w:rPr>
              <w:t>89.5%</w:t>
            </w:r>
          </w:p>
          <w:p w14:paraId="41BE4EBA" w14:textId="77777777" w:rsidR="00EC4216" w:rsidRPr="0095026C" w:rsidRDefault="00EC4216" w:rsidP="00A214F8">
            <w:pPr>
              <w:spacing w:before="0" w:after="0" w:line="240" w:lineRule="auto"/>
              <w:rPr>
                <w:rFonts w:eastAsia="Times New Roman" w:cs="Arial"/>
                <w:sz w:val="20"/>
                <w:szCs w:val="20"/>
              </w:rPr>
            </w:pPr>
            <w:r w:rsidRPr="0025215D">
              <w:rPr>
                <w:rFonts w:eastAsia="Times New Roman" w:cs="Arial"/>
                <w:sz w:val="20"/>
                <w:szCs w:val="20"/>
              </w:rPr>
              <w:t>(2019-20)</w:t>
            </w:r>
          </w:p>
        </w:tc>
      </w:tr>
      <w:tr w:rsidR="00EC4216" w:rsidRPr="00FD6531" w14:paraId="3B8332D5" w14:textId="77777777" w:rsidTr="007B3AAC">
        <w:trPr>
          <w:trHeight w:val="645"/>
        </w:trPr>
        <w:tc>
          <w:tcPr>
            <w:tcW w:w="5245" w:type="dxa"/>
            <w:tcBorders>
              <w:top w:val="single" w:sz="4" w:space="0" w:color="auto"/>
              <w:left w:val="single" w:sz="4" w:space="0" w:color="auto"/>
              <w:bottom w:val="single" w:sz="4" w:space="0" w:color="auto"/>
              <w:right w:val="single" w:sz="4" w:space="0" w:color="auto"/>
            </w:tcBorders>
            <w:shd w:val="clear" w:color="auto" w:fill="auto"/>
          </w:tcPr>
          <w:p w14:paraId="522B9A2A" w14:textId="77777777" w:rsidR="00EC4216" w:rsidRPr="0025215D" w:rsidRDefault="00EC4216" w:rsidP="00A214F8">
            <w:pPr>
              <w:spacing w:before="0" w:after="0" w:line="240" w:lineRule="auto"/>
              <w:rPr>
                <w:rFonts w:eastAsia="Times New Roman" w:cs="Arial"/>
                <w:sz w:val="20"/>
                <w:szCs w:val="20"/>
              </w:rPr>
            </w:pPr>
            <w:r w:rsidRPr="009F4464">
              <w:rPr>
                <w:rFonts w:eastAsia="Times New Roman" w:cs="Arial"/>
                <w:sz w:val="20"/>
                <w:szCs w:val="20"/>
              </w:rPr>
              <w:t>Percentage of patients assessed by a stroke specialist consultant physician within 24</w:t>
            </w:r>
            <w:r>
              <w:rPr>
                <w:rFonts w:eastAsia="Times New Roman" w:cs="Arial"/>
                <w:sz w:val="20"/>
                <w:szCs w:val="20"/>
              </w:rPr>
              <w:t xml:space="preserve"> </w:t>
            </w:r>
            <w:r w:rsidRPr="009F4464">
              <w:rPr>
                <w:rFonts w:eastAsia="Times New Roman" w:cs="Arial"/>
                <w:sz w:val="20"/>
                <w:szCs w:val="20"/>
              </w:rPr>
              <w:t>h</w:t>
            </w:r>
            <w:r>
              <w:rPr>
                <w:rFonts w:eastAsia="Times New Roman" w:cs="Arial"/>
                <w:sz w:val="20"/>
                <w:szCs w:val="20"/>
              </w:rPr>
              <w:t>ours</w:t>
            </w:r>
            <w:r w:rsidRPr="009F4464">
              <w:rPr>
                <w:rFonts w:eastAsia="Times New Roman" w:cs="Arial"/>
                <w:sz w:val="20"/>
                <w:szCs w:val="20"/>
              </w:rPr>
              <w:t xml:space="preserve"> of </w:t>
            </w:r>
            <w:r w:rsidRPr="0095026C">
              <w:rPr>
                <w:rFonts w:eastAsia="Times New Roman" w:cs="Arial"/>
                <w:sz w:val="20"/>
                <w:szCs w:val="20"/>
              </w:rPr>
              <w:t xml:space="preserve">arrival </w:t>
            </w:r>
            <w:r>
              <w:rPr>
                <w:rFonts w:eastAsia="Times New Roman" w:cs="Arial"/>
                <w:sz w:val="20"/>
                <w:szCs w:val="20"/>
              </w:rPr>
              <w:t>at</w:t>
            </w:r>
            <w:r w:rsidRPr="0095026C">
              <w:rPr>
                <w:rFonts w:eastAsia="Times New Roman" w:cs="Arial"/>
                <w:sz w:val="20"/>
                <w:szCs w:val="20"/>
              </w:rPr>
              <w:t xml:space="preserve"> hospital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C618BE" w14:textId="77777777" w:rsidR="00EC4216" w:rsidRPr="0095026C" w:rsidRDefault="00EC4216" w:rsidP="00A214F8">
            <w:pPr>
              <w:spacing w:before="0" w:after="0" w:line="240" w:lineRule="auto"/>
              <w:rPr>
                <w:rFonts w:eastAsia="Times New Roman" w:cs="Arial"/>
                <w:sz w:val="20"/>
                <w:szCs w:val="20"/>
              </w:rPr>
            </w:pPr>
            <w:r>
              <w:rPr>
                <w:rFonts w:eastAsia="Times New Roman" w:cs="Arial"/>
                <w:sz w:val="20"/>
                <w:szCs w:val="20"/>
              </w:rPr>
              <w:t>2020-21</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3B028E8" w14:textId="77777777" w:rsidR="00EC4216" w:rsidRDefault="00EC4216" w:rsidP="00A214F8">
            <w:pPr>
              <w:spacing w:before="0" w:after="0" w:line="240" w:lineRule="auto"/>
              <w:rPr>
                <w:rFonts w:eastAsia="Times New Roman" w:cs="Arial"/>
                <w:sz w:val="20"/>
                <w:szCs w:val="20"/>
              </w:rPr>
            </w:pPr>
            <w:r>
              <w:rPr>
                <w:rFonts w:eastAsia="Times New Roman" w:cs="Arial"/>
                <w:sz w:val="20"/>
                <w:szCs w:val="20"/>
              </w:rPr>
              <w:t>92.3%</w:t>
            </w:r>
          </w:p>
          <w:p w14:paraId="781E3E18" w14:textId="77777777" w:rsidR="00EC4216" w:rsidRDefault="00EC4216" w:rsidP="00A214F8">
            <w:pPr>
              <w:spacing w:before="0" w:after="0" w:line="240" w:lineRule="auto"/>
              <w:rPr>
                <w:rFonts w:eastAsia="Times New Roman" w:cs="Arial"/>
                <w:sz w:val="20"/>
                <w:szCs w:val="20"/>
              </w:rPr>
            </w:pPr>
            <w:r>
              <w:rPr>
                <w:rFonts w:eastAsia="Times New Roman" w:cs="Arial"/>
                <w:sz w:val="20"/>
                <w:szCs w:val="20"/>
              </w:rPr>
              <w:t>(2020-21)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B411B8D" w14:textId="77777777" w:rsidR="00EC4216" w:rsidRDefault="00EC4216" w:rsidP="00A214F8">
            <w:pPr>
              <w:spacing w:before="0" w:after="0" w:line="240" w:lineRule="auto"/>
              <w:rPr>
                <w:rFonts w:eastAsia="Times New Roman" w:cs="Arial"/>
                <w:sz w:val="20"/>
                <w:szCs w:val="20"/>
              </w:rPr>
            </w:pPr>
            <w:r>
              <w:rPr>
                <w:rFonts w:eastAsia="Times New Roman" w:cs="Arial"/>
                <w:sz w:val="20"/>
                <w:szCs w:val="20"/>
              </w:rPr>
              <w:t>86.5%</w:t>
            </w:r>
          </w:p>
          <w:p w14:paraId="4BCABB60" w14:textId="77777777" w:rsidR="00EC4216" w:rsidRPr="0025215D" w:rsidRDefault="00EC4216" w:rsidP="00A214F8">
            <w:pPr>
              <w:spacing w:before="0" w:after="0" w:line="240" w:lineRule="auto"/>
              <w:rPr>
                <w:rFonts w:eastAsia="Times New Roman" w:cs="Arial"/>
                <w:sz w:val="20"/>
                <w:szCs w:val="20"/>
              </w:rPr>
            </w:pPr>
            <w:r>
              <w:rPr>
                <w:rFonts w:eastAsia="Times New Roman" w:cs="Arial"/>
                <w:sz w:val="20"/>
                <w:szCs w:val="20"/>
              </w:rPr>
              <w:t>(2019-20)</w:t>
            </w:r>
          </w:p>
        </w:tc>
      </w:tr>
      <w:tr w:rsidR="00EC4216" w:rsidRPr="00FD6531" w14:paraId="5CCA5B32" w14:textId="77777777" w:rsidTr="007B3AAC">
        <w:trPr>
          <w:trHeight w:val="57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3341F0DE" w14:textId="77777777" w:rsidR="00EC4216" w:rsidRPr="0059297E" w:rsidRDefault="00EC4216" w:rsidP="00A214F8">
            <w:pPr>
              <w:spacing w:before="0" w:after="0" w:line="240" w:lineRule="auto"/>
              <w:rPr>
                <w:rFonts w:eastAsia="Times New Roman" w:cs="Arial"/>
                <w:sz w:val="20"/>
                <w:szCs w:val="20"/>
              </w:rPr>
            </w:pPr>
            <w:r w:rsidRPr="009F4464">
              <w:rPr>
                <w:rFonts w:eastAsia="Times New Roman" w:cs="Arial"/>
                <w:sz w:val="20"/>
                <w:szCs w:val="20"/>
              </w:rPr>
              <w:t>Percentage of applicable patients receiving a joint health and social care plan on discharge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3C2462D" w14:textId="77777777" w:rsidR="00EC4216" w:rsidRPr="0059297E" w:rsidRDefault="00EC4216" w:rsidP="00A214F8">
            <w:pPr>
              <w:spacing w:before="0" w:after="0" w:line="240" w:lineRule="auto"/>
              <w:rPr>
                <w:rFonts w:eastAsia="Times New Roman" w:cs="Arial"/>
                <w:sz w:val="20"/>
                <w:szCs w:val="20"/>
              </w:rPr>
            </w:pPr>
          </w:p>
          <w:p w14:paraId="4F0AD170" w14:textId="77777777" w:rsidR="00EC4216" w:rsidRPr="0059297E" w:rsidRDefault="00EC4216" w:rsidP="00A214F8">
            <w:pPr>
              <w:spacing w:before="0" w:after="0" w:line="240" w:lineRule="auto"/>
              <w:rPr>
                <w:rFonts w:eastAsia="Times New Roman" w:cs="Arial"/>
                <w:sz w:val="20"/>
                <w:szCs w:val="20"/>
              </w:rPr>
            </w:pPr>
            <w:r w:rsidRPr="0059297E">
              <w:rPr>
                <w:rFonts w:eastAsia="Times New Roman" w:cs="Arial"/>
                <w:sz w:val="20"/>
                <w:szCs w:val="20"/>
              </w:rPr>
              <w:t>20</w:t>
            </w:r>
            <w:r>
              <w:rPr>
                <w:rFonts w:eastAsia="Times New Roman" w:cs="Arial"/>
                <w:sz w:val="20"/>
                <w:szCs w:val="20"/>
              </w:rPr>
              <w:t>20</w:t>
            </w:r>
            <w:r w:rsidRPr="0059297E">
              <w:rPr>
                <w:rFonts w:eastAsia="Times New Roman" w:cs="Arial"/>
                <w:sz w:val="20"/>
                <w:szCs w:val="20"/>
              </w:rPr>
              <w:t>-</w:t>
            </w:r>
            <w:r>
              <w:rPr>
                <w:rFonts w:eastAsia="Times New Roman" w:cs="Arial"/>
                <w:sz w:val="20"/>
                <w:szCs w:val="20"/>
              </w:rPr>
              <w:t>21</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6D118C27" w14:textId="77777777" w:rsidR="00EC4216" w:rsidRPr="0025215D" w:rsidRDefault="00EC4216" w:rsidP="00A214F8">
            <w:pPr>
              <w:spacing w:before="0" w:after="0" w:line="240" w:lineRule="auto"/>
              <w:rPr>
                <w:rFonts w:eastAsia="Times New Roman" w:cs="Arial"/>
                <w:sz w:val="20"/>
                <w:szCs w:val="20"/>
              </w:rPr>
            </w:pPr>
            <w:r w:rsidRPr="0025215D">
              <w:rPr>
                <w:rFonts w:eastAsia="Times New Roman" w:cs="Arial"/>
                <w:sz w:val="20"/>
                <w:szCs w:val="20"/>
              </w:rPr>
              <w:t>100%</w:t>
            </w:r>
          </w:p>
          <w:p w14:paraId="553AA589" w14:textId="77777777" w:rsidR="00EC4216" w:rsidRPr="0025215D" w:rsidRDefault="00EC4216" w:rsidP="00A214F8">
            <w:pPr>
              <w:spacing w:before="0" w:after="0" w:line="240" w:lineRule="auto"/>
              <w:rPr>
                <w:rFonts w:eastAsia="Times New Roman" w:cs="Arial"/>
                <w:sz w:val="20"/>
                <w:szCs w:val="20"/>
              </w:rPr>
            </w:pPr>
            <w:r w:rsidRPr="0025215D">
              <w:rPr>
                <w:rFonts w:eastAsia="Times New Roman" w:cs="Arial"/>
                <w:sz w:val="20"/>
                <w:szCs w:val="20"/>
              </w:rPr>
              <w:t>(2020-21)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5ED4BDD" w14:textId="77777777" w:rsidR="00EC4216" w:rsidRPr="009F4464" w:rsidRDefault="00EC4216" w:rsidP="00A214F8">
            <w:pPr>
              <w:spacing w:before="0" w:after="0" w:line="240" w:lineRule="auto"/>
              <w:rPr>
                <w:rFonts w:eastAsia="Times New Roman" w:cs="Arial"/>
                <w:sz w:val="20"/>
                <w:szCs w:val="20"/>
              </w:rPr>
            </w:pPr>
            <w:r w:rsidRPr="009F4464">
              <w:rPr>
                <w:rFonts w:eastAsia="Times New Roman" w:cs="Arial"/>
                <w:sz w:val="20"/>
                <w:szCs w:val="20"/>
              </w:rPr>
              <w:t>99.2%</w:t>
            </w:r>
          </w:p>
          <w:p w14:paraId="3B8447FC" w14:textId="77777777" w:rsidR="00EC4216" w:rsidRPr="00FD6531" w:rsidRDefault="00EC4216" w:rsidP="00A214F8">
            <w:pPr>
              <w:spacing w:before="0" w:after="0" w:line="240" w:lineRule="auto"/>
              <w:rPr>
                <w:rFonts w:eastAsia="Times New Roman" w:cs="Arial"/>
                <w:color w:val="FF0000"/>
                <w:sz w:val="20"/>
                <w:szCs w:val="20"/>
              </w:rPr>
            </w:pPr>
            <w:r>
              <w:rPr>
                <w:rFonts w:eastAsia="Times New Roman" w:cs="Arial"/>
                <w:sz w:val="20"/>
                <w:szCs w:val="20"/>
              </w:rPr>
              <w:t>(</w:t>
            </w:r>
            <w:r w:rsidRPr="009F4464">
              <w:rPr>
                <w:rFonts w:eastAsia="Times New Roman" w:cs="Arial"/>
                <w:sz w:val="20"/>
                <w:szCs w:val="20"/>
              </w:rPr>
              <w:t>2019-20)</w:t>
            </w:r>
          </w:p>
        </w:tc>
      </w:tr>
    </w:tbl>
    <w:p w14:paraId="5A198666" w14:textId="47EA122D" w:rsidR="00EC4216" w:rsidRPr="009D7744" w:rsidRDefault="00EC4216" w:rsidP="00EC4216">
      <w:pPr>
        <w:spacing w:after="0" w:line="240" w:lineRule="auto"/>
        <w:rPr>
          <w:rFonts w:cs="Arial"/>
          <w:b/>
          <w:i/>
          <w:iCs/>
          <w:sz w:val="16"/>
          <w:szCs w:val="16"/>
        </w:rPr>
      </w:pPr>
      <w:bookmarkStart w:id="58" w:name="_Hlk98494195"/>
      <w:r w:rsidRPr="009D7744">
        <w:rPr>
          <w:rFonts w:cs="Arial"/>
          <w:bCs/>
          <w:i/>
          <w:iCs/>
          <w:sz w:val="16"/>
          <w:szCs w:val="16"/>
        </w:rPr>
        <w:t>* No formal targets are set, however the CCG aims for continual improvement on the previous year. Sentinel Stroke National Audit Programme  (</w:t>
      </w:r>
      <w:hyperlink r:id="rId39" w:history="1">
        <w:r w:rsidRPr="009D7744">
          <w:rPr>
            <w:rStyle w:val="Hyperlink"/>
            <w:i/>
            <w:iCs/>
            <w:sz w:val="16"/>
            <w:szCs w:val="16"/>
          </w:rPr>
          <w:t>SSNAP - CCG/LHB/LCG (strokeaudit.org)</w:t>
        </w:r>
      </w:hyperlink>
      <w:r w:rsidRPr="009D7744">
        <w:rPr>
          <w:i/>
          <w:iCs/>
          <w:sz w:val="16"/>
          <w:szCs w:val="16"/>
        </w:rPr>
        <w:t>)</w:t>
      </w:r>
      <w:r w:rsidRPr="009D7744">
        <w:rPr>
          <w:rFonts w:cs="Arial"/>
          <w:bCs/>
          <w:i/>
          <w:iCs/>
          <w:sz w:val="16"/>
          <w:szCs w:val="16"/>
        </w:rPr>
        <w:t xml:space="preserve">.  </w:t>
      </w:r>
    </w:p>
    <w:bookmarkEnd w:id="58"/>
    <w:p w14:paraId="2045CCDA" w14:textId="77777777" w:rsidR="00EC4216" w:rsidRPr="009D7744" w:rsidRDefault="00EC4216" w:rsidP="009D7744">
      <w:pPr>
        <w:spacing w:after="0" w:line="240" w:lineRule="auto"/>
        <w:rPr>
          <w:rFonts w:cs="Arial"/>
          <w:b/>
          <w:sz w:val="18"/>
          <w:szCs w:val="18"/>
        </w:rPr>
      </w:pPr>
      <w:r w:rsidRPr="009D7744">
        <w:rPr>
          <w:rFonts w:cs="Arial"/>
          <w:b/>
          <w:sz w:val="18"/>
          <w:szCs w:val="18"/>
        </w:rPr>
        <w:t>Commentary:</w:t>
      </w:r>
    </w:p>
    <w:p w14:paraId="30D079D9" w14:textId="77777777" w:rsidR="00EC4216" w:rsidRPr="009D7744" w:rsidRDefault="00EC4216" w:rsidP="009D7744">
      <w:pPr>
        <w:spacing w:after="0" w:line="240" w:lineRule="auto"/>
        <w:rPr>
          <w:rFonts w:cs="Arial"/>
          <w:b/>
          <w:sz w:val="18"/>
          <w:szCs w:val="18"/>
        </w:rPr>
      </w:pPr>
      <w:bookmarkStart w:id="59" w:name="_Hlk98318019"/>
      <w:r w:rsidRPr="009D7744">
        <w:rPr>
          <w:rFonts w:cs="Arial"/>
          <w:b/>
          <w:sz w:val="18"/>
          <w:szCs w:val="18"/>
        </w:rPr>
        <w:t>The 2020-21 performance for Stroke is the latest published position.</w:t>
      </w:r>
    </w:p>
    <w:p w14:paraId="48DF4B94" w14:textId="77777777" w:rsidR="00EC4216" w:rsidRPr="009D7744" w:rsidRDefault="00EC4216" w:rsidP="009D7744">
      <w:pPr>
        <w:spacing w:after="0" w:line="240" w:lineRule="auto"/>
        <w:rPr>
          <w:rFonts w:cs="Arial"/>
          <w:b/>
          <w:sz w:val="18"/>
          <w:szCs w:val="18"/>
        </w:rPr>
      </w:pPr>
      <w:r w:rsidRPr="009D7744">
        <w:rPr>
          <w:rFonts w:cs="Arial"/>
          <w:b/>
          <w:sz w:val="18"/>
          <w:szCs w:val="18"/>
        </w:rPr>
        <w:t>The CCG monitors emergency hospital admissions monthly to ensure pathways commissioned are delivering key outcomes.</w:t>
      </w:r>
    </w:p>
    <w:tbl>
      <w:tblPr>
        <w:tblpPr w:leftFromText="180" w:rightFromText="180" w:vertAnchor="text" w:horzAnchor="margin" w:tblpY="27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134"/>
        <w:gridCol w:w="1872"/>
        <w:gridCol w:w="1843"/>
      </w:tblGrid>
      <w:tr w:rsidR="00EC4216" w:rsidRPr="00FD6531" w14:paraId="55528158" w14:textId="77777777" w:rsidTr="007B3AAC">
        <w:trPr>
          <w:trHeight w:val="525"/>
        </w:trPr>
        <w:tc>
          <w:tcPr>
            <w:tcW w:w="5211" w:type="dxa"/>
            <w:tcBorders>
              <w:top w:val="single" w:sz="4" w:space="0" w:color="auto"/>
              <w:left w:val="single" w:sz="4" w:space="0" w:color="auto"/>
              <w:bottom w:val="single" w:sz="4" w:space="0" w:color="auto"/>
              <w:right w:val="single" w:sz="4" w:space="0" w:color="auto"/>
            </w:tcBorders>
            <w:shd w:val="clear" w:color="auto" w:fill="95B3D7"/>
            <w:vAlign w:val="center"/>
            <w:hideMark/>
          </w:tcPr>
          <w:bookmarkEnd w:id="59"/>
          <w:p w14:paraId="39634D20" w14:textId="77777777" w:rsidR="00EC4216" w:rsidRPr="00D00DE6" w:rsidRDefault="00EC4216" w:rsidP="00A214F8">
            <w:pPr>
              <w:spacing w:before="0" w:after="0" w:line="240" w:lineRule="auto"/>
              <w:rPr>
                <w:rFonts w:eastAsia="Times New Roman" w:cs="Arial"/>
                <w:b/>
                <w:sz w:val="20"/>
                <w:szCs w:val="20"/>
              </w:rPr>
            </w:pPr>
            <w:r w:rsidRPr="00D00DE6">
              <w:rPr>
                <w:rFonts w:eastAsia="Times New Roman" w:cs="Arial"/>
                <w:b/>
                <w:sz w:val="20"/>
                <w:szCs w:val="20"/>
              </w:rPr>
              <w:t xml:space="preserve">Maternity </w:t>
            </w:r>
          </w:p>
        </w:tc>
        <w:tc>
          <w:tcPr>
            <w:tcW w:w="1134"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31928EBB" w14:textId="77777777" w:rsidR="00EC4216" w:rsidRPr="00D00DE6" w:rsidRDefault="00EC4216" w:rsidP="00A214F8">
            <w:pPr>
              <w:spacing w:before="0" w:after="0" w:line="240" w:lineRule="auto"/>
              <w:rPr>
                <w:rFonts w:cs="Arial"/>
                <w:b/>
                <w:sz w:val="20"/>
                <w:szCs w:val="20"/>
              </w:rPr>
            </w:pPr>
          </w:p>
        </w:tc>
        <w:tc>
          <w:tcPr>
            <w:tcW w:w="1872"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5E7A680F" w14:textId="77777777" w:rsidR="00EC4216" w:rsidRPr="00D00DE6" w:rsidRDefault="00EC4216" w:rsidP="00A214F8">
            <w:pPr>
              <w:spacing w:before="0" w:after="0" w:line="240" w:lineRule="auto"/>
              <w:rPr>
                <w:rFonts w:eastAsia="Times New Roman" w:cs="Arial"/>
                <w:b/>
                <w:sz w:val="20"/>
                <w:szCs w:val="20"/>
              </w:rPr>
            </w:pPr>
            <w:r w:rsidRPr="00D00DE6">
              <w:rPr>
                <w:rFonts w:eastAsia="Times New Roman" w:cs="Arial"/>
                <w:b/>
                <w:sz w:val="20"/>
                <w:szCs w:val="20"/>
              </w:rPr>
              <w:t>Actual (YTD)</w:t>
            </w:r>
          </w:p>
        </w:tc>
        <w:tc>
          <w:tcPr>
            <w:tcW w:w="1843"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18F6F645" w14:textId="77777777" w:rsidR="00EC4216" w:rsidRPr="00D00DE6" w:rsidRDefault="00EC4216" w:rsidP="00A214F8">
            <w:pPr>
              <w:spacing w:before="0" w:after="0" w:line="240" w:lineRule="auto"/>
              <w:rPr>
                <w:rFonts w:eastAsia="Times New Roman" w:cs="Arial"/>
                <w:b/>
                <w:sz w:val="20"/>
                <w:szCs w:val="20"/>
              </w:rPr>
            </w:pPr>
            <w:r w:rsidRPr="00D00DE6">
              <w:rPr>
                <w:rFonts w:eastAsia="Times New Roman" w:cs="Arial"/>
                <w:b/>
                <w:sz w:val="20"/>
                <w:szCs w:val="20"/>
              </w:rPr>
              <w:t>Target</w:t>
            </w:r>
          </w:p>
        </w:tc>
      </w:tr>
      <w:tr w:rsidR="00EC4216" w:rsidRPr="00FD6531" w14:paraId="55223397" w14:textId="77777777" w:rsidTr="007B3AAC">
        <w:trPr>
          <w:trHeight w:val="555"/>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38E35C" w14:textId="77777777" w:rsidR="00EC4216" w:rsidRPr="00F82B59" w:rsidRDefault="00EC4216" w:rsidP="00A214F8">
            <w:pPr>
              <w:spacing w:before="0" w:after="0" w:line="240" w:lineRule="auto"/>
              <w:rPr>
                <w:rFonts w:eastAsia="Times New Roman" w:cs="Arial"/>
                <w:sz w:val="20"/>
                <w:szCs w:val="20"/>
                <w:highlight w:val="yellow"/>
              </w:rPr>
            </w:pPr>
            <w:r w:rsidRPr="00F82B59">
              <w:rPr>
                <w:rFonts w:eastAsia="Times New Roman" w:cs="Arial"/>
                <w:sz w:val="20"/>
                <w:szCs w:val="20"/>
              </w:rPr>
              <w:t xml:space="preserve">Number of maternities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6772AD1" w14:textId="77777777" w:rsidR="00EC4216" w:rsidRPr="00F82B59" w:rsidRDefault="00EC4216" w:rsidP="00A214F8">
            <w:pPr>
              <w:spacing w:after="0" w:line="240" w:lineRule="auto"/>
              <w:rPr>
                <w:rFonts w:eastAsia="Times New Roman" w:cs="Arial"/>
                <w:sz w:val="20"/>
                <w:szCs w:val="20"/>
                <w:highlight w:val="yellow"/>
              </w:rPr>
            </w:pPr>
            <w:r w:rsidRPr="00F82B59">
              <w:rPr>
                <w:rFonts w:eastAsia="Times New Roman" w:cs="Arial"/>
                <w:sz w:val="20"/>
                <w:szCs w:val="20"/>
              </w:rPr>
              <w:t>2021-22</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2916E" w14:textId="77777777" w:rsidR="00EC4216" w:rsidRPr="00F82B59" w:rsidRDefault="00EC4216" w:rsidP="00A214F8">
            <w:pPr>
              <w:spacing w:before="0" w:after="0" w:line="240" w:lineRule="auto"/>
              <w:rPr>
                <w:rFonts w:eastAsia="Times New Roman" w:cs="Arial"/>
                <w:sz w:val="20"/>
                <w:szCs w:val="20"/>
                <w:highlight w:val="yellow"/>
              </w:rPr>
            </w:pPr>
            <w:r w:rsidRPr="00F82B59">
              <w:rPr>
                <w:rFonts w:eastAsia="Times New Roman" w:cs="Arial"/>
                <w:sz w:val="20"/>
                <w:szCs w:val="20"/>
              </w:rPr>
              <w:t>2,449</w:t>
            </w:r>
            <w:r w:rsidRPr="00F82B59">
              <w:rPr>
                <w:rFonts w:eastAsia="Times New Roman" w:cs="Arial"/>
                <w:sz w:val="20"/>
                <w:szCs w:val="20"/>
              </w:rPr>
              <w:br/>
              <w:t>(Apr-Dec 2021)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820C64" w14:textId="77777777" w:rsidR="00EC4216" w:rsidRPr="00F82B59" w:rsidRDefault="00EC4216" w:rsidP="00A214F8">
            <w:pPr>
              <w:spacing w:before="0" w:after="0" w:line="240" w:lineRule="auto"/>
              <w:rPr>
                <w:rFonts w:cs="Arial"/>
                <w:sz w:val="20"/>
                <w:szCs w:val="20"/>
              </w:rPr>
            </w:pPr>
            <w:r w:rsidRPr="00F82B59">
              <w:rPr>
                <w:rFonts w:cs="Arial"/>
                <w:sz w:val="20"/>
                <w:szCs w:val="20"/>
              </w:rPr>
              <w:t xml:space="preserve">No </w:t>
            </w:r>
            <w:r w:rsidRPr="00F82B59">
              <w:rPr>
                <w:rFonts w:eastAsia="Times New Roman" w:cs="Arial"/>
                <w:sz w:val="20"/>
                <w:szCs w:val="20"/>
              </w:rPr>
              <w:t>Target</w:t>
            </w:r>
          </w:p>
        </w:tc>
      </w:tr>
      <w:tr w:rsidR="00EC4216" w:rsidRPr="00FD6531" w14:paraId="2EACF209" w14:textId="77777777" w:rsidTr="007B3AAC">
        <w:trPr>
          <w:trHeight w:val="465"/>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220AD7" w14:textId="77777777" w:rsidR="00EC4216" w:rsidRPr="00F82B59" w:rsidRDefault="00EC4216" w:rsidP="00A214F8">
            <w:pPr>
              <w:spacing w:before="0" w:after="0" w:line="240" w:lineRule="auto"/>
              <w:rPr>
                <w:rFonts w:eastAsia="Times New Roman" w:cs="Arial"/>
                <w:sz w:val="20"/>
                <w:szCs w:val="20"/>
                <w:highlight w:val="yellow"/>
              </w:rPr>
            </w:pPr>
            <w:r w:rsidRPr="00F82B59">
              <w:rPr>
                <w:rFonts w:eastAsia="Times New Roman" w:cs="Arial"/>
                <w:sz w:val="20"/>
                <w:szCs w:val="20"/>
              </w:rPr>
              <w:t xml:space="preserve">Maternal smoking at delivery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1068B8E" w14:textId="77777777" w:rsidR="00EC4216" w:rsidRPr="00F82B59" w:rsidRDefault="00EC4216" w:rsidP="00A214F8">
            <w:pPr>
              <w:spacing w:after="0" w:line="240" w:lineRule="auto"/>
              <w:rPr>
                <w:rFonts w:eastAsia="Times New Roman" w:cs="Arial"/>
                <w:sz w:val="20"/>
                <w:szCs w:val="20"/>
              </w:rPr>
            </w:pPr>
            <w:r w:rsidRPr="00F82B59">
              <w:rPr>
                <w:rFonts w:eastAsia="Times New Roman" w:cs="Arial"/>
                <w:sz w:val="20"/>
                <w:szCs w:val="20"/>
              </w:rPr>
              <w:t>2021-22</w:t>
            </w:r>
          </w:p>
        </w:tc>
        <w:tc>
          <w:tcPr>
            <w:tcW w:w="1872"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324C24B" w14:textId="77777777" w:rsidR="00EC4216" w:rsidRPr="00F82B59" w:rsidRDefault="00EC4216" w:rsidP="00A214F8">
            <w:pPr>
              <w:spacing w:before="0" w:after="0" w:line="240" w:lineRule="auto"/>
              <w:rPr>
                <w:rFonts w:eastAsia="Times New Roman" w:cs="Arial"/>
                <w:sz w:val="20"/>
                <w:szCs w:val="20"/>
              </w:rPr>
            </w:pPr>
            <w:r w:rsidRPr="00F82B59">
              <w:rPr>
                <w:rFonts w:eastAsia="Times New Roman" w:cs="Arial"/>
                <w:sz w:val="20"/>
                <w:szCs w:val="20"/>
              </w:rPr>
              <w:t>17.80%</w:t>
            </w:r>
            <w:r w:rsidRPr="00F82B59">
              <w:rPr>
                <w:rFonts w:eastAsia="Times New Roman" w:cs="Arial"/>
                <w:sz w:val="20"/>
                <w:szCs w:val="20"/>
              </w:rPr>
              <w:br/>
              <w:t>(Apr-Dec 202</w:t>
            </w:r>
            <w:r>
              <w:rPr>
                <w:rFonts w:eastAsia="Times New Roman" w:cs="Arial"/>
                <w:sz w:val="20"/>
                <w:szCs w:val="20"/>
              </w:rPr>
              <w:t>1</w:t>
            </w:r>
            <w:r w:rsidRPr="00F82B59">
              <w:rPr>
                <w:rFonts w:eastAsia="Times New Roman" w:cs="Arial"/>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3E8CD0" w14:textId="77777777" w:rsidR="00EC4216" w:rsidRPr="00FD6531" w:rsidRDefault="00EC4216" w:rsidP="00A214F8">
            <w:pPr>
              <w:spacing w:before="0" w:after="0" w:line="240" w:lineRule="auto"/>
              <w:rPr>
                <w:rFonts w:eastAsia="Times New Roman" w:cs="Arial"/>
                <w:color w:val="FF0000"/>
                <w:sz w:val="20"/>
                <w:szCs w:val="20"/>
              </w:rPr>
            </w:pPr>
            <w:r w:rsidRPr="00E0372D">
              <w:rPr>
                <w:rFonts w:eastAsia="Times New Roman" w:cs="Arial"/>
                <w:sz w:val="20"/>
                <w:szCs w:val="20"/>
              </w:rPr>
              <w:t>&lt;21% (Local Target)</w:t>
            </w:r>
          </w:p>
        </w:tc>
      </w:tr>
      <w:tr w:rsidR="00EC4216" w:rsidRPr="00FD6531" w14:paraId="585E0930" w14:textId="77777777" w:rsidTr="007B3AAC">
        <w:trPr>
          <w:trHeight w:val="510"/>
        </w:trPr>
        <w:tc>
          <w:tcPr>
            <w:tcW w:w="52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CE2161" w14:textId="77777777" w:rsidR="00EC4216" w:rsidRPr="00F82B59" w:rsidRDefault="00EC4216" w:rsidP="00A214F8">
            <w:pPr>
              <w:spacing w:before="0" w:after="0" w:line="240" w:lineRule="auto"/>
              <w:rPr>
                <w:rFonts w:eastAsia="Times New Roman" w:cs="Arial"/>
                <w:sz w:val="20"/>
                <w:szCs w:val="20"/>
              </w:rPr>
            </w:pPr>
            <w:r w:rsidRPr="00F82B59">
              <w:rPr>
                <w:rFonts w:eastAsia="Times New Roman" w:cs="Arial"/>
                <w:sz w:val="20"/>
                <w:szCs w:val="20"/>
              </w:rPr>
              <w:t xml:space="preserve">Breast feeding prevalence at 6-8 weeks </w:t>
            </w:r>
          </w:p>
          <w:p w14:paraId="6DE36578" w14:textId="77777777" w:rsidR="00EC4216" w:rsidRPr="00F82B59" w:rsidRDefault="00EC4216" w:rsidP="00A214F8">
            <w:pPr>
              <w:spacing w:before="0" w:after="0" w:line="240" w:lineRule="auto"/>
              <w:rPr>
                <w:rFonts w:eastAsia="Times New Roman" w:cs="Arial"/>
                <w:sz w:val="20"/>
                <w:szCs w:val="20"/>
              </w:rPr>
            </w:pPr>
          </w:p>
          <w:p w14:paraId="47B8A7A0" w14:textId="77777777" w:rsidR="00EC4216" w:rsidRPr="00F82B59" w:rsidRDefault="00EC4216" w:rsidP="00A214F8">
            <w:pPr>
              <w:spacing w:before="0" w:after="0" w:line="240" w:lineRule="auto"/>
              <w:rPr>
                <w:rFonts w:eastAsia="Times New Roman"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20388DC" w14:textId="77777777" w:rsidR="00EC4216" w:rsidRPr="00F82B59" w:rsidRDefault="00EC4216" w:rsidP="00A214F8">
            <w:pPr>
              <w:spacing w:after="0" w:line="240" w:lineRule="auto"/>
              <w:rPr>
                <w:rFonts w:eastAsia="Times New Roman" w:cs="Arial"/>
                <w:sz w:val="20"/>
                <w:szCs w:val="20"/>
              </w:rPr>
            </w:pPr>
            <w:r w:rsidRPr="00F82B59">
              <w:rPr>
                <w:rFonts w:eastAsia="Times New Roman" w:cs="Arial"/>
                <w:sz w:val="20"/>
                <w:szCs w:val="20"/>
              </w:rPr>
              <w:t>2020-21</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0A55" w14:textId="77777777" w:rsidR="00EC4216" w:rsidRPr="00F82B59" w:rsidRDefault="00EC4216" w:rsidP="00A214F8">
            <w:pPr>
              <w:spacing w:before="0" w:after="0" w:line="240" w:lineRule="auto"/>
              <w:rPr>
                <w:rFonts w:eastAsia="Times New Roman" w:cs="Arial"/>
                <w:sz w:val="20"/>
                <w:szCs w:val="20"/>
              </w:rPr>
            </w:pPr>
            <w:r w:rsidRPr="00F82B59">
              <w:rPr>
                <w:rFonts w:eastAsia="Times New Roman" w:cs="Arial"/>
                <w:sz w:val="20"/>
                <w:szCs w:val="20"/>
              </w:rPr>
              <w:t>34.8%</w:t>
            </w:r>
            <w:r w:rsidRPr="00F82B59">
              <w:rPr>
                <w:rFonts w:eastAsia="Times New Roman" w:cs="Arial"/>
                <w:sz w:val="20"/>
                <w:szCs w:val="20"/>
              </w:rPr>
              <w:br/>
              <w:t>2020-21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E7315F" w14:textId="77777777" w:rsidR="00EC4216" w:rsidRPr="00F82B59" w:rsidRDefault="00EC4216" w:rsidP="00A214F8">
            <w:pPr>
              <w:spacing w:before="0" w:after="0" w:line="240" w:lineRule="auto"/>
              <w:rPr>
                <w:rFonts w:eastAsia="Times New Roman" w:cs="Arial"/>
                <w:sz w:val="20"/>
                <w:szCs w:val="20"/>
              </w:rPr>
            </w:pPr>
            <w:r w:rsidRPr="00F82B59">
              <w:rPr>
                <w:rFonts w:cs="Arial"/>
                <w:sz w:val="20"/>
                <w:szCs w:val="20"/>
              </w:rPr>
              <w:t xml:space="preserve">No </w:t>
            </w:r>
            <w:r w:rsidRPr="00F82B59">
              <w:rPr>
                <w:rFonts w:eastAsia="Times New Roman" w:cs="Arial"/>
                <w:sz w:val="20"/>
                <w:szCs w:val="20"/>
              </w:rPr>
              <w:t>Target</w:t>
            </w:r>
          </w:p>
        </w:tc>
      </w:tr>
    </w:tbl>
    <w:p w14:paraId="2A93640F" w14:textId="77777777" w:rsidR="00EC4216" w:rsidRPr="009D7744" w:rsidRDefault="00EC4216" w:rsidP="00EC4216">
      <w:pPr>
        <w:spacing w:after="0" w:line="240" w:lineRule="auto"/>
        <w:rPr>
          <w:rFonts w:cs="Arial"/>
          <w:b/>
          <w:sz w:val="18"/>
          <w:szCs w:val="18"/>
        </w:rPr>
      </w:pPr>
      <w:r w:rsidRPr="009D7744">
        <w:rPr>
          <w:rFonts w:cs="Arial"/>
          <w:b/>
          <w:sz w:val="18"/>
          <w:szCs w:val="18"/>
        </w:rPr>
        <w:t>Commentary:</w:t>
      </w:r>
    </w:p>
    <w:p w14:paraId="73726352" w14:textId="0E0685F2" w:rsidR="00EC4216" w:rsidRPr="009D7744" w:rsidRDefault="00EC4216" w:rsidP="009D7744">
      <w:pPr>
        <w:spacing w:after="0" w:line="240" w:lineRule="auto"/>
        <w:rPr>
          <w:rFonts w:cs="Arial"/>
          <w:b/>
          <w:sz w:val="18"/>
          <w:szCs w:val="18"/>
        </w:rPr>
      </w:pPr>
      <w:r w:rsidRPr="009D7744">
        <w:rPr>
          <w:rFonts w:cs="Arial"/>
          <w:b/>
          <w:sz w:val="18"/>
          <w:szCs w:val="18"/>
        </w:rPr>
        <w:t>Maternal smoking at delivery continues to be below the local target (21%) but significantly above the national rate of 8.8% (Q3 2021</w:t>
      </w:r>
      <w:r w:rsidR="00886E22">
        <w:rPr>
          <w:rFonts w:cs="Arial"/>
          <w:b/>
          <w:sz w:val="18"/>
          <w:szCs w:val="18"/>
        </w:rPr>
        <w:t>-</w:t>
      </w:r>
      <w:r w:rsidRPr="009D7744">
        <w:rPr>
          <w:rFonts w:cs="Arial"/>
          <w:b/>
          <w:sz w:val="18"/>
          <w:szCs w:val="18"/>
        </w:rPr>
        <w:t xml:space="preserve">22), remaining a priority for the CCG. </w:t>
      </w:r>
    </w:p>
    <w:p w14:paraId="065932C2" w14:textId="77777777" w:rsidR="00EC4216" w:rsidRPr="009D7744" w:rsidRDefault="00EC4216" w:rsidP="009D7744">
      <w:pPr>
        <w:spacing w:after="0" w:line="240" w:lineRule="auto"/>
        <w:rPr>
          <w:rFonts w:cs="Arial"/>
          <w:b/>
          <w:sz w:val="18"/>
          <w:szCs w:val="18"/>
        </w:rPr>
      </w:pPr>
      <w:r w:rsidRPr="009D7744">
        <w:rPr>
          <w:rFonts w:cs="Arial"/>
          <w:b/>
          <w:sz w:val="18"/>
          <w:szCs w:val="18"/>
        </w:rPr>
        <w:t>There is ongoing work being undertaken by the Humber, Coast &amp; Vale Local Maternity System (LMS) to reduce the smoking in pregnancy rates.</w:t>
      </w:r>
    </w:p>
    <w:tbl>
      <w:tblPr>
        <w:tblpPr w:leftFromText="180" w:rightFromText="180" w:vertAnchor="text" w:horzAnchor="margin" w:tblpY="22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5"/>
        <w:gridCol w:w="1134"/>
        <w:gridCol w:w="1878"/>
        <w:gridCol w:w="1843"/>
      </w:tblGrid>
      <w:tr w:rsidR="00EC4216" w:rsidRPr="00FD6531" w14:paraId="3F16D74C" w14:textId="77777777" w:rsidTr="007B3AAC">
        <w:trPr>
          <w:trHeight w:val="645"/>
        </w:trPr>
        <w:tc>
          <w:tcPr>
            <w:tcW w:w="5205" w:type="dxa"/>
            <w:tcBorders>
              <w:top w:val="single" w:sz="4" w:space="0" w:color="auto"/>
              <w:left w:val="single" w:sz="4" w:space="0" w:color="auto"/>
              <w:bottom w:val="single" w:sz="4" w:space="0" w:color="auto"/>
              <w:right w:val="single" w:sz="4" w:space="0" w:color="auto"/>
            </w:tcBorders>
            <w:shd w:val="clear" w:color="auto" w:fill="95B3D7"/>
            <w:vAlign w:val="center"/>
          </w:tcPr>
          <w:p w14:paraId="26FCFA98" w14:textId="77777777" w:rsidR="00EC4216" w:rsidRPr="00FD6531" w:rsidRDefault="00EC4216" w:rsidP="00A214F8">
            <w:pPr>
              <w:spacing w:before="0" w:after="0" w:line="240" w:lineRule="auto"/>
              <w:rPr>
                <w:rFonts w:eastAsia="Times New Roman" w:cs="Arial"/>
                <w:b/>
                <w:sz w:val="20"/>
                <w:szCs w:val="20"/>
              </w:rPr>
            </w:pPr>
            <w:r w:rsidRPr="00FD6531">
              <w:rPr>
                <w:rFonts w:eastAsia="Times New Roman" w:cs="Arial"/>
                <w:b/>
                <w:sz w:val="20"/>
                <w:szCs w:val="20"/>
              </w:rPr>
              <w:lastRenderedPageBreak/>
              <w:t>Primary Care information</w:t>
            </w:r>
          </w:p>
        </w:tc>
        <w:tc>
          <w:tcPr>
            <w:tcW w:w="1134" w:type="dxa"/>
            <w:tcBorders>
              <w:top w:val="single" w:sz="4" w:space="0" w:color="auto"/>
              <w:left w:val="single" w:sz="4" w:space="0" w:color="auto"/>
              <w:bottom w:val="single" w:sz="4" w:space="0" w:color="auto"/>
              <w:right w:val="single" w:sz="4" w:space="0" w:color="auto"/>
            </w:tcBorders>
            <w:shd w:val="clear" w:color="auto" w:fill="95B3D7"/>
            <w:vAlign w:val="center"/>
          </w:tcPr>
          <w:p w14:paraId="522662F3" w14:textId="77777777" w:rsidR="00EC4216" w:rsidRPr="00FD6531" w:rsidRDefault="00EC4216" w:rsidP="00A214F8">
            <w:pPr>
              <w:spacing w:before="0" w:after="0" w:line="240" w:lineRule="auto"/>
              <w:rPr>
                <w:rFonts w:eastAsia="Times New Roman" w:cs="Arial"/>
                <w:b/>
                <w:sz w:val="20"/>
                <w:szCs w:val="20"/>
              </w:rPr>
            </w:pPr>
          </w:p>
        </w:tc>
        <w:tc>
          <w:tcPr>
            <w:tcW w:w="1878" w:type="dxa"/>
            <w:tcBorders>
              <w:top w:val="single" w:sz="4" w:space="0" w:color="auto"/>
              <w:left w:val="single" w:sz="4" w:space="0" w:color="auto"/>
              <w:bottom w:val="single" w:sz="4" w:space="0" w:color="auto"/>
              <w:right w:val="single" w:sz="4" w:space="0" w:color="auto"/>
            </w:tcBorders>
            <w:shd w:val="clear" w:color="auto" w:fill="95B3D7"/>
            <w:vAlign w:val="center"/>
          </w:tcPr>
          <w:p w14:paraId="25AED3EE" w14:textId="77777777" w:rsidR="00EC4216" w:rsidRPr="00FD6531" w:rsidRDefault="00EC4216" w:rsidP="00A214F8">
            <w:pPr>
              <w:spacing w:before="0" w:after="0" w:line="240" w:lineRule="auto"/>
              <w:rPr>
                <w:rFonts w:eastAsia="Times New Roman" w:cs="Arial"/>
                <w:b/>
                <w:sz w:val="20"/>
                <w:szCs w:val="20"/>
              </w:rPr>
            </w:pPr>
            <w:r w:rsidRPr="00FD6531">
              <w:rPr>
                <w:rFonts w:eastAsia="Times New Roman" w:cs="Arial"/>
                <w:b/>
                <w:sz w:val="20"/>
                <w:szCs w:val="20"/>
              </w:rPr>
              <w:t>Actual (YTD)</w:t>
            </w:r>
          </w:p>
        </w:tc>
        <w:tc>
          <w:tcPr>
            <w:tcW w:w="1843" w:type="dxa"/>
            <w:tcBorders>
              <w:top w:val="single" w:sz="4" w:space="0" w:color="auto"/>
              <w:left w:val="single" w:sz="4" w:space="0" w:color="auto"/>
              <w:bottom w:val="single" w:sz="4" w:space="0" w:color="auto"/>
              <w:right w:val="single" w:sz="4" w:space="0" w:color="auto"/>
            </w:tcBorders>
            <w:shd w:val="clear" w:color="auto" w:fill="95B3D7"/>
            <w:vAlign w:val="center"/>
          </w:tcPr>
          <w:p w14:paraId="3F050829" w14:textId="77777777" w:rsidR="00EC4216" w:rsidRPr="00FD6531" w:rsidRDefault="00EC4216" w:rsidP="00A214F8">
            <w:pPr>
              <w:spacing w:before="0" w:after="0" w:line="240" w:lineRule="auto"/>
              <w:rPr>
                <w:rFonts w:cs="Arial"/>
                <w:b/>
                <w:sz w:val="20"/>
                <w:szCs w:val="20"/>
              </w:rPr>
            </w:pPr>
            <w:r w:rsidRPr="00FD6531">
              <w:rPr>
                <w:rFonts w:cs="Arial"/>
                <w:b/>
                <w:sz w:val="20"/>
                <w:szCs w:val="20"/>
              </w:rPr>
              <w:t>Target</w:t>
            </w:r>
          </w:p>
        </w:tc>
      </w:tr>
      <w:tr w:rsidR="00EC4216" w:rsidRPr="00FD6531" w14:paraId="647FCA53" w14:textId="77777777" w:rsidTr="007B3AAC">
        <w:trPr>
          <w:trHeight w:val="645"/>
        </w:trPr>
        <w:tc>
          <w:tcPr>
            <w:tcW w:w="5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4E669C" w14:textId="77777777" w:rsidR="00EC4216" w:rsidRPr="00FD6531" w:rsidRDefault="00EC4216" w:rsidP="00A214F8">
            <w:pPr>
              <w:spacing w:before="0" w:after="0" w:line="240" w:lineRule="auto"/>
              <w:rPr>
                <w:rFonts w:eastAsia="Times New Roman" w:cs="Arial"/>
                <w:sz w:val="20"/>
                <w:szCs w:val="20"/>
              </w:rPr>
            </w:pPr>
            <w:r w:rsidRPr="00FD6531">
              <w:rPr>
                <w:rFonts w:eastAsia="Times New Roman" w:cs="Arial"/>
                <w:sz w:val="20"/>
                <w:szCs w:val="20"/>
              </w:rPr>
              <w:t xml:space="preserve">GP registered population counts by single year of age and sex (under 19s)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C34D01" w14:textId="77777777" w:rsidR="00EC4216" w:rsidRPr="00FD6531" w:rsidRDefault="00EC4216" w:rsidP="00A214F8">
            <w:pPr>
              <w:spacing w:before="0" w:after="0" w:line="240" w:lineRule="auto"/>
              <w:rPr>
                <w:rFonts w:eastAsia="Times New Roman" w:cs="Arial"/>
                <w:sz w:val="20"/>
                <w:szCs w:val="20"/>
              </w:rPr>
            </w:pPr>
            <w:r w:rsidRPr="00FD6531">
              <w:rPr>
                <w:rFonts w:eastAsia="Times New Roman" w:cs="Arial"/>
                <w:sz w:val="20"/>
                <w:szCs w:val="20"/>
              </w:rPr>
              <w:t>2021-22</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6E1380" w14:textId="77777777" w:rsidR="00EC4216" w:rsidRPr="00FD6531" w:rsidRDefault="00EC4216" w:rsidP="00A214F8">
            <w:pPr>
              <w:spacing w:before="0" w:after="0" w:line="240" w:lineRule="auto"/>
              <w:rPr>
                <w:rFonts w:eastAsia="Times New Roman" w:cs="Arial"/>
                <w:color w:val="FF0000"/>
                <w:sz w:val="20"/>
                <w:szCs w:val="20"/>
              </w:rPr>
            </w:pPr>
            <w:r w:rsidRPr="007D3B00">
              <w:rPr>
                <w:rFonts w:eastAsia="Times New Roman" w:cs="Arial"/>
                <w:sz w:val="20"/>
                <w:szCs w:val="20"/>
              </w:rPr>
              <w:t>68,288</w:t>
            </w:r>
            <w:r w:rsidRPr="00FD6531">
              <w:rPr>
                <w:rFonts w:eastAsia="Times New Roman" w:cs="Arial"/>
                <w:color w:val="FF0000"/>
                <w:sz w:val="20"/>
                <w:szCs w:val="20"/>
              </w:rPr>
              <w:br/>
            </w:r>
            <w:r w:rsidRPr="00FD6531">
              <w:rPr>
                <w:rFonts w:eastAsia="Times New Roman" w:cs="Arial"/>
                <w:sz w:val="20"/>
                <w:szCs w:val="20"/>
              </w:rPr>
              <w:t>(Mar 2022)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F042B" w14:textId="77777777" w:rsidR="00EC4216" w:rsidRPr="00FD6531" w:rsidRDefault="00EC4216" w:rsidP="00A214F8">
            <w:pPr>
              <w:spacing w:before="0" w:after="0" w:line="240" w:lineRule="auto"/>
              <w:rPr>
                <w:rFonts w:cs="Arial"/>
                <w:sz w:val="20"/>
                <w:szCs w:val="20"/>
              </w:rPr>
            </w:pPr>
            <w:r w:rsidRPr="00FD6531">
              <w:rPr>
                <w:rFonts w:eastAsia="Times New Roman" w:cs="Arial"/>
                <w:sz w:val="20"/>
                <w:szCs w:val="20"/>
              </w:rPr>
              <w:t>No Target</w:t>
            </w:r>
          </w:p>
        </w:tc>
      </w:tr>
      <w:tr w:rsidR="00EC4216" w:rsidRPr="00FD6531" w14:paraId="7EEB7129" w14:textId="77777777" w:rsidTr="007B3AAC">
        <w:trPr>
          <w:trHeight w:val="615"/>
        </w:trPr>
        <w:tc>
          <w:tcPr>
            <w:tcW w:w="52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1B0CA" w14:textId="77777777" w:rsidR="00EC4216" w:rsidRPr="00FD6531" w:rsidRDefault="00EC4216" w:rsidP="00A214F8">
            <w:pPr>
              <w:spacing w:before="0" w:after="0" w:line="240" w:lineRule="auto"/>
              <w:rPr>
                <w:rFonts w:eastAsia="Times New Roman" w:cs="Arial"/>
                <w:sz w:val="20"/>
                <w:szCs w:val="20"/>
              </w:rPr>
            </w:pPr>
            <w:r w:rsidRPr="00FD6531">
              <w:rPr>
                <w:rFonts w:eastAsia="Times New Roman" w:cs="Arial"/>
                <w:sz w:val="20"/>
                <w:szCs w:val="20"/>
              </w:rPr>
              <w:t xml:space="preserve">GP registered population counts by single year of age and sex from the NHAIS System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67F8AC" w14:textId="77777777" w:rsidR="00EC4216" w:rsidRPr="00FD6531" w:rsidRDefault="00EC4216" w:rsidP="00A214F8">
            <w:pPr>
              <w:spacing w:before="0" w:after="0" w:line="240" w:lineRule="auto"/>
              <w:rPr>
                <w:rFonts w:eastAsia="Times New Roman" w:cs="Arial"/>
                <w:sz w:val="20"/>
                <w:szCs w:val="20"/>
              </w:rPr>
            </w:pPr>
            <w:r w:rsidRPr="00FD6531">
              <w:rPr>
                <w:rFonts w:eastAsia="Times New Roman" w:cs="Arial"/>
                <w:sz w:val="20"/>
                <w:szCs w:val="20"/>
              </w:rPr>
              <w:t>2021-22</w:t>
            </w:r>
          </w:p>
        </w:tc>
        <w:tc>
          <w:tcPr>
            <w:tcW w:w="18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B964E" w14:textId="77777777" w:rsidR="00EC4216" w:rsidRPr="007D3B00" w:rsidRDefault="00EC4216" w:rsidP="00A214F8">
            <w:pPr>
              <w:spacing w:before="0" w:after="0" w:line="240" w:lineRule="auto"/>
              <w:rPr>
                <w:rFonts w:eastAsia="Times New Roman" w:cs="Arial"/>
                <w:sz w:val="20"/>
                <w:szCs w:val="20"/>
              </w:rPr>
            </w:pPr>
            <w:r w:rsidRPr="007D3B00">
              <w:rPr>
                <w:rFonts w:eastAsia="Times New Roman" w:cs="Arial"/>
                <w:sz w:val="20"/>
                <w:szCs w:val="20"/>
              </w:rPr>
              <w:t>306,976</w:t>
            </w:r>
          </w:p>
          <w:p w14:paraId="0D82148B" w14:textId="77777777" w:rsidR="00EC4216" w:rsidRPr="00FD6531" w:rsidRDefault="00EC4216" w:rsidP="00A214F8">
            <w:pPr>
              <w:spacing w:before="0" w:after="0" w:line="240" w:lineRule="auto"/>
              <w:rPr>
                <w:rFonts w:eastAsia="Times New Roman" w:cs="Arial"/>
                <w:color w:val="FF0000"/>
                <w:sz w:val="20"/>
                <w:szCs w:val="20"/>
              </w:rPr>
            </w:pPr>
            <w:r w:rsidRPr="00FD6531">
              <w:rPr>
                <w:rFonts w:eastAsia="Times New Roman" w:cs="Arial"/>
                <w:color w:val="FF0000"/>
                <w:sz w:val="20"/>
                <w:szCs w:val="20"/>
              </w:rPr>
              <w:br w:type="page"/>
            </w:r>
            <w:r w:rsidRPr="00FD6531">
              <w:rPr>
                <w:rFonts w:eastAsia="Times New Roman" w:cs="Arial"/>
                <w:sz w:val="20"/>
                <w:szCs w:val="20"/>
              </w:rPr>
              <w:t>(Mar 2022)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5AC2AE" w14:textId="77777777" w:rsidR="00EC4216" w:rsidRPr="00FD6531" w:rsidRDefault="00EC4216" w:rsidP="00A214F8">
            <w:pPr>
              <w:spacing w:before="0" w:after="0" w:line="240" w:lineRule="auto"/>
              <w:rPr>
                <w:rFonts w:cs="Arial"/>
                <w:sz w:val="20"/>
                <w:szCs w:val="20"/>
              </w:rPr>
            </w:pPr>
            <w:r w:rsidRPr="00FD6531">
              <w:rPr>
                <w:rFonts w:eastAsia="Times New Roman" w:cs="Arial"/>
                <w:sz w:val="20"/>
                <w:szCs w:val="20"/>
              </w:rPr>
              <w:t>No Target</w:t>
            </w:r>
          </w:p>
        </w:tc>
      </w:tr>
    </w:tbl>
    <w:p w14:paraId="29613DF0" w14:textId="77777777" w:rsidR="00EC4216" w:rsidRDefault="00EC4216" w:rsidP="00EC4216"/>
    <w:p w14:paraId="4D43BE0F" w14:textId="1096D239" w:rsidR="002272E8" w:rsidRDefault="002272E8">
      <w:pPr>
        <w:tabs>
          <w:tab w:val="clear" w:pos="2835"/>
          <w:tab w:val="clear" w:pos="5670"/>
          <w:tab w:val="clear" w:pos="9016"/>
        </w:tabs>
        <w:spacing w:before="0" w:after="200"/>
        <w:rPr>
          <w:rFonts w:eastAsia="Times New Roman" w:cs="Arial"/>
          <w:b/>
          <w:sz w:val="16"/>
          <w:szCs w:val="16"/>
        </w:rPr>
      </w:pPr>
      <w:r>
        <w:rPr>
          <w:rFonts w:eastAsia="Times New Roman" w:cs="Arial"/>
          <w:b/>
          <w:sz w:val="16"/>
          <w:szCs w:val="16"/>
        </w:rPr>
        <w:br w:type="page"/>
      </w:r>
    </w:p>
    <w:p w14:paraId="62C8817B" w14:textId="43E4381B" w:rsidR="006D102A" w:rsidRPr="0040639B" w:rsidRDefault="006D102A" w:rsidP="00B71FAD">
      <w:pPr>
        <w:pStyle w:val="Heading2"/>
        <w:rPr>
          <w:rFonts w:eastAsiaTheme="minorEastAsia"/>
          <w:highlight w:val="yellow"/>
        </w:rPr>
      </w:pPr>
      <w:bookmarkStart w:id="60" w:name="_Toc512957153"/>
      <w:bookmarkStart w:id="61" w:name="_Toc103695036"/>
      <w:r w:rsidRPr="0003672A">
        <w:lastRenderedPageBreak/>
        <w:t xml:space="preserve">Performance </w:t>
      </w:r>
      <w:r w:rsidR="006624A4">
        <w:t xml:space="preserve">and financial </w:t>
      </w:r>
      <w:r w:rsidRPr="0003672A">
        <w:t>analysis</w:t>
      </w:r>
      <w:bookmarkEnd w:id="60"/>
      <w:r w:rsidRPr="0003672A">
        <w:t xml:space="preserve"> </w:t>
      </w:r>
      <w:r>
        <w:t>2021-22</w:t>
      </w:r>
      <w:bookmarkEnd w:id="61"/>
    </w:p>
    <w:p w14:paraId="411C42F8" w14:textId="77777777" w:rsidR="006D102A" w:rsidRPr="00E842F5" w:rsidRDefault="006D102A" w:rsidP="00E842F5">
      <w:pPr>
        <w:rPr>
          <w:b/>
          <w:bCs/>
        </w:rPr>
      </w:pPr>
      <w:bookmarkStart w:id="62" w:name="_Toc41479074"/>
      <w:r w:rsidRPr="00E842F5">
        <w:rPr>
          <w:b/>
          <w:bCs/>
        </w:rPr>
        <w:t xml:space="preserve">Financial position </w:t>
      </w:r>
      <w:bookmarkEnd w:id="62"/>
      <w:r w:rsidRPr="00E842F5">
        <w:rPr>
          <w:b/>
          <w:bCs/>
        </w:rPr>
        <w:t>2021-22</w:t>
      </w:r>
    </w:p>
    <w:p w14:paraId="74420486" w14:textId="78280C2E" w:rsidR="006D102A" w:rsidRPr="009D6819" w:rsidRDefault="006D102A" w:rsidP="006D102A">
      <w:pPr>
        <w:rPr>
          <w:rFonts w:eastAsia="Arial"/>
        </w:rPr>
      </w:pPr>
      <w:r w:rsidRPr="005C3989">
        <w:rPr>
          <w:rFonts w:eastAsia="Arial"/>
        </w:rPr>
        <w:t>Normal financial and contractual arrangements were suspended and divided into two separate financial periods</w:t>
      </w:r>
      <w:r>
        <w:rPr>
          <w:rFonts w:eastAsia="Arial"/>
        </w:rPr>
        <w:t xml:space="preserve"> during 2021-22</w:t>
      </w:r>
      <w:r w:rsidRPr="005C3989">
        <w:rPr>
          <w:rFonts w:eastAsia="Arial"/>
        </w:rPr>
        <w:t xml:space="preserve">. For each six month period a system wide financial control total was allocated to the Humber Coast and Vale ICS that the NHS organisations were required to work within. Other funding streams were also available for </w:t>
      </w:r>
      <w:r>
        <w:rPr>
          <w:rFonts w:eastAsia="Arial"/>
        </w:rPr>
        <w:t>s</w:t>
      </w:r>
      <w:r w:rsidRPr="005C3989">
        <w:rPr>
          <w:rFonts w:eastAsia="Arial"/>
        </w:rPr>
        <w:t xml:space="preserve">ystem </w:t>
      </w:r>
      <w:r>
        <w:rPr>
          <w:rFonts w:eastAsia="Arial"/>
        </w:rPr>
        <w:t>d</w:t>
      </w:r>
      <w:r w:rsidRPr="005C3989">
        <w:rPr>
          <w:rFonts w:eastAsia="Arial"/>
        </w:rPr>
        <w:t xml:space="preserve">evelopment, the Hospital Discharge Scheme and Elective Recovery Fund. The statutory duty for each organisation to achieve financial balance </w:t>
      </w:r>
      <w:r>
        <w:rPr>
          <w:rFonts w:eastAsia="Arial"/>
        </w:rPr>
        <w:t xml:space="preserve">has </w:t>
      </w:r>
      <w:r w:rsidRPr="005C3989">
        <w:rPr>
          <w:rFonts w:eastAsia="Arial"/>
        </w:rPr>
        <w:t xml:space="preserve">remained. Partners across </w:t>
      </w:r>
      <w:r w:rsidRPr="009D6819">
        <w:rPr>
          <w:rFonts w:eastAsia="Arial"/>
        </w:rPr>
        <w:t xml:space="preserve">the system worked together to </w:t>
      </w:r>
      <w:r>
        <w:rPr>
          <w:rFonts w:eastAsia="Arial"/>
        </w:rPr>
        <w:t>propose and define individual organisational level</w:t>
      </w:r>
      <w:r w:rsidRPr="009D6819">
        <w:rPr>
          <w:rFonts w:eastAsia="Arial"/>
        </w:rPr>
        <w:t xml:space="preserve"> control total</w:t>
      </w:r>
      <w:r>
        <w:rPr>
          <w:rFonts w:eastAsia="Arial"/>
        </w:rPr>
        <w:t>s</w:t>
      </w:r>
      <w:r w:rsidRPr="009D6819">
        <w:rPr>
          <w:rFonts w:eastAsia="Arial"/>
        </w:rPr>
        <w:t xml:space="preserve"> in order for this to be possible</w:t>
      </w:r>
      <w:r>
        <w:rPr>
          <w:rFonts w:eastAsia="Arial"/>
        </w:rPr>
        <w:t xml:space="preserve"> which were approved by the Integrated Care System and the respective organisations for both 6 month planning timeframes</w:t>
      </w:r>
      <w:r w:rsidRPr="009D6819">
        <w:rPr>
          <w:rFonts w:eastAsia="Arial"/>
        </w:rPr>
        <w:t>.</w:t>
      </w:r>
    </w:p>
    <w:p w14:paraId="23B4801E" w14:textId="55F96433" w:rsidR="006D102A" w:rsidRPr="009D6819" w:rsidRDefault="006D102A" w:rsidP="006D102A">
      <w:pPr>
        <w:rPr>
          <w:rFonts w:eastAsia="Arial"/>
        </w:rPr>
      </w:pPr>
      <w:r w:rsidRPr="009D6819">
        <w:rPr>
          <w:rFonts w:eastAsia="Arial"/>
        </w:rPr>
        <w:t xml:space="preserve">As a </w:t>
      </w:r>
      <w:r w:rsidRPr="00FE661D">
        <w:rPr>
          <w:rFonts w:eastAsia="Arial"/>
        </w:rPr>
        <w:t xml:space="preserve">result of this NHS Hull </w:t>
      </w:r>
      <w:r>
        <w:rPr>
          <w:rFonts w:eastAsia="Arial"/>
        </w:rPr>
        <w:t xml:space="preserve">CCG </w:t>
      </w:r>
      <w:r w:rsidRPr="00FE661D">
        <w:rPr>
          <w:rFonts w:eastAsia="Arial"/>
        </w:rPr>
        <w:t xml:space="preserve">received a total in year funding allocation of £713.5m. The cumulative historic surplus </w:t>
      </w:r>
      <w:r>
        <w:rPr>
          <w:rFonts w:eastAsia="Arial"/>
        </w:rPr>
        <w:t xml:space="preserve">of </w:t>
      </w:r>
      <w:r w:rsidRPr="00FE661D">
        <w:rPr>
          <w:rFonts w:eastAsia="Arial"/>
        </w:rPr>
        <w:t xml:space="preserve">£15,402m has increased to £15,508m due </w:t>
      </w:r>
      <w:r w:rsidRPr="00D62DEE">
        <w:rPr>
          <w:rFonts w:eastAsia="Arial"/>
        </w:rPr>
        <w:t>to £106k</w:t>
      </w:r>
      <w:r w:rsidRPr="00FE661D">
        <w:rPr>
          <w:rFonts w:eastAsia="Arial"/>
        </w:rPr>
        <w:t xml:space="preserve"> surplus reported this financial year.</w:t>
      </w:r>
    </w:p>
    <w:p w14:paraId="5EA3C70E" w14:textId="2DEF9668" w:rsidR="006D102A" w:rsidRPr="009D6819" w:rsidRDefault="006D102A" w:rsidP="006D102A">
      <w:pPr>
        <w:rPr>
          <w:rFonts w:eastAsia="Arial"/>
          <w:spacing w:val="5"/>
        </w:rPr>
      </w:pPr>
      <w:r w:rsidRPr="009D6819">
        <w:rPr>
          <w:rFonts w:eastAsia="Arial"/>
          <w:spacing w:val="5"/>
        </w:rPr>
        <w:t xml:space="preserve">NHS Provider contracts were nationally determined in </w:t>
      </w:r>
      <w:r>
        <w:rPr>
          <w:rFonts w:eastAsia="Arial"/>
          <w:spacing w:val="5"/>
        </w:rPr>
        <w:t>20</w:t>
      </w:r>
      <w:r w:rsidRPr="009D6819">
        <w:rPr>
          <w:rFonts w:eastAsia="Arial"/>
          <w:spacing w:val="5"/>
        </w:rPr>
        <w:t>21</w:t>
      </w:r>
      <w:r>
        <w:rPr>
          <w:rFonts w:eastAsia="Arial"/>
          <w:spacing w:val="5"/>
        </w:rPr>
        <w:t>-</w:t>
      </w:r>
      <w:r w:rsidRPr="009D6819">
        <w:rPr>
          <w:rFonts w:eastAsia="Arial"/>
          <w:spacing w:val="5"/>
        </w:rPr>
        <w:t>22 with paym</w:t>
      </w:r>
      <w:r>
        <w:rPr>
          <w:rFonts w:eastAsia="Arial"/>
          <w:spacing w:val="5"/>
        </w:rPr>
        <w:t>e</w:t>
      </w:r>
      <w:r w:rsidRPr="009D6819">
        <w:rPr>
          <w:rFonts w:eastAsia="Arial"/>
          <w:spacing w:val="5"/>
        </w:rPr>
        <w:t xml:space="preserve">nts to local NHS organisations increasing and NHS Payments outside of the ICS being suspended. This </w:t>
      </w:r>
      <w:r>
        <w:rPr>
          <w:rFonts w:eastAsia="Arial"/>
          <w:spacing w:val="5"/>
        </w:rPr>
        <w:t xml:space="preserve">is </w:t>
      </w:r>
      <w:r w:rsidRPr="009D6819">
        <w:rPr>
          <w:rFonts w:eastAsia="Arial"/>
          <w:spacing w:val="5"/>
        </w:rPr>
        <w:t xml:space="preserve"> continu</w:t>
      </w:r>
      <w:r>
        <w:rPr>
          <w:rFonts w:eastAsia="Arial"/>
          <w:spacing w:val="5"/>
        </w:rPr>
        <w:t>ing</w:t>
      </w:r>
      <w:r w:rsidRPr="009D6819">
        <w:rPr>
          <w:rFonts w:eastAsia="Arial"/>
          <w:spacing w:val="5"/>
        </w:rPr>
        <w:t xml:space="preserve"> through 2</w:t>
      </w:r>
      <w:r>
        <w:rPr>
          <w:rFonts w:eastAsia="Arial"/>
          <w:spacing w:val="5"/>
        </w:rPr>
        <w:t>022-2</w:t>
      </w:r>
      <w:r w:rsidRPr="009D6819">
        <w:rPr>
          <w:rFonts w:eastAsia="Arial"/>
          <w:spacing w:val="5"/>
        </w:rPr>
        <w:t>3 and the amounts paid to NHS Providers were based on the nationally determined values with uplift</w:t>
      </w:r>
      <w:r>
        <w:rPr>
          <w:rFonts w:eastAsia="Arial"/>
          <w:spacing w:val="5"/>
        </w:rPr>
        <w:t>s</w:t>
      </w:r>
      <w:r w:rsidRPr="009D6819">
        <w:rPr>
          <w:rFonts w:eastAsia="Arial"/>
          <w:spacing w:val="5"/>
        </w:rPr>
        <w:t>/adjust</w:t>
      </w:r>
      <w:r>
        <w:rPr>
          <w:rFonts w:eastAsia="Arial"/>
          <w:spacing w:val="5"/>
        </w:rPr>
        <w:t>ments being made</w:t>
      </w:r>
      <w:r w:rsidRPr="009D6819">
        <w:rPr>
          <w:rFonts w:eastAsia="Arial"/>
          <w:spacing w:val="5"/>
        </w:rPr>
        <w:t xml:space="preserve"> as per </w:t>
      </w:r>
      <w:r>
        <w:rPr>
          <w:rFonts w:eastAsia="Arial"/>
          <w:spacing w:val="5"/>
        </w:rPr>
        <w:t xml:space="preserve">planning </w:t>
      </w:r>
      <w:r w:rsidRPr="009D6819">
        <w:rPr>
          <w:rFonts w:eastAsia="Arial"/>
          <w:spacing w:val="5"/>
        </w:rPr>
        <w:t>guidance.</w:t>
      </w:r>
    </w:p>
    <w:p w14:paraId="4C183ADA" w14:textId="5A166D69" w:rsidR="006D102A" w:rsidRPr="00F531E7" w:rsidRDefault="006D102A" w:rsidP="006D102A">
      <w:pPr>
        <w:rPr>
          <w:rFonts w:eastAsia="Arial"/>
          <w:spacing w:val="5"/>
          <w:highlight w:val="yellow"/>
        </w:rPr>
      </w:pPr>
      <w:r w:rsidRPr="00B022C8">
        <w:rPr>
          <w:rFonts w:eastAsia="Arial"/>
          <w:spacing w:val="5"/>
        </w:rPr>
        <w:t>The allocation is significantly larger that that of the previous financial year of £560.0m due to acting as the lead CCG for the Humber</w:t>
      </w:r>
      <w:r>
        <w:rPr>
          <w:rFonts w:eastAsia="Arial"/>
          <w:spacing w:val="5"/>
        </w:rPr>
        <w:t xml:space="preserve"> and North Yorkshire</w:t>
      </w:r>
      <w:r w:rsidRPr="00B022C8">
        <w:rPr>
          <w:rFonts w:eastAsia="Arial"/>
          <w:spacing w:val="5"/>
        </w:rPr>
        <w:t xml:space="preserve"> system and therefore being responsible for making payments to providers for C</w:t>
      </w:r>
      <w:r>
        <w:rPr>
          <w:rFonts w:eastAsia="Arial"/>
          <w:spacing w:val="5"/>
        </w:rPr>
        <w:t>OVID</w:t>
      </w:r>
      <w:r w:rsidRPr="00B022C8">
        <w:rPr>
          <w:rFonts w:eastAsia="Arial"/>
          <w:spacing w:val="5"/>
        </w:rPr>
        <w:t xml:space="preserve"> Funding, S</w:t>
      </w:r>
      <w:r>
        <w:rPr>
          <w:rFonts w:eastAsia="Arial"/>
          <w:spacing w:val="5"/>
        </w:rPr>
        <w:t>y</w:t>
      </w:r>
      <w:r w:rsidRPr="00B022C8">
        <w:rPr>
          <w:rFonts w:eastAsia="Arial"/>
          <w:spacing w:val="5"/>
        </w:rPr>
        <w:t>stem Top-up Funding, Elective Recovery Funding.</w:t>
      </w:r>
    </w:p>
    <w:p w14:paraId="5896A412" w14:textId="77777777" w:rsidR="006D102A" w:rsidRPr="00F531E7" w:rsidRDefault="006D102A" w:rsidP="006D102A">
      <w:pPr>
        <w:rPr>
          <w:rFonts w:eastAsia="Arial"/>
          <w:spacing w:val="-1"/>
          <w:highlight w:val="yellow"/>
        </w:rPr>
      </w:pPr>
      <w:r w:rsidRPr="00947685">
        <w:rPr>
          <w:rFonts w:eastAsia="Arial"/>
          <w:spacing w:val="2"/>
        </w:rPr>
        <w:t>T</w:t>
      </w:r>
      <w:r w:rsidRPr="00947685">
        <w:rPr>
          <w:rFonts w:eastAsia="Arial"/>
        </w:rPr>
        <w:t>he</w:t>
      </w:r>
      <w:r w:rsidRPr="00947685">
        <w:rPr>
          <w:rFonts w:eastAsia="Arial"/>
          <w:spacing w:val="26"/>
        </w:rPr>
        <w:t xml:space="preserve"> </w:t>
      </w:r>
      <w:r w:rsidRPr="00947685">
        <w:rPr>
          <w:rFonts w:eastAsia="Arial"/>
          <w:spacing w:val="-1"/>
        </w:rPr>
        <w:t>C</w:t>
      </w:r>
      <w:r w:rsidRPr="00947685">
        <w:rPr>
          <w:rFonts w:eastAsia="Arial"/>
          <w:spacing w:val="-3"/>
        </w:rPr>
        <w:t>C</w:t>
      </w:r>
      <w:r w:rsidRPr="00947685">
        <w:rPr>
          <w:rFonts w:eastAsia="Arial"/>
        </w:rPr>
        <w:t>G</w:t>
      </w:r>
      <w:r w:rsidRPr="00947685">
        <w:rPr>
          <w:rFonts w:eastAsia="Arial"/>
          <w:spacing w:val="27"/>
        </w:rPr>
        <w:t xml:space="preserve"> </w:t>
      </w:r>
      <w:r w:rsidRPr="00947685">
        <w:rPr>
          <w:rFonts w:eastAsia="Arial"/>
        </w:rPr>
        <w:t>sp</w:t>
      </w:r>
      <w:r w:rsidRPr="00947685">
        <w:rPr>
          <w:rFonts w:eastAsia="Arial"/>
          <w:spacing w:val="-1"/>
        </w:rPr>
        <w:t>e</w:t>
      </w:r>
      <w:r w:rsidRPr="00947685">
        <w:rPr>
          <w:rFonts w:eastAsia="Arial"/>
          <w:spacing w:val="-3"/>
        </w:rPr>
        <w:t>n</w:t>
      </w:r>
      <w:r w:rsidRPr="00947685">
        <w:rPr>
          <w:rFonts w:eastAsia="Arial"/>
        </w:rPr>
        <w:t>t</w:t>
      </w:r>
      <w:r w:rsidRPr="00947685">
        <w:rPr>
          <w:rFonts w:eastAsia="Arial"/>
          <w:spacing w:val="27"/>
        </w:rPr>
        <w:t xml:space="preserve"> </w:t>
      </w:r>
      <w:r w:rsidRPr="00947685">
        <w:rPr>
          <w:rFonts w:eastAsia="Arial"/>
        </w:rPr>
        <w:t>£4,906k on</w:t>
      </w:r>
      <w:r w:rsidRPr="00947685">
        <w:rPr>
          <w:rFonts w:eastAsia="Arial"/>
          <w:spacing w:val="23"/>
        </w:rPr>
        <w:t xml:space="preserve"> </w:t>
      </w:r>
      <w:r w:rsidRPr="00947685">
        <w:rPr>
          <w:rFonts w:eastAsia="Arial"/>
          <w:spacing w:val="1"/>
        </w:rPr>
        <w:t>t</w:t>
      </w:r>
      <w:r w:rsidRPr="00947685">
        <w:rPr>
          <w:rFonts w:eastAsia="Arial"/>
        </w:rPr>
        <w:t>he a</w:t>
      </w:r>
      <w:r w:rsidRPr="00947685">
        <w:rPr>
          <w:rFonts w:eastAsia="Arial"/>
          <w:spacing w:val="-3"/>
        </w:rPr>
        <w:t>d</w:t>
      </w:r>
      <w:r w:rsidRPr="00947685">
        <w:rPr>
          <w:rFonts w:eastAsia="Arial"/>
          <w:spacing w:val="1"/>
        </w:rPr>
        <w:t>m</w:t>
      </w:r>
      <w:r w:rsidRPr="00947685">
        <w:rPr>
          <w:rFonts w:eastAsia="Arial"/>
          <w:spacing w:val="-1"/>
        </w:rPr>
        <w:t>i</w:t>
      </w:r>
      <w:r w:rsidRPr="00947685">
        <w:rPr>
          <w:rFonts w:eastAsia="Arial"/>
        </w:rPr>
        <w:t>n</w:t>
      </w:r>
      <w:r w:rsidRPr="00947685">
        <w:rPr>
          <w:rFonts w:eastAsia="Arial"/>
          <w:spacing w:val="-1"/>
        </w:rPr>
        <w:t>i</w:t>
      </w:r>
      <w:r w:rsidRPr="00947685">
        <w:rPr>
          <w:rFonts w:eastAsia="Arial"/>
        </w:rPr>
        <w:t>s</w:t>
      </w:r>
      <w:r w:rsidRPr="00947685">
        <w:rPr>
          <w:rFonts w:eastAsia="Arial"/>
          <w:spacing w:val="1"/>
        </w:rPr>
        <w:t>tr</w:t>
      </w:r>
      <w:r w:rsidRPr="00947685">
        <w:rPr>
          <w:rFonts w:eastAsia="Arial"/>
          <w:spacing w:val="-3"/>
        </w:rPr>
        <w:t>a</w:t>
      </w:r>
      <w:r w:rsidRPr="00947685">
        <w:rPr>
          <w:rFonts w:eastAsia="Arial"/>
          <w:spacing w:val="1"/>
        </w:rPr>
        <w:t>t</w:t>
      </w:r>
      <w:r w:rsidRPr="00947685">
        <w:rPr>
          <w:rFonts w:eastAsia="Arial"/>
          <w:spacing w:val="-1"/>
        </w:rPr>
        <w:t>i</w:t>
      </w:r>
      <w:r w:rsidRPr="00947685">
        <w:rPr>
          <w:rFonts w:eastAsia="Arial"/>
        </w:rPr>
        <w:t xml:space="preserve">on </w:t>
      </w:r>
      <w:r w:rsidRPr="00947685">
        <w:rPr>
          <w:rFonts w:eastAsia="Arial"/>
          <w:spacing w:val="-3"/>
        </w:rPr>
        <w:t>o</w:t>
      </w:r>
      <w:r w:rsidRPr="00947685">
        <w:rPr>
          <w:rFonts w:eastAsia="Arial"/>
        </w:rPr>
        <w:t xml:space="preserve">f </w:t>
      </w:r>
      <w:r w:rsidRPr="00947685">
        <w:rPr>
          <w:rFonts w:eastAsia="Arial"/>
          <w:spacing w:val="1"/>
        </w:rPr>
        <w:t>t</w:t>
      </w:r>
      <w:r w:rsidRPr="00947685">
        <w:rPr>
          <w:rFonts w:eastAsia="Arial"/>
        </w:rPr>
        <w:t xml:space="preserve">he </w:t>
      </w:r>
      <w:r w:rsidRPr="00947685">
        <w:rPr>
          <w:rFonts w:eastAsia="Arial"/>
          <w:spacing w:val="-3"/>
        </w:rPr>
        <w:t>o</w:t>
      </w:r>
      <w:r w:rsidRPr="00947685">
        <w:rPr>
          <w:rFonts w:eastAsia="Arial"/>
          <w:spacing w:val="-2"/>
        </w:rPr>
        <w:t>r</w:t>
      </w:r>
      <w:r w:rsidRPr="00947685">
        <w:rPr>
          <w:rFonts w:eastAsia="Arial"/>
          <w:spacing w:val="2"/>
        </w:rPr>
        <w:t>g</w:t>
      </w:r>
      <w:r w:rsidRPr="00947685">
        <w:rPr>
          <w:rFonts w:eastAsia="Arial"/>
        </w:rPr>
        <w:t>a</w:t>
      </w:r>
      <w:r w:rsidRPr="00947685">
        <w:rPr>
          <w:rFonts w:eastAsia="Arial"/>
          <w:spacing w:val="-1"/>
        </w:rPr>
        <w:t>ni</w:t>
      </w:r>
      <w:r w:rsidRPr="00947685">
        <w:rPr>
          <w:rFonts w:eastAsia="Arial"/>
        </w:rPr>
        <w:t>sati</w:t>
      </w:r>
      <w:r w:rsidRPr="00947685">
        <w:rPr>
          <w:rFonts w:eastAsia="Arial"/>
          <w:spacing w:val="-1"/>
        </w:rPr>
        <w:t>o</w:t>
      </w:r>
      <w:r w:rsidRPr="00947685">
        <w:rPr>
          <w:rFonts w:eastAsia="Arial"/>
        </w:rPr>
        <w:t>n</w:t>
      </w:r>
      <w:r w:rsidRPr="00947685">
        <w:rPr>
          <w:rFonts w:eastAsia="Arial"/>
          <w:spacing w:val="29"/>
        </w:rPr>
        <w:t xml:space="preserve"> </w:t>
      </w:r>
      <w:r w:rsidRPr="00947685">
        <w:rPr>
          <w:rFonts w:eastAsia="Arial"/>
          <w:spacing w:val="-1"/>
        </w:rPr>
        <w:t>i</w:t>
      </w:r>
      <w:r w:rsidRPr="00947685">
        <w:rPr>
          <w:rFonts w:eastAsia="Arial"/>
        </w:rPr>
        <w:t>n</w:t>
      </w:r>
      <w:r w:rsidRPr="00947685">
        <w:rPr>
          <w:rFonts w:eastAsia="Arial"/>
          <w:spacing w:val="27"/>
        </w:rPr>
        <w:t xml:space="preserve"> </w:t>
      </w:r>
      <w:r>
        <w:rPr>
          <w:rFonts w:eastAsia="Arial"/>
          <w:spacing w:val="27"/>
        </w:rPr>
        <w:t>20</w:t>
      </w:r>
      <w:r w:rsidRPr="00947685">
        <w:rPr>
          <w:rFonts w:eastAsia="Arial"/>
        </w:rPr>
        <w:t>21-22</w:t>
      </w:r>
      <w:r w:rsidRPr="00947685">
        <w:rPr>
          <w:rFonts w:eastAsia="Arial"/>
          <w:spacing w:val="1"/>
        </w:rPr>
        <w:t xml:space="preserve"> which is</w:t>
      </w:r>
      <w:r>
        <w:rPr>
          <w:rFonts w:eastAsia="Arial"/>
          <w:spacing w:val="1"/>
        </w:rPr>
        <w:t xml:space="preserve"> significantly below </w:t>
      </w:r>
      <w:r w:rsidRPr="00947685">
        <w:rPr>
          <w:rFonts w:eastAsia="Arial"/>
          <w:spacing w:val="1"/>
        </w:rPr>
        <w:t xml:space="preserve">the </w:t>
      </w:r>
      <w:r>
        <w:rPr>
          <w:rFonts w:eastAsia="Arial"/>
          <w:spacing w:val="1"/>
        </w:rPr>
        <w:t xml:space="preserve">running allocation </w:t>
      </w:r>
      <w:r w:rsidRPr="00947685">
        <w:rPr>
          <w:rFonts w:eastAsia="Arial"/>
          <w:spacing w:val="1"/>
        </w:rPr>
        <w:t xml:space="preserve">allocation </w:t>
      </w:r>
      <w:r w:rsidRPr="00D62DEE">
        <w:rPr>
          <w:rFonts w:eastAsia="Arial"/>
          <w:spacing w:val="1"/>
        </w:rPr>
        <w:t>available.</w:t>
      </w:r>
    </w:p>
    <w:p w14:paraId="26212F71" w14:textId="77777777" w:rsidR="006D102A" w:rsidRPr="00E842F5" w:rsidRDefault="006D102A" w:rsidP="00E842F5">
      <w:pPr>
        <w:rPr>
          <w:b/>
          <w:bCs/>
        </w:rPr>
      </w:pPr>
      <w:bookmarkStart w:id="63" w:name="_Toc481760946"/>
      <w:bookmarkStart w:id="64" w:name="_Toc512957155"/>
      <w:bookmarkStart w:id="65" w:name="_Toc41479075"/>
      <w:r w:rsidRPr="00E842F5">
        <w:rPr>
          <w:b/>
          <w:bCs/>
        </w:rPr>
        <w:t xml:space="preserve">Financial development and performance </w:t>
      </w:r>
      <w:bookmarkEnd w:id="63"/>
      <w:bookmarkEnd w:id="64"/>
      <w:r w:rsidRPr="00E842F5">
        <w:rPr>
          <w:b/>
          <w:bCs/>
        </w:rPr>
        <w:t>2021-2</w:t>
      </w:r>
      <w:bookmarkEnd w:id="65"/>
      <w:r w:rsidRPr="00E842F5">
        <w:rPr>
          <w:b/>
          <w:bCs/>
        </w:rPr>
        <w:t xml:space="preserve">2 </w:t>
      </w:r>
      <w:bookmarkStart w:id="66" w:name="_Toc449018416"/>
      <w:bookmarkStart w:id="67" w:name="_Toc449014816"/>
    </w:p>
    <w:p w14:paraId="6225C0EA" w14:textId="77777777" w:rsidR="006D102A" w:rsidRPr="00B022C8" w:rsidRDefault="006D102A" w:rsidP="006D102A">
      <w:pPr>
        <w:rPr>
          <w:rFonts w:eastAsia="Arial"/>
        </w:rPr>
      </w:pPr>
      <w:r w:rsidRPr="00B022C8">
        <w:rPr>
          <w:rFonts w:eastAsia="Arial"/>
          <w:spacing w:val="2"/>
        </w:rPr>
        <w:t>T</w:t>
      </w:r>
      <w:r w:rsidRPr="00B022C8">
        <w:rPr>
          <w:rFonts w:eastAsia="Arial"/>
        </w:rPr>
        <w:t>he</w:t>
      </w:r>
      <w:r w:rsidRPr="00B022C8">
        <w:rPr>
          <w:rFonts w:eastAsia="Arial"/>
          <w:spacing w:val="-2"/>
        </w:rPr>
        <w:t xml:space="preserve"> </w:t>
      </w:r>
      <w:r w:rsidRPr="00B022C8">
        <w:rPr>
          <w:rFonts w:eastAsia="Arial"/>
          <w:spacing w:val="-1"/>
        </w:rPr>
        <w:t>CC</w:t>
      </w:r>
      <w:r w:rsidRPr="00B022C8">
        <w:rPr>
          <w:rFonts w:eastAsia="Arial"/>
          <w:spacing w:val="1"/>
        </w:rPr>
        <w:t>G</w:t>
      </w:r>
      <w:r w:rsidRPr="00B022C8">
        <w:rPr>
          <w:rFonts w:eastAsia="Arial"/>
          <w:spacing w:val="-1"/>
        </w:rPr>
        <w:t>’</w:t>
      </w:r>
      <w:r w:rsidRPr="00B022C8">
        <w:rPr>
          <w:rFonts w:eastAsia="Arial"/>
        </w:rPr>
        <w:t>s</w:t>
      </w:r>
      <w:r w:rsidRPr="00B022C8">
        <w:rPr>
          <w:rFonts w:eastAsia="Arial"/>
          <w:spacing w:val="1"/>
        </w:rPr>
        <w:t xml:space="preserve"> </w:t>
      </w:r>
      <w:r w:rsidRPr="00B022C8">
        <w:rPr>
          <w:rFonts w:eastAsia="Arial"/>
        </w:rPr>
        <w:t>a</w:t>
      </w:r>
      <w:r w:rsidRPr="00B022C8">
        <w:rPr>
          <w:rFonts w:eastAsia="Arial"/>
          <w:spacing w:val="-3"/>
        </w:rPr>
        <w:t>c</w:t>
      </w:r>
      <w:r w:rsidRPr="00B022C8">
        <w:rPr>
          <w:rFonts w:eastAsia="Arial"/>
        </w:rPr>
        <w:t>co</w:t>
      </w:r>
      <w:r w:rsidRPr="00B022C8">
        <w:rPr>
          <w:rFonts w:eastAsia="Arial"/>
          <w:spacing w:val="-1"/>
        </w:rPr>
        <w:t>u</w:t>
      </w:r>
      <w:r w:rsidRPr="00B022C8">
        <w:rPr>
          <w:rFonts w:eastAsia="Arial"/>
        </w:rPr>
        <w:t>nts</w:t>
      </w:r>
      <w:r w:rsidRPr="00B022C8">
        <w:rPr>
          <w:rFonts w:eastAsia="Arial"/>
          <w:spacing w:val="-1"/>
        </w:rPr>
        <w:t xml:space="preserve"> </w:t>
      </w:r>
      <w:r w:rsidRPr="00B022C8">
        <w:rPr>
          <w:rFonts w:eastAsia="Arial"/>
        </w:rPr>
        <w:t>h</w:t>
      </w:r>
      <w:r w:rsidRPr="00B022C8">
        <w:rPr>
          <w:rFonts w:eastAsia="Arial"/>
          <w:spacing w:val="-1"/>
        </w:rPr>
        <w:t>a</w:t>
      </w:r>
      <w:r w:rsidRPr="00B022C8">
        <w:rPr>
          <w:rFonts w:eastAsia="Arial"/>
          <w:spacing w:val="-2"/>
        </w:rPr>
        <w:t>v</w:t>
      </w:r>
      <w:r w:rsidRPr="00B022C8">
        <w:rPr>
          <w:rFonts w:eastAsia="Arial"/>
        </w:rPr>
        <w:t xml:space="preserve">e been </w:t>
      </w:r>
      <w:r w:rsidRPr="00B022C8">
        <w:rPr>
          <w:rFonts w:eastAsia="Arial"/>
          <w:spacing w:val="-3"/>
        </w:rPr>
        <w:t>p</w:t>
      </w:r>
      <w:r w:rsidRPr="00B022C8">
        <w:rPr>
          <w:rFonts w:eastAsia="Arial"/>
          <w:spacing w:val="1"/>
        </w:rPr>
        <w:t>r</w:t>
      </w:r>
      <w:r w:rsidRPr="00B022C8">
        <w:rPr>
          <w:rFonts w:eastAsia="Arial"/>
        </w:rPr>
        <w:t>e</w:t>
      </w:r>
      <w:r w:rsidRPr="00B022C8">
        <w:rPr>
          <w:rFonts w:eastAsia="Arial"/>
          <w:spacing w:val="-1"/>
        </w:rPr>
        <w:t>p</w:t>
      </w:r>
      <w:r w:rsidRPr="00B022C8">
        <w:rPr>
          <w:rFonts w:eastAsia="Arial"/>
        </w:rPr>
        <w:t>ared</w:t>
      </w:r>
      <w:r w:rsidRPr="00B022C8">
        <w:rPr>
          <w:rFonts w:eastAsia="Arial"/>
          <w:spacing w:val="-2"/>
        </w:rPr>
        <w:t xml:space="preserve"> </w:t>
      </w:r>
      <w:r w:rsidRPr="00B022C8">
        <w:rPr>
          <w:rFonts w:eastAsia="Arial"/>
        </w:rPr>
        <w:t>u</w:t>
      </w:r>
      <w:r w:rsidRPr="00B022C8">
        <w:rPr>
          <w:rFonts w:eastAsia="Arial"/>
          <w:spacing w:val="-1"/>
        </w:rPr>
        <w:t>n</w:t>
      </w:r>
      <w:r w:rsidRPr="00B022C8">
        <w:rPr>
          <w:rFonts w:eastAsia="Arial"/>
        </w:rPr>
        <w:t>d</w:t>
      </w:r>
      <w:r w:rsidRPr="00B022C8">
        <w:rPr>
          <w:rFonts w:eastAsia="Arial"/>
          <w:spacing w:val="-1"/>
        </w:rPr>
        <w:t>e</w:t>
      </w:r>
      <w:r w:rsidRPr="00B022C8">
        <w:rPr>
          <w:rFonts w:eastAsia="Arial"/>
        </w:rPr>
        <w:t>r a</w:t>
      </w:r>
      <w:r w:rsidRPr="00B022C8">
        <w:rPr>
          <w:rFonts w:eastAsia="Arial"/>
          <w:spacing w:val="-2"/>
        </w:rPr>
        <w:t xml:space="preserve"> </w:t>
      </w:r>
      <w:r w:rsidRPr="00B022C8">
        <w:rPr>
          <w:rFonts w:eastAsia="Arial"/>
        </w:rPr>
        <w:t>d</w:t>
      </w:r>
      <w:r w:rsidRPr="00B022C8">
        <w:rPr>
          <w:rFonts w:eastAsia="Arial"/>
          <w:spacing w:val="-1"/>
        </w:rPr>
        <w:t>i</w:t>
      </w:r>
      <w:r w:rsidRPr="00B022C8">
        <w:rPr>
          <w:rFonts w:eastAsia="Arial"/>
          <w:spacing w:val="1"/>
        </w:rPr>
        <w:t>r</w:t>
      </w:r>
      <w:r w:rsidRPr="00B022C8">
        <w:rPr>
          <w:rFonts w:eastAsia="Arial"/>
        </w:rPr>
        <w:t>ecti</w:t>
      </w:r>
      <w:r w:rsidRPr="00B022C8">
        <w:rPr>
          <w:rFonts w:eastAsia="Arial"/>
          <w:spacing w:val="-1"/>
        </w:rPr>
        <w:t>o</w:t>
      </w:r>
      <w:r w:rsidRPr="00B022C8">
        <w:rPr>
          <w:rFonts w:eastAsia="Arial"/>
        </w:rPr>
        <w:t>n</w:t>
      </w:r>
      <w:r w:rsidRPr="00B022C8">
        <w:rPr>
          <w:rFonts w:eastAsia="Arial"/>
          <w:spacing w:val="-2"/>
        </w:rPr>
        <w:t xml:space="preserve"> </w:t>
      </w:r>
      <w:r w:rsidRPr="00B022C8">
        <w:rPr>
          <w:rFonts w:eastAsia="Arial"/>
          <w:spacing w:val="-1"/>
        </w:rPr>
        <w:t>i</w:t>
      </w:r>
      <w:r w:rsidRPr="00B022C8">
        <w:rPr>
          <w:rFonts w:eastAsia="Arial"/>
        </w:rPr>
        <w:t>ssu</w:t>
      </w:r>
      <w:r w:rsidRPr="00B022C8">
        <w:rPr>
          <w:rFonts w:eastAsia="Arial"/>
          <w:spacing w:val="-1"/>
        </w:rPr>
        <w:t>e</w:t>
      </w:r>
      <w:r w:rsidRPr="00B022C8">
        <w:rPr>
          <w:rFonts w:eastAsia="Arial"/>
        </w:rPr>
        <w:t>d by</w:t>
      </w:r>
      <w:r w:rsidRPr="00B022C8">
        <w:rPr>
          <w:rFonts w:eastAsia="Arial"/>
          <w:spacing w:val="-1"/>
        </w:rPr>
        <w:t xml:space="preserve"> </w:t>
      </w:r>
      <w:r w:rsidRPr="00B022C8">
        <w:rPr>
          <w:rFonts w:eastAsia="Arial"/>
          <w:spacing w:val="1"/>
        </w:rPr>
        <w:t>t</w:t>
      </w:r>
      <w:r w:rsidRPr="00B022C8">
        <w:rPr>
          <w:rFonts w:eastAsia="Arial"/>
        </w:rPr>
        <w:t>he</w:t>
      </w:r>
      <w:r w:rsidRPr="00B022C8">
        <w:rPr>
          <w:rFonts w:eastAsia="Arial"/>
          <w:spacing w:val="-4"/>
        </w:rPr>
        <w:t xml:space="preserve"> </w:t>
      </w:r>
      <w:r w:rsidRPr="00B022C8">
        <w:rPr>
          <w:rFonts w:eastAsia="Arial"/>
          <w:spacing w:val="-1"/>
        </w:rPr>
        <w:t>NH</w:t>
      </w:r>
      <w:r w:rsidRPr="00B022C8">
        <w:rPr>
          <w:rFonts w:eastAsia="Arial"/>
        </w:rPr>
        <w:t xml:space="preserve">S </w:t>
      </w:r>
      <w:r w:rsidRPr="00B022C8">
        <w:rPr>
          <w:rFonts w:eastAsia="Arial"/>
          <w:spacing w:val="-1"/>
        </w:rPr>
        <w:t>C</w:t>
      </w:r>
      <w:r w:rsidRPr="00B022C8">
        <w:rPr>
          <w:rFonts w:eastAsia="Arial"/>
        </w:rPr>
        <w:t>om</w:t>
      </w:r>
      <w:r w:rsidRPr="00B022C8">
        <w:rPr>
          <w:rFonts w:eastAsia="Arial"/>
          <w:spacing w:val="1"/>
        </w:rPr>
        <w:t>m</w:t>
      </w:r>
      <w:r w:rsidRPr="00B022C8">
        <w:rPr>
          <w:rFonts w:eastAsia="Arial"/>
          <w:spacing w:val="-1"/>
        </w:rPr>
        <w:t>i</w:t>
      </w:r>
      <w:r w:rsidRPr="00B022C8">
        <w:rPr>
          <w:rFonts w:eastAsia="Arial"/>
        </w:rPr>
        <w:t>ss</w:t>
      </w:r>
      <w:r w:rsidRPr="00B022C8">
        <w:rPr>
          <w:rFonts w:eastAsia="Arial"/>
          <w:spacing w:val="-1"/>
        </w:rPr>
        <w:t>i</w:t>
      </w:r>
      <w:r w:rsidRPr="00B022C8">
        <w:rPr>
          <w:rFonts w:eastAsia="Arial"/>
        </w:rPr>
        <w:t>o</w:t>
      </w:r>
      <w:r w:rsidRPr="00B022C8">
        <w:rPr>
          <w:rFonts w:eastAsia="Arial"/>
          <w:spacing w:val="-1"/>
        </w:rPr>
        <w:t>ni</w:t>
      </w:r>
      <w:r w:rsidRPr="00B022C8">
        <w:rPr>
          <w:rFonts w:eastAsia="Arial"/>
        </w:rPr>
        <w:t xml:space="preserve">ng </w:t>
      </w:r>
      <w:r w:rsidRPr="00B022C8">
        <w:rPr>
          <w:rFonts w:eastAsia="Arial"/>
          <w:spacing w:val="-1"/>
        </w:rPr>
        <w:t>B</w:t>
      </w:r>
      <w:r w:rsidRPr="00B022C8">
        <w:rPr>
          <w:rFonts w:eastAsia="Arial"/>
        </w:rPr>
        <w:t>o</w:t>
      </w:r>
      <w:r w:rsidRPr="00B022C8">
        <w:rPr>
          <w:rFonts w:eastAsia="Arial"/>
          <w:spacing w:val="-1"/>
        </w:rPr>
        <w:t>a</w:t>
      </w:r>
      <w:r w:rsidRPr="00B022C8">
        <w:rPr>
          <w:rFonts w:eastAsia="Arial"/>
          <w:spacing w:val="1"/>
        </w:rPr>
        <w:t>r</w:t>
      </w:r>
      <w:r w:rsidRPr="00B022C8">
        <w:rPr>
          <w:rFonts w:eastAsia="Arial"/>
        </w:rPr>
        <w:t>d</w:t>
      </w:r>
      <w:r w:rsidRPr="00B022C8">
        <w:rPr>
          <w:rFonts w:eastAsia="Arial"/>
          <w:spacing w:val="-1"/>
        </w:rPr>
        <w:t xml:space="preserve"> </w:t>
      </w:r>
      <w:r w:rsidRPr="00B022C8">
        <w:rPr>
          <w:rFonts w:eastAsia="Arial"/>
          <w:spacing w:val="1"/>
        </w:rPr>
        <w:t>(</w:t>
      </w:r>
      <w:r w:rsidRPr="00B022C8">
        <w:rPr>
          <w:rFonts w:eastAsia="Arial"/>
          <w:spacing w:val="-3"/>
        </w:rPr>
        <w:t>N</w:t>
      </w:r>
      <w:r w:rsidRPr="00B022C8">
        <w:rPr>
          <w:rFonts w:eastAsia="Arial"/>
          <w:spacing w:val="-1"/>
        </w:rPr>
        <w:t>H</w:t>
      </w:r>
      <w:r w:rsidRPr="00B022C8">
        <w:rPr>
          <w:rFonts w:eastAsia="Arial"/>
        </w:rPr>
        <w:t xml:space="preserve">S </w:t>
      </w:r>
      <w:r w:rsidRPr="00B022C8">
        <w:rPr>
          <w:rFonts w:eastAsia="Arial"/>
          <w:spacing w:val="-1"/>
        </w:rPr>
        <w:t>E</w:t>
      </w:r>
      <w:r w:rsidRPr="00B022C8">
        <w:rPr>
          <w:rFonts w:eastAsia="Arial"/>
        </w:rPr>
        <w:t>n</w:t>
      </w:r>
      <w:r w:rsidRPr="00B022C8">
        <w:rPr>
          <w:rFonts w:eastAsia="Arial"/>
          <w:spacing w:val="2"/>
        </w:rPr>
        <w:t>g</w:t>
      </w:r>
      <w:r w:rsidRPr="00B022C8">
        <w:rPr>
          <w:rFonts w:eastAsia="Arial"/>
          <w:spacing w:val="-1"/>
        </w:rPr>
        <w:t>l</w:t>
      </w:r>
      <w:r w:rsidRPr="00B022C8">
        <w:rPr>
          <w:rFonts w:eastAsia="Arial"/>
        </w:rPr>
        <w:t>a</w:t>
      </w:r>
      <w:r w:rsidRPr="00B022C8">
        <w:rPr>
          <w:rFonts w:eastAsia="Arial"/>
          <w:spacing w:val="-1"/>
        </w:rPr>
        <w:t>n</w:t>
      </w:r>
      <w:r w:rsidRPr="00B022C8">
        <w:rPr>
          <w:rFonts w:eastAsia="Arial"/>
        </w:rPr>
        <w:t>d) u</w:t>
      </w:r>
      <w:r w:rsidRPr="00B022C8">
        <w:rPr>
          <w:rFonts w:eastAsia="Arial"/>
          <w:spacing w:val="-1"/>
        </w:rPr>
        <w:t>n</w:t>
      </w:r>
      <w:r w:rsidRPr="00B022C8">
        <w:rPr>
          <w:rFonts w:eastAsia="Arial"/>
        </w:rPr>
        <w:t>d</w:t>
      </w:r>
      <w:r w:rsidRPr="00B022C8">
        <w:rPr>
          <w:rFonts w:eastAsia="Arial"/>
          <w:spacing w:val="-1"/>
        </w:rPr>
        <w:t>e</w:t>
      </w:r>
      <w:r w:rsidRPr="00B022C8">
        <w:rPr>
          <w:rFonts w:eastAsia="Arial"/>
        </w:rPr>
        <w:t xml:space="preserve">r </w:t>
      </w:r>
      <w:r w:rsidRPr="00B022C8">
        <w:rPr>
          <w:rFonts w:eastAsia="Arial"/>
          <w:spacing w:val="1"/>
        </w:rPr>
        <w:t>t</w:t>
      </w:r>
      <w:r w:rsidRPr="00B022C8">
        <w:rPr>
          <w:rFonts w:eastAsia="Arial"/>
        </w:rPr>
        <w:t>he</w:t>
      </w:r>
      <w:r w:rsidRPr="00B022C8">
        <w:rPr>
          <w:rFonts w:eastAsia="Arial"/>
          <w:spacing w:val="-4"/>
        </w:rPr>
        <w:t xml:space="preserve"> </w:t>
      </w:r>
      <w:r w:rsidRPr="00B022C8">
        <w:rPr>
          <w:rFonts w:eastAsia="Arial"/>
          <w:spacing w:val="-1"/>
        </w:rPr>
        <w:t>N</w:t>
      </w:r>
      <w:r w:rsidRPr="00B022C8">
        <w:rPr>
          <w:rFonts w:eastAsia="Arial"/>
        </w:rPr>
        <w:t>ati</w:t>
      </w:r>
      <w:r w:rsidRPr="00B022C8">
        <w:rPr>
          <w:rFonts w:eastAsia="Arial"/>
          <w:spacing w:val="-1"/>
        </w:rPr>
        <w:t>o</w:t>
      </w:r>
      <w:r w:rsidRPr="00B022C8">
        <w:rPr>
          <w:rFonts w:eastAsia="Arial"/>
        </w:rPr>
        <w:t>n</w:t>
      </w:r>
      <w:r w:rsidRPr="00B022C8">
        <w:rPr>
          <w:rFonts w:eastAsia="Arial"/>
          <w:spacing w:val="-1"/>
        </w:rPr>
        <w:t>a</w:t>
      </w:r>
      <w:r w:rsidRPr="00B022C8">
        <w:rPr>
          <w:rFonts w:eastAsia="Arial"/>
        </w:rPr>
        <w:t xml:space="preserve">l </w:t>
      </w:r>
      <w:r w:rsidRPr="00B022C8">
        <w:rPr>
          <w:rFonts w:eastAsia="Arial"/>
          <w:spacing w:val="-1"/>
        </w:rPr>
        <w:t>H</w:t>
      </w:r>
      <w:r w:rsidRPr="00B022C8">
        <w:rPr>
          <w:rFonts w:eastAsia="Arial"/>
        </w:rPr>
        <w:t>e</w:t>
      </w:r>
      <w:r w:rsidRPr="00B022C8">
        <w:rPr>
          <w:rFonts w:eastAsia="Arial"/>
          <w:spacing w:val="-1"/>
        </w:rPr>
        <w:t>al</w:t>
      </w:r>
      <w:r w:rsidRPr="00B022C8">
        <w:rPr>
          <w:rFonts w:eastAsia="Arial"/>
          <w:spacing w:val="1"/>
        </w:rPr>
        <w:t>t</w:t>
      </w:r>
      <w:r w:rsidRPr="00B022C8">
        <w:rPr>
          <w:rFonts w:eastAsia="Arial"/>
        </w:rPr>
        <w:t>h Ser</w:t>
      </w:r>
      <w:r w:rsidRPr="00B022C8">
        <w:rPr>
          <w:rFonts w:eastAsia="Arial"/>
          <w:spacing w:val="-2"/>
        </w:rPr>
        <w:t>v</w:t>
      </w:r>
      <w:r w:rsidRPr="00B022C8">
        <w:rPr>
          <w:rFonts w:eastAsia="Arial"/>
          <w:spacing w:val="-1"/>
        </w:rPr>
        <w:t>i</w:t>
      </w:r>
      <w:r w:rsidRPr="00B022C8">
        <w:rPr>
          <w:rFonts w:eastAsia="Arial"/>
        </w:rPr>
        <w:t>ce</w:t>
      </w:r>
      <w:r w:rsidRPr="00B022C8">
        <w:rPr>
          <w:rFonts w:eastAsia="Arial"/>
          <w:spacing w:val="-2"/>
        </w:rPr>
        <w:t xml:space="preserve"> </w:t>
      </w:r>
      <w:r w:rsidRPr="00B022C8">
        <w:rPr>
          <w:rFonts w:eastAsia="Arial"/>
          <w:spacing w:val="-1"/>
        </w:rPr>
        <w:t>A</w:t>
      </w:r>
      <w:r w:rsidRPr="00B022C8">
        <w:rPr>
          <w:rFonts w:eastAsia="Arial"/>
        </w:rPr>
        <w:t>ct</w:t>
      </w:r>
      <w:r w:rsidRPr="00B022C8">
        <w:rPr>
          <w:rFonts w:eastAsia="Arial"/>
          <w:spacing w:val="2"/>
        </w:rPr>
        <w:t xml:space="preserve"> </w:t>
      </w:r>
      <w:r w:rsidRPr="00B022C8">
        <w:rPr>
          <w:rFonts w:eastAsia="Arial"/>
        </w:rPr>
        <w:t>2</w:t>
      </w:r>
      <w:r w:rsidRPr="00B022C8">
        <w:rPr>
          <w:rFonts w:eastAsia="Arial"/>
          <w:spacing w:val="-1"/>
        </w:rPr>
        <w:t>0</w:t>
      </w:r>
      <w:r w:rsidRPr="00B022C8">
        <w:rPr>
          <w:rFonts w:eastAsia="Arial"/>
        </w:rPr>
        <w:t>06</w:t>
      </w:r>
      <w:r w:rsidRPr="00B022C8">
        <w:rPr>
          <w:rFonts w:eastAsia="Arial"/>
          <w:spacing w:val="-2"/>
        </w:rPr>
        <w:t xml:space="preserve"> </w:t>
      </w:r>
      <w:r w:rsidRPr="00B022C8">
        <w:rPr>
          <w:rFonts w:eastAsia="Arial"/>
          <w:spacing w:val="1"/>
        </w:rPr>
        <w:t>(</w:t>
      </w:r>
      <w:r w:rsidRPr="00B022C8">
        <w:rPr>
          <w:rFonts w:eastAsia="Arial"/>
        </w:rPr>
        <w:t>as amend</w:t>
      </w:r>
      <w:r w:rsidRPr="00B022C8">
        <w:rPr>
          <w:rFonts w:eastAsia="Arial"/>
          <w:spacing w:val="-1"/>
        </w:rPr>
        <w:t>e</w:t>
      </w:r>
      <w:r w:rsidRPr="00B022C8">
        <w:rPr>
          <w:rFonts w:eastAsia="Arial"/>
        </w:rPr>
        <w:t>d</w:t>
      </w:r>
      <w:r w:rsidRPr="00B022C8">
        <w:rPr>
          <w:rFonts w:eastAsia="Arial"/>
          <w:spacing w:val="-2"/>
        </w:rPr>
        <w:t>)</w:t>
      </w:r>
      <w:r w:rsidRPr="00B022C8">
        <w:rPr>
          <w:rFonts w:eastAsia="Arial"/>
        </w:rPr>
        <w:t>.</w:t>
      </w:r>
    </w:p>
    <w:p w14:paraId="5D66BA0E" w14:textId="2AA8E241" w:rsidR="006D102A" w:rsidRPr="00B022C8" w:rsidRDefault="006D102A" w:rsidP="006D102A">
      <w:pPr>
        <w:rPr>
          <w:rFonts w:eastAsia="Arial"/>
        </w:rPr>
      </w:pPr>
      <w:r w:rsidRPr="00B022C8">
        <w:rPr>
          <w:rFonts w:eastAsia="Arial"/>
          <w:spacing w:val="2"/>
        </w:rPr>
        <w:t>T</w:t>
      </w:r>
      <w:r w:rsidRPr="00B022C8">
        <w:rPr>
          <w:rFonts w:eastAsia="Arial"/>
        </w:rPr>
        <w:t>h</w:t>
      </w:r>
      <w:r w:rsidRPr="00B022C8">
        <w:rPr>
          <w:rFonts w:eastAsia="Arial"/>
          <w:spacing w:val="-3"/>
        </w:rPr>
        <w:t>e</w:t>
      </w:r>
      <w:r w:rsidRPr="00B022C8">
        <w:rPr>
          <w:rFonts w:eastAsia="Arial"/>
          <w:spacing w:val="1"/>
        </w:rPr>
        <w:t>r</w:t>
      </w:r>
      <w:r w:rsidRPr="00B022C8">
        <w:rPr>
          <w:rFonts w:eastAsia="Arial"/>
        </w:rPr>
        <w:t xml:space="preserve">e </w:t>
      </w:r>
      <w:r w:rsidRPr="00B022C8">
        <w:rPr>
          <w:rFonts w:eastAsia="Arial"/>
          <w:spacing w:val="-2"/>
        </w:rPr>
        <w:t>a</w:t>
      </w:r>
      <w:r w:rsidRPr="00B022C8">
        <w:rPr>
          <w:rFonts w:eastAsia="Arial"/>
          <w:spacing w:val="1"/>
        </w:rPr>
        <w:t>r</w:t>
      </w:r>
      <w:r w:rsidRPr="00B022C8">
        <w:rPr>
          <w:rFonts w:eastAsia="Arial"/>
        </w:rPr>
        <w:t>e s</w:t>
      </w:r>
      <w:r w:rsidRPr="00B022C8">
        <w:rPr>
          <w:rFonts w:eastAsia="Arial"/>
          <w:spacing w:val="-3"/>
        </w:rPr>
        <w:t>i</w:t>
      </w:r>
      <w:r w:rsidRPr="00B022C8">
        <w:rPr>
          <w:rFonts w:eastAsia="Arial"/>
          <w:spacing w:val="2"/>
        </w:rPr>
        <w:t>g</w:t>
      </w:r>
      <w:r w:rsidRPr="00B022C8">
        <w:rPr>
          <w:rFonts w:eastAsia="Arial"/>
        </w:rPr>
        <w:t>n</w:t>
      </w:r>
      <w:r w:rsidRPr="00B022C8">
        <w:rPr>
          <w:rFonts w:eastAsia="Arial"/>
          <w:spacing w:val="-4"/>
        </w:rPr>
        <w:t>i</w:t>
      </w:r>
      <w:r w:rsidRPr="00B022C8">
        <w:rPr>
          <w:rFonts w:eastAsia="Arial"/>
          <w:spacing w:val="3"/>
        </w:rPr>
        <w:t>f</w:t>
      </w:r>
      <w:r w:rsidRPr="00B022C8">
        <w:rPr>
          <w:rFonts w:eastAsia="Arial"/>
          <w:spacing w:val="-1"/>
        </w:rPr>
        <w:t>i</w:t>
      </w:r>
      <w:r w:rsidRPr="00B022C8">
        <w:rPr>
          <w:rFonts w:eastAsia="Arial"/>
        </w:rPr>
        <w:t>ca</w:t>
      </w:r>
      <w:r w:rsidRPr="00B022C8">
        <w:rPr>
          <w:rFonts w:eastAsia="Arial"/>
          <w:spacing w:val="-1"/>
        </w:rPr>
        <w:t>n</w:t>
      </w:r>
      <w:r w:rsidRPr="00B022C8">
        <w:rPr>
          <w:rFonts w:eastAsia="Arial"/>
        </w:rPr>
        <w:t>t</w:t>
      </w:r>
      <w:r w:rsidRPr="00B022C8">
        <w:rPr>
          <w:rFonts w:eastAsia="Arial"/>
          <w:spacing w:val="-2"/>
        </w:rPr>
        <w:t xml:space="preserve"> </w:t>
      </w:r>
      <w:r w:rsidRPr="00B022C8">
        <w:rPr>
          <w:rFonts w:eastAsia="Arial"/>
          <w:spacing w:val="3"/>
        </w:rPr>
        <w:t>f</w:t>
      </w:r>
      <w:r w:rsidRPr="00B022C8">
        <w:rPr>
          <w:rFonts w:eastAsia="Arial"/>
          <w:spacing w:val="-1"/>
        </w:rPr>
        <w:t>i</w:t>
      </w:r>
      <w:r w:rsidRPr="00B022C8">
        <w:rPr>
          <w:rFonts w:eastAsia="Arial"/>
        </w:rPr>
        <w:t>n</w:t>
      </w:r>
      <w:r w:rsidRPr="00B022C8">
        <w:rPr>
          <w:rFonts w:eastAsia="Arial"/>
          <w:spacing w:val="-3"/>
        </w:rPr>
        <w:t>a</w:t>
      </w:r>
      <w:r w:rsidRPr="00B022C8">
        <w:rPr>
          <w:rFonts w:eastAsia="Arial"/>
        </w:rPr>
        <w:t>nc</w:t>
      </w:r>
      <w:r w:rsidRPr="00B022C8">
        <w:rPr>
          <w:rFonts w:eastAsia="Arial"/>
          <w:spacing w:val="-1"/>
        </w:rPr>
        <w:t>i</w:t>
      </w:r>
      <w:r w:rsidRPr="00B022C8">
        <w:rPr>
          <w:rFonts w:eastAsia="Arial"/>
        </w:rPr>
        <w:t>al</w:t>
      </w:r>
      <w:r w:rsidRPr="00B022C8">
        <w:rPr>
          <w:rFonts w:eastAsia="Arial"/>
          <w:spacing w:val="2"/>
        </w:rPr>
        <w:t xml:space="preserve"> </w:t>
      </w:r>
      <w:r w:rsidRPr="00B022C8">
        <w:rPr>
          <w:rFonts w:eastAsia="Arial"/>
        </w:rPr>
        <w:t>ch</w:t>
      </w:r>
      <w:r w:rsidRPr="00B022C8">
        <w:rPr>
          <w:rFonts w:eastAsia="Arial"/>
          <w:spacing w:val="-1"/>
        </w:rPr>
        <w:t>all</w:t>
      </w:r>
      <w:r w:rsidRPr="00B022C8">
        <w:rPr>
          <w:rFonts w:eastAsia="Arial"/>
        </w:rPr>
        <w:t>e</w:t>
      </w:r>
      <w:r w:rsidRPr="00B022C8">
        <w:rPr>
          <w:rFonts w:eastAsia="Arial"/>
          <w:spacing w:val="-1"/>
        </w:rPr>
        <w:t>n</w:t>
      </w:r>
      <w:r w:rsidRPr="00B022C8">
        <w:rPr>
          <w:rFonts w:eastAsia="Arial"/>
          <w:spacing w:val="2"/>
        </w:rPr>
        <w:t>g</w:t>
      </w:r>
      <w:r w:rsidRPr="00B022C8">
        <w:rPr>
          <w:rFonts w:eastAsia="Arial"/>
        </w:rPr>
        <w:t>es</w:t>
      </w:r>
      <w:r w:rsidRPr="00B022C8">
        <w:rPr>
          <w:rFonts w:eastAsia="Arial"/>
          <w:spacing w:val="-2"/>
        </w:rPr>
        <w:t xml:space="preserve"> </w:t>
      </w:r>
      <w:r w:rsidRPr="00B022C8">
        <w:rPr>
          <w:rFonts w:eastAsia="Arial"/>
          <w:spacing w:val="1"/>
        </w:rPr>
        <w:t>t</w:t>
      </w:r>
      <w:r w:rsidRPr="00B022C8">
        <w:rPr>
          <w:rFonts w:eastAsia="Arial"/>
        </w:rPr>
        <w:t>o</w:t>
      </w:r>
      <w:r w:rsidRPr="00B022C8">
        <w:rPr>
          <w:rFonts w:eastAsia="Arial"/>
          <w:spacing w:val="-2"/>
        </w:rPr>
        <w:t xml:space="preserve"> </w:t>
      </w:r>
      <w:r w:rsidRPr="00B022C8">
        <w:rPr>
          <w:rFonts w:eastAsia="Arial"/>
          <w:spacing w:val="1"/>
        </w:rPr>
        <w:t>t</w:t>
      </w:r>
      <w:r w:rsidRPr="00B022C8">
        <w:rPr>
          <w:rFonts w:eastAsia="Arial"/>
        </w:rPr>
        <w:t xml:space="preserve">he </w:t>
      </w:r>
      <w:r w:rsidRPr="00B022C8">
        <w:rPr>
          <w:rFonts w:eastAsia="Arial"/>
          <w:spacing w:val="-3"/>
        </w:rPr>
        <w:t>N</w:t>
      </w:r>
      <w:r w:rsidRPr="00B022C8">
        <w:rPr>
          <w:rFonts w:eastAsia="Arial"/>
          <w:spacing w:val="-1"/>
        </w:rPr>
        <w:t>H</w:t>
      </w:r>
      <w:r w:rsidRPr="00B022C8">
        <w:rPr>
          <w:rFonts w:eastAsia="Arial"/>
        </w:rPr>
        <w:t>S as a</w:t>
      </w:r>
      <w:r w:rsidRPr="00B022C8">
        <w:rPr>
          <w:rFonts w:eastAsia="Arial"/>
          <w:spacing w:val="1"/>
        </w:rPr>
        <w:t xml:space="preserve"> </w:t>
      </w:r>
      <w:r w:rsidRPr="00B022C8">
        <w:rPr>
          <w:rFonts w:eastAsia="Arial"/>
          <w:spacing w:val="-3"/>
        </w:rPr>
        <w:t>w</w:t>
      </w:r>
      <w:r w:rsidRPr="00B022C8">
        <w:rPr>
          <w:rFonts w:eastAsia="Arial"/>
        </w:rPr>
        <w:t>h</w:t>
      </w:r>
      <w:r w:rsidRPr="00B022C8">
        <w:rPr>
          <w:rFonts w:eastAsia="Arial"/>
          <w:spacing w:val="-1"/>
        </w:rPr>
        <w:t>ol</w:t>
      </w:r>
      <w:r w:rsidRPr="00B022C8">
        <w:rPr>
          <w:rFonts w:eastAsia="Arial"/>
          <w:spacing w:val="1"/>
        </w:rPr>
        <w:t>e</w:t>
      </w:r>
      <w:r w:rsidRPr="00B022C8">
        <w:rPr>
          <w:rFonts w:eastAsia="Arial"/>
        </w:rPr>
        <w:t>, driven largely by the C</w:t>
      </w:r>
      <w:r>
        <w:rPr>
          <w:rFonts w:eastAsia="Arial"/>
        </w:rPr>
        <w:t>OVID</w:t>
      </w:r>
      <w:r w:rsidRPr="00B022C8">
        <w:rPr>
          <w:rFonts w:eastAsia="Arial"/>
        </w:rPr>
        <w:t xml:space="preserve">-19 pandemic and the associated pressure on all areas of healthcare. The different financial regime that we have been working within has enabled systems to </w:t>
      </w:r>
      <w:r>
        <w:rPr>
          <w:rFonts w:eastAsia="Arial"/>
        </w:rPr>
        <w:t>maintain delivery of services</w:t>
      </w:r>
      <w:r w:rsidRPr="00B022C8">
        <w:rPr>
          <w:rFonts w:eastAsia="Arial"/>
        </w:rPr>
        <w:t>, however the financial pressure that will be faced in order to achieve recovery targets is likely to be substantial.</w:t>
      </w:r>
      <w:r>
        <w:rPr>
          <w:rFonts w:eastAsia="Arial"/>
        </w:rPr>
        <w:t xml:space="preserve">  During the pandemic there have been significant levels of non-recurrent funding that have been welcomed in order to deal with the emergency, however there will be conseqences for delivering financial performance targets in future years as these funding sources fall away.</w:t>
      </w:r>
    </w:p>
    <w:p w14:paraId="48FC9E40" w14:textId="2BFCA863" w:rsidR="006D102A" w:rsidRPr="00FF5152" w:rsidRDefault="006D102A" w:rsidP="006D102A">
      <w:pPr>
        <w:rPr>
          <w:rFonts w:eastAsia="Arial"/>
        </w:rPr>
      </w:pPr>
      <w:r w:rsidRPr="00FF5152">
        <w:rPr>
          <w:rFonts w:eastAsia="Arial"/>
        </w:rPr>
        <w:t xml:space="preserve">In order to focus on delivering treatment as quickly as possible the previous system of efficiency in NHS Commissioning, namely the Quality, Innovation, Productivity and Prevention or QIPP programme, was suspended for the year. Despite this the CCG has focused on delivering value for money and ensuring robust financial control </w:t>
      </w:r>
      <w:r>
        <w:rPr>
          <w:rFonts w:eastAsia="Arial"/>
        </w:rPr>
        <w:t>whilst dealing with</w:t>
      </w:r>
      <w:r w:rsidRPr="00FF5152">
        <w:rPr>
          <w:rFonts w:eastAsia="Arial"/>
        </w:rPr>
        <w:t xml:space="preserve"> changing and unpredict</w:t>
      </w:r>
      <w:r>
        <w:rPr>
          <w:rFonts w:eastAsia="Arial"/>
        </w:rPr>
        <w:t>a</w:t>
      </w:r>
      <w:r w:rsidRPr="00FF5152">
        <w:rPr>
          <w:rFonts w:eastAsia="Arial"/>
        </w:rPr>
        <w:t>ble circumstances.</w:t>
      </w:r>
    </w:p>
    <w:p w14:paraId="1E4FDE0F" w14:textId="77777777" w:rsidR="006D102A" w:rsidRPr="00F531E7" w:rsidRDefault="006D102A" w:rsidP="006D102A">
      <w:pPr>
        <w:rPr>
          <w:rFonts w:eastAsia="Arial"/>
          <w:spacing w:val="-2"/>
          <w:highlight w:val="yellow"/>
        </w:rPr>
      </w:pPr>
      <w:r w:rsidRPr="00FF5152">
        <w:rPr>
          <w:rFonts w:eastAsia="Arial"/>
          <w:spacing w:val="2"/>
        </w:rPr>
        <w:t>NHS Hull CCG’s</w:t>
      </w:r>
      <w:r w:rsidRPr="00FF5152">
        <w:rPr>
          <w:rFonts w:eastAsia="Arial"/>
          <w:spacing w:val="-2"/>
        </w:rPr>
        <w:t xml:space="preserve"> </w:t>
      </w:r>
      <w:r w:rsidRPr="00FF5152">
        <w:rPr>
          <w:rFonts w:eastAsia="Arial"/>
          <w:spacing w:val="-1"/>
        </w:rPr>
        <w:t>A</w:t>
      </w:r>
      <w:r w:rsidRPr="00FF5152">
        <w:rPr>
          <w:rFonts w:eastAsia="Arial"/>
        </w:rPr>
        <w:t>n</w:t>
      </w:r>
      <w:r w:rsidRPr="00FF5152">
        <w:rPr>
          <w:rFonts w:eastAsia="Arial"/>
          <w:spacing w:val="-1"/>
        </w:rPr>
        <w:t>n</w:t>
      </w:r>
      <w:r w:rsidRPr="00FF5152">
        <w:rPr>
          <w:rFonts w:eastAsia="Arial"/>
        </w:rPr>
        <w:t>u</w:t>
      </w:r>
      <w:r w:rsidRPr="00FF5152">
        <w:rPr>
          <w:rFonts w:eastAsia="Arial"/>
          <w:spacing w:val="-1"/>
        </w:rPr>
        <w:t>a</w:t>
      </w:r>
      <w:r w:rsidRPr="00FF5152">
        <w:rPr>
          <w:rFonts w:eastAsia="Arial"/>
        </w:rPr>
        <w:t xml:space="preserve">l </w:t>
      </w:r>
      <w:r w:rsidRPr="00FF5152">
        <w:rPr>
          <w:rFonts w:eastAsia="Arial"/>
          <w:spacing w:val="-1"/>
        </w:rPr>
        <w:t>R</w:t>
      </w:r>
      <w:r w:rsidRPr="00FF5152">
        <w:rPr>
          <w:rFonts w:eastAsia="Arial"/>
        </w:rPr>
        <w:t>e</w:t>
      </w:r>
      <w:r w:rsidRPr="00FF5152">
        <w:rPr>
          <w:rFonts w:eastAsia="Arial"/>
          <w:spacing w:val="-1"/>
        </w:rPr>
        <w:t>p</w:t>
      </w:r>
      <w:r w:rsidRPr="00FF5152">
        <w:rPr>
          <w:rFonts w:eastAsia="Arial"/>
        </w:rPr>
        <w:t>ort a</w:t>
      </w:r>
      <w:r w:rsidRPr="00FF5152">
        <w:rPr>
          <w:rFonts w:eastAsia="Arial"/>
          <w:spacing w:val="-1"/>
        </w:rPr>
        <w:t>n</w:t>
      </w:r>
      <w:r w:rsidRPr="00FF5152">
        <w:rPr>
          <w:rFonts w:eastAsia="Arial"/>
        </w:rPr>
        <w:t>d</w:t>
      </w:r>
      <w:r w:rsidRPr="00FF5152">
        <w:rPr>
          <w:rFonts w:eastAsia="Arial"/>
          <w:spacing w:val="-4"/>
        </w:rPr>
        <w:t xml:space="preserve"> </w:t>
      </w:r>
      <w:r w:rsidRPr="00FF5152">
        <w:rPr>
          <w:rFonts w:eastAsia="Arial"/>
          <w:spacing w:val="-1"/>
        </w:rPr>
        <w:t>A</w:t>
      </w:r>
      <w:r w:rsidRPr="00FF5152">
        <w:rPr>
          <w:rFonts w:eastAsia="Arial"/>
        </w:rPr>
        <w:t>cco</w:t>
      </w:r>
      <w:r w:rsidRPr="00FF5152">
        <w:rPr>
          <w:rFonts w:eastAsia="Arial"/>
          <w:spacing w:val="-1"/>
        </w:rPr>
        <w:t>u</w:t>
      </w:r>
      <w:r w:rsidRPr="00FF5152">
        <w:rPr>
          <w:rFonts w:eastAsia="Arial"/>
        </w:rPr>
        <w:t>nts</w:t>
      </w:r>
      <w:r w:rsidRPr="00FF5152">
        <w:rPr>
          <w:rFonts w:eastAsia="Arial"/>
          <w:spacing w:val="2"/>
        </w:rPr>
        <w:t xml:space="preserve"> </w:t>
      </w:r>
      <w:r w:rsidRPr="00FF5152">
        <w:rPr>
          <w:rFonts w:eastAsia="Arial"/>
        </w:rPr>
        <w:t>h</w:t>
      </w:r>
      <w:r w:rsidRPr="00FF5152">
        <w:rPr>
          <w:rFonts w:eastAsia="Arial"/>
          <w:spacing w:val="-1"/>
        </w:rPr>
        <w:t>a</w:t>
      </w:r>
      <w:r w:rsidRPr="00FF5152">
        <w:rPr>
          <w:rFonts w:eastAsia="Arial"/>
          <w:spacing w:val="-2"/>
        </w:rPr>
        <w:t>v</w:t>
      </w:r>
      <w:r w:rsidRPr="00FF5152">
        <w:rPr>
          <w:rFonts w:eastAsia="Arial"/>
        </w:rPr>
        <w:t>e been</w:t>
      </w:r>
      <w:r w:rsidRPr="00FF5152">
        <w:rPr>
          <w:rFonts w:eastAsia="Arial"/>
          <w:spacing w:val="-2"/>
        </w:rPr>
        <w:t xml:space="preserve"> </w:t>
      </w:r>
      <w:r w:rsidRPr="00FF5152">
        <w:rPr>
          <w:rFonts w:eastAsia="Arial"/>
        </w:rPr>
        <w:t>pr</w:t>
      </w:r>
      <w:r w:rsidRPr="00FF5152">
        <w:rPr>
          <w:rFonts w:eastAsia="Arial"/>
          <w:spacing w:val="-2"/>
        </w:rPr>
        <w:t>e</w:t>
      </w:r>
      <w:r w:rsidRPr="00FF5152">
        <w:rPr>
          <w:rFonts w:eastAsia="Arial"/>
        </w:rPr>
        <w:t>p</w:t>
      </w:r>
      <w:r w:rsidRPr="00FF5152">
        <w:rPr>
          <w:rFonts w:eastAsia="Arial"/>
          <w:spacing w:val="-1"/>
        </w:rPr>
        <w:t>a</w:t>
      </w:r>
      <w:r w:rsidRPr="00FF5152">
        <w:rPr>
          <w:rFonts w:eastAsia="Arial"/>
          <w:spacing w:val="1"/>
        </w:rPr>
        <w:t>r</w:t>
      </w:r>
      <w:r w:rsidRPr="00FF5152">
        <w:rPr>
          <w:rFonts w:eastAsia="Arial"/>
        </w:rPr>
        <w:t>ed on</w:t>
      </w:r>
      <w:r w:rsidRPr="00FF5152">
        <w:rPr>
          <w:rFonts w:eastAsia="Arial"/>
          <w:spacing w:val="-2"/>
        </w:rPr>
        <w:t xml:space="preserve"> </w:t>
      </w:r>
      <w:r w:rsidRPr="00FF5152">
        <w:rPr>
          <w:rFonts w:eastAsia="Arial"/>
        </w:rPr>
        <w:t>a</w:t>
      </w:r>
      <w:r w:rsidRPr="00FF5152">
        <w:rPr>
          <w:rFonts w:eastAsia="Arial"/>
          <w:spacing w:val="-2"/>
        </w:rPr>
        <w:t xml:space="preserve"> </w:t>
      </w:r>
      <w:r w:rsidRPr="00FF5152">
        <w:rPr>
          <w:rFonts w:eastAsia="Arial"/>
          <w:spacing w:val="1"/>
        </w:rPr>
        <w:t>G</w:t>
      </w:r>
      <w:r w:rsidRPr="00FF5152">
        <w:rPr>
          <w:rFonts w:eastAsia="Arial"/>
        </w:rPr>
        <w:t>o</w:t>
      </w:r>
      <w:r w:rsidRPr="00FF5152">
        <w:rPr>
          <w:rFonts w:eastAsia="Arial"/>
          <w:spacing w:val="-1"/>
        </w:rPr>
        <w:t>in</w:t>
      </w:r>
      <w:r w:rsidRPr="00FF5152">
        <w:rPr>
          <w:rFonts w:eastAsia="Arial"/>
        </w:rPr>
        <w:t>g</w:t>
      </w:r>
      <w:r w:rsidRPr="00FF5152">
        <w:rPr>
          <w:rFonts w:eastAsia="Arial"/>
          <w:spacing w:val="3"/>
        </w:rPr>
        <w:t xml:space="preserve"> </w:t>
      </w:r>
      <w:r w:rsidRPr="00FF5152">
        <w:rPr>
          <w:rFonts w:eastAsia="Arial"/>
          <w:spacing w:val="-1"/>
        </w:rPr>
        <w:t>C</w:t>
      </w:r>
      <w:r w:rsidRPr="00FF5152">
        <w:rPr>
          <w:rFonts w:eastAsia="Arial"/>
        </w:rPr>
        <w:t>o</w:t>
      </w:r>
      <w:r w:rsidRPr="00FF5152">
        <w:rPr>
          <w:rFonts w:eastAsia="Arial"/>
          <w:spacing w:val="-1"/>
        </w:rPr>
        <w:t>n</w:t>
      </w:r>
      <w:r w:rsidRPr="00FF5152">
        <w:rPr>
          <w:rFonts w:eastAsia="Arial"/>
        </w:rPr>
        <w:t>c</w:t>
      </w:r>
      <w:r w:rsidRPr="00FF5152">
        <w:rPr>
          <w:rFonts w:eastAsia="Arial"/>
          <w:spacing w:val="-3"/>
        </w:rPr>
        <w:t>e</w:t>
      </w:r>
      <w:r w:rsidRPr="00FF5152">
        <w:rPr>
          <w:rFonts w:eastAsia="Arial"/>
          <w:spacing w:val="1"/>
        </w:rPr>
        <w:t>r</w:t>
      </w:r>
      <w:r w:rsidRPr="00FF5152">
        <w:rPr>
          <w:rFonts w:eastAsia="Arial"/>
        </w:rPr>
        <w:t>n bas</w:t>
      </w:r>
      <w:r w:rsidRPr="00FF5152">
        <w:rPr>
          <w:rFonts w:eastAsia="Arial"/>
          <w:spacing w:val="-1"/>
        </w:rPr>
        <w:t>i</w:t>
      </w:r>
      <w:r w:rsidRPr="00FF5152">
        <w:rPr>
          <w:rFonts w:eastAsia="Arial"/>
          <w:spacing w:val="-2"/>
        </w:rPr>
        <w:t>s.</w:t>
      </w:r>
      <w:r>
        <w:rPr>
          <w:rFonts w:eastAsia="Arial"/>
          <w:spacing w:val="-2"/>
        </w:rPr>
        <w:t xml:space="preserve"> </w:t>
      </w:r>
    </w:p>
    <w:p w14:paraId="358D386C" w14:textId="77777777" w:rsidR="004A5984" w:rsidRDefault="004A5984" w:rsidP="00E842F5">
      <w:pPr>
        <w:rPr>
          <w:b/>
          <w:bCs/>
        </w:rPr>
      </w:pPr>
      <w:bookmarkStart w:id="68" w:name="_Toc481760947"/>
      <w:bookmarkStart w:id="69" w:name="_Toc512957156"/>
    </w:p>
    <w:p w14:paraId="5A840390" w14:textId="77777777" w:rsidR="004A5984" w:rsidRDefault="004A5984" w:rsidP="00E842F5">
      <w:pPr>
        <w:rPr>
          <w:b/>
          <w:bCs/>
        </w:rPr>
      </w:pPr>
    </w:p>
    <w:p w14:paraId="7906B2FF" w14:textId="05BA6366" w:rsidR="006D102A" w:rsidRPr="00E842F5" w:rsidRDefault="006D102A" w:rsidP="00E842F5">
      <w:pPr>
        <w:rPr>
          <w:b/>
          <w:bCs/>
        </w:rPr>
      </w:pPr>
      <w:r w:rsidRPr="00E842F5">
        <w:rPr>
          <w:b/>
          <w:bCs/>
        </w:rPr>
        <w:lastRenderedPageBreak/>
        <w:t>Managing our resources 2022-23 and beyond</w:t>
      </w:r>
      <w:bookmarkEnd w:id="66"/>
      <w:bookmarkEnd w:id="67"/>
      <w:bookmarkEnd w:id="68"/>
      <w:bookmarkEnd w:id="69"/>
      <w:r w:rsidRPr="00E842F5">
        <w:rPr>
          <w:b/>
          <w:bCs/>
        </w:rPr>
        <w:t xml:space="preserve"> </w:t>
      </w:r>
    </w:p>
    <w:p w14:paraId="110DE0C4" w14:textId="47511C6E" w:rsidR="006D102A" w:rsidRPr="006D102A" w:rsidRDefault="006D102A" w:rsidP="006D102A">
      <w:pPr>
        <w:rPr>
          <w:rFonts w:eastAsia="Arial" w:cs="Arial"/>
          <w:spacing w:val="-1"/>
        </w:rPr>
      </w:pPr>
      <w:r w:rsidRPr="0034173D">
        <w:rPr>
          <w:rFonts w:eastAsia="Arial"/>
          <w:spacing w:val="-1"/>
        </w:rPr>
        <w:t>The annual NHS finance and operational planning round requires the Integrated Care Board (ICB) to work together to produce balanced plans for the financial year 2022-23. A single funding envelop</w:t>
      </w:r>
      <w:r>
        <w:rPr>
          <w:rFonts w:eastAsia="Arial"/>
          <w:spacing w:val="-1"/>
        </w:rPr>
        <w:t>e</w:t>
      </w:r>
      <w:r w:rsidRPr="0034173D">
        <w:rPr>
          <w:rFonts w:eastAsia="Arial"/>
          <w:spacing w:val="-1"/>
        </w:rPr>
        <w:t xml:space="preserve"> of </w:t>
      </w:r>
      <w:r w:rsidRPr="006D102A">
        <w:rPr>
          <w:rFonts w:eastAsia="Arial" w:cs="Arial"/>
          <w:spacing w:val="-1"/>
        </w:rPr>
        <w:t xml:space="preserve">£3.3bn for the ICB 2022-23 has been published. Due to the planned transition of the six CCGs in the Humber and North Yorkshire area merging to become part of the Humber and North Yorkshire Health and Care Partnership from 1 July 2022, these plans are seperated into a 3 month period and a 9 month period.  </w:t>
      </w:r>
    </w:p>
    <w:p w14:paraId="5C748A0E" w14:textId="6A3EC6A9" w:rsidR="006D102A" w:rsidRPr="006D102A" w:rsidRDefault="006D102A" w:rsidP="006D102A">
      <w:pPr>
        <w:tabs>
          <w:tab w:val="clear" w:pos="2835"/>
          <w:tab w:val="clear" w:pos="5670"/>
          <w:tab w:val="clear" w:pos="9016"/>
        </w:tabs>
        <w:autoSpaceDE w:val="0"/>
        <w:autoSpaceDN w:val="0"/>
        <w:adjustRightInd w:val="0"/>
        <w:spacing w:before="0" w:after="0"/>
        <w:rPr>
          <w:rFonts w:eastAsia="Arial" w:cs="Arial"/>
          <w:spacing w:val="-1"/>
        </w:rPr>
      </w:pPr>
      <w:r w:rsidRPr="006D102A">
        <w:rPr>
          <w:rFonts w:eastAsia="Arial" w:cs="Arial"/>
          <w:spacing w:val="-1"/>
        </w:rPr>
        <w:t>Following the consultation document published on 24</w:t>
      </w:r>
      <w:r>
        <w:rPr>
          <w:rFonts w:eastAsia="Arial" w:cs="Arial"/>
          <w:spacing w:val="-1"/>
          <w:vertAlign w:val="superscript"/>
        </w:rPr>
        <w:t xml:space="preserve"> </w:t>
      </w:r>
      <w:r w:rsidRPr="006D102A">
        <w:rPr>
          <w:rFonts w:eastAsia="Arial" w:cs="Arial"/>
          <w:spacing w:val="-1"/>
        </w:rPr>
        <w:t>No</w:t>
      </w:r>
      <w:r>
        <w:rPr>
          <w:rFonts w:eastAsia="Arial" w:cs="Arial"/>
          <w:spacing w:val="-1"/>
        </w:rPr>
        <w:t>v</w:t>
      </w:r>
      <w:r w:rsidRPr="006D102A">
        <w:rPr>
          <w:rFonts w:eastAsia="Arial" w:cs="Arial"/>
          <w:spacing w:val="-1"/>
        </w:rPr>
        <w:t xml:space="preserve">ember 2020 on Integrating Care: Next Steps for Integrated Care Systems (ICSs) and the proposed legislative changes aimed at removing barriers to integration across health bodies and with social care, the </w:t>
      </w:r>
      <w:r>
        <w:rPr>
          <w:rFonts w:eastAsia="Arial" w:cs="Arial"/>
          <w:spacing w:val="-1"/>
        </w:rPr>
        <w:t>f</w:t>
      </w:r>
      <w:r w:rsidRPr="006D102A">
        <w:rPr>
          <w:rFonts w:eastAsia="Arial" w:cs="Arial"/>
          <w:spacing w:val="-1"/>
        </w:rPr>
        <w:t xml:space="preserve">inance leaders across the Humber and North Yorkshire Health and Care Partnership have been working together to plan for the transition in order to ensure the smooth implementation of the legislative changes. </w:t>
      </w:r>
    </w:p>
    <w:p w14:paraId="7DE12688" w14:textId="77777777" w:rsidR="006D102A" w:rsidRPr="006D102A" w:rsidRDefault="006D102A" w:rsidP="006D102A">
      <w:pPr>
        <w:tabs>
          <w:tab w:val="clear" w:pos="2835"/>
          <w:tab w:val="clear" w:pos="5670"/>
          <w:tab w:val="clear" w:pos="9016"/>
        </w:tabs>
        <w:autoSpaceDE w:val="0"/>
        <w:autoSpaceDN w:val="0"/>
        <w:adjustRightInd w:val="0"/>
        <w:spacing w:before="0" w:after="0"/>
        <w:rPr>
          <w:rFonts w:eastAsia="Arial" w:cs="Arial"/>
          <w:spacing w:val="-1"/>
        </w:rPr>
      </w:pPr>
    </w:p>
    <w:p w14:paraId="41901B61" w14:textId="677633F2" w:rsidR="006D102A" w:rsidRPr="006D102A" w:rsidRDefault="006D102A" w:rsidP="006D102A">
      <w:pPr>
        <w:tabs>
          <w:tab w:val="clear" w:pos="2835"/>
          <w:tab w:val="clear" w:pos="5670"/>
          <w:tab w:val="clear" w:pos="9016"/>
        </w:tabs>
        <w:autoSpaceDE w:val="0"/>
        <w:autoSpaceDN w:val="0"/>
        <w:adjustRightInd w:val="0"/>
        <w:spacing w:before="0" w:after="0"/>
        <w:rPr>
          <w:rFonts w:eastAsia="Arial" w:cs="Arial"/>
          <w:spacing w:val="-1"/>
        </w:rPr>
      </w:pPr>
      <w:r w:rsidRPr="006D102A">
        <w:rPr>
          <w:rFonts w:eastAsia="Arial" w:cs="Arial"/>
          <w:spacing w:val="-1"/>
        </w:rPr>
        <w:t>The recovery of the NHS following the C</w:t>
      </w:r>
      <w:r>
        <w:rPr>
          <w:rFonts w:eastAsia="Arial" w:cs="Arial"/>
          <w:spacing w:val="-1"/>
        </w:rPr>
        <w:t>OVID</w:t>
      </w:r>
      <w:r w:rsidRPr="006D102A">
        <w:rPr>
          <w:rFonts w:eastAsia="Arial" w:cs="Arial"/>
          <w:spacing w:val="-1"/>
        </w:rPr>
        <w:t xml:space="preserve"> pandemic</w:t>
      </w:r>
      <w:r>
        <w:rPr>
          <w:rFonts w:eastAsia="Arial" w:cs="Arial"/>
          <w:spacing w:val="-1"/>
        </w:rPr>
        <w:t>,</w:t>
      </w:r>
      <w:r w:rsidRPr="006D102A">
        <w:rPr>
          <w:rFonts w:eastAsia="Arial" w:cs="Arial"/>
          <w:spacing w:val="-1"/>
        </w:rPr>
        <w:t xml:space="preserve"> whi</w:t>
      </w:r>
      <w:r>
        <w:rPr>
          <w:rFonts w:eastAsia="Arial" w:cs="Arial"/>
          <w:spacing w:val="-1"/>
        </w:rPr>
        <w:t>l</w:t>
      </w:r>
      <w:r w:rsidRPr="006D102A">
        <w:rPr>
          <w:rFonts w:eastAsia="Arial" w:cs="Arial"/>
          <w:spacing w:val="-1"/>
        </w:rPr>
        <w:t>st balancing this with the financial pressures faced</w:t>
      </w:r>
      <w:r>
        <w:rPr>
          <w:rFonts w:eastAsia="Arial" w:cs="Arial"/>
          <w:spacing w:val="-1"/>
        </w:rPr>
        <w:t>,</w:t>
      </w:r>
      <w:r w:rsidRPr="006D102A">
        <w:rPr>
          <w:rFonts w:eastAsia="Arial" w:cs="Arial"/>
          <w:spacing w:val="-1"/>
        </w:rPr>
        <w:t xml:space="preserve"> remains a significant challenge, and will be the main focus of the early years of the ICB. The challenges and ambitions set out in the NHS Long Term Plan will continue to be a key focus of the ICB. This work is guided by the following principles</w:t>
      </w:r>
    </w:p>
    <w:p w14:paraId="50772856" w14:textId="77777777" w:rsidR="006D102A" w:rsidRPr="006D102A" w:rsidRDefault="006D102A" w:rsidP="006D102A">
      <w:pPr>
        <w:tabs>
          <w:tab w:val="clear" w:pos="2835"/>
          <w:tab w:val="clear" w:pos="5670"/>
          <w:tab w:val="clear" w:pos="9016"/>
        </w:tabs>
        <w:autoSpaceDE w:val="0"/>
        <w:autoSpaceDN w:val="0"/>
        <w:adjustRightInd w:val="0"/>
        <w:spacing w:before="0" w:after="0"/>
        <w:rPr>
          <w:rFonts w:eastAsia="Arial" w:cs="Arial"/>
          <w:spacing w:val="-1"/>
        </w:rPr>
      </w:pPr>
    </w:p>
    <w:p w14:paraId="06534BC1" w14:textId="77777777" w:rsidR="006D102A" w:rsidRPr="006D102A" w:rsidRDefault="006D102A" w:rsidP="006D102A">
      <w:pPr>
        <w:tabs>
          <w:tab w:val="clear" w:pos="2835"/>
          <w:tab w:val="clear" w:pos="5670"/>
          <w:tab w:val="clear" w:pos="9016"/>
        </w:tabs>
        <w:autoSpaceDE w:val="0"/>
        <w:autoSpaceDN w:val="0"/>
        <w:adjustRightInd w:val="0"/>
        <w:spacing w:before="0" w:after="0"/>
        <w:ind w:left="851" w:hanging="131"/>
        <w:rPr>
          <w:rFonts w:eastAsiaTheme="minorHAnsi" w:cs="Arial"/>
          <w:noProof w:val="0"/>
          <w:lang w:eastAsia="en-US"/>
        </w:rPr>
      </w:pPr>
      <w:r w:rsidRPr="006D102A">
        <w:rPr>
          <w:rFonts w:eastAsiaTheme="minorHAnsi" w:cs="Arial"/>
          <w:noProof w:val="0"/>
          <w:lang w:eastAsia="en-US"/>
        </w:rPr>
        <w:t xml:space="preserve">• </w:t>
      </w:r>
      <w:r w:rsidRPr="006D102A">
        <w:rPr>
          <w:rFonts w:eastAsiaTheme="minorHAnsi" w:cs="Arial"/>
          <w:bCs/>
          <w:noProof w:val="0"/>
          <w:lang w:eastAsia="en-US"/>
        </w:rPr>
        <w:t xml:space="preserve">decisions taken closer to the communities </w:t>
      </w:r>
      <w:r w:rsidRPr="006D102A">
        <w:rPr>
          <w:rFonts w:eastAsiaTheme="minorHAnsi" w:cs="Arial"/>
          <w:noProof w:val="0"/>
          <w:lang w:eastAsia="en-US"/>
        </w:rPr>
        <w:t>they affect are likely to lead to better outcomes.</w:t>
      </w:r>
    </w:p>
    <w:p w14:paraId="448DDCCA" w14:textId="77777777" w:rsidR="006D102A" w:rsidRPr="006D102A" w:rsidRDefault="006D102A" w:rsidP="006D102A">
      <w:pPr>
        <w:tabs>
          <w:tab w:val="clear" w:pos="2835"/>
          <w:tab w:val="clear" w:pos="5670"/>
          <w:tab w:val="clear" w:pos="9016"/>
        </w:tabs>
        <w:autoSpaceDE w:val="0"/>
        <w:autoSpaceDN w:val="0"/>
        <w:adjustRightInd w:val="0"/>
        <w:spacing w:before="0" w:after="0"/>
        <w:ind w:left="851" w:hanging="131"/>
        <w:rPr>
          <w:rFonts w:eastAsiaTheme="minorHAnsi" w:cs="Arial"/>
          <w:noProof w:val="0"/>
          <w:lang w:eastAsia="en-US"/>
        </w:rPr>
      </w:pPr>
      <w:r w:rsidRPr="006D102A">
        <w:rPr>
          <w:rFonts w:eastAsiaTheme="minorHAnsi" w:cs="Arial"/>
          <w:noProof w:val="0"/>
          <w:lang w:eastAsia="en-US"/>
        </w:rPr>
        <w:t xml:space="preserve">• </w:t>
      </w:r>
      <w:r w:rsidRPr="006D102A">
        <w:rPr>
          <w:rFonts w:eastAsiaTheme="minorHAnsi" w:cs="Arial"/>
          <w:bCs/>
          <w:noProof w:val="0"/>
          <w:lang w:eastAsia="en-US"/>
        </w:rPr>
        <w:t xml:space="preserve">collaboration between partners in a place </w:t>
      </w:r>
      <w:r w:rsidRPr="006D102A">
        <w:rPr>
          <w:rFonts w:eastAsiaTheme="minorHAnsi" w:cs="Arial"/>
          <w:noProof w:val="0"/>
          <w:lang w:eastAsia="en-US"/>
        </w:rPr>
        <w:t>across health, care services, public health, and voluntary sector can overcome competing objectives and separate funding flows to help address health inequalities, improve outcomes, and deliver joined-up, efficient services for people; and</w:t>
      </w:r>
    </w:p>
    <w:p w14:paraId="115C1BA2" w14:textId="77777777" w:rsidR="006D102A" w:rsidRPr="006D102A" w:rsidRDefault="006D102A" w:rsidP="006D102A">
      <w:pPr>
        <w:tabs>
          <w:tab w:val="clear" w:pos="2835"/>
          <w:tab w:val="clear" w:pos="5670"/>
          <w:tab w:val="clear" w:pos="9016"/>
        </w:tabs>
        <w:autoSpaceDE w:val="0"/>
        <w:autoSpaceDN w:val="0"/>
        <w:adjustRightInd w:val="0"/>
        <w:spacing w:before="0" w:after="0"/>
        <w:ind w:left="851" w:hanging="131"/>
        <w:rPr>
          <w:rFonts w:eastAsiaTheme="minorHAnsi" w:cs="Arial"/>
          <w:noProof w:val="0"/>
          <w:lang w:eastAsia="en-US"/>
        </w:rPr>
      </w:pPr>
      <w:r w:rsidRPr="006D102A">
        <w:rPr>
          <w:rFonts w:eastAsiaTheme="minorHAnsi" w:cs="Arial"/>
          <w:noProof w:val="0"/>
          <w:lang w:eastAsia="en-US"/>
        </w:rPr>
        <w:t xml:space="preserve">• </w:t>
      </w:r>
      <w:r w:rsidRPr="006D102A">
        <w:rPr>
          <w:rFonts w:eastAsiaTheme="minorHAnsi" w:cs="Arial"/>
          <w:bCs/>
          <w:noProof w:val="0"/>
          <w:lang w:eastAsia="en-US"/>
        </w:rPr>
        <w:t xml:space="preserve">collaboration between providers </w:t>
      </w:r>
      <w:r w:rsidRPr="006D102A">
        <w:rPr>
          <w:rFonts w:eastAsiaTheme="minorHAnsi" w:cs="Arial"/>
          <w:noProof w:val="0"/>
          <w:lang w:eastAsia="en-US"/>
        </w:rPr>
        <w:t>(ambulance, hospital and mental health) across larger</w:t>
      </w:r>
    </w:p>
    <w:p w14:paraId="26857506" w14:textId="51AF118D" w:rsidR="00135206" w:rsidRPr="006D102A" w:rsidRDefault="006D102A" w:rsidP="006D102A">
      <w:pPr>
        <w:tabs>
          <w:tab w:val="clear" w:pos="2835"/>
          <w:tab w:val="clear" w:pos="5670"/>
          <w:tab w:val="clear" w:pos="9016"/>
        </w:tabs>
        <w:autoSpaceDE w:val="0"/>
        <w:autoSpaceDN w:val="0"/>
        <w:adjustRightInd w:val="0"/>
        <w:spacing w:before="0" w:after="0"/>
        <w:ind w:left="851"/>
        <w:rPr>
          <w:rFonts w:eastAsiaTheme="minorHAnsi" w:cs="Arial"/>
          <w:noProof w:val="0"/>
          <w:lang w:eastAsia="en-US"/>
        </w:rPr>
      </w:pPr>
      <w:r w:rsidRPr="006D102A">
        <w:rPr>
          <w:rFonts w:eastAsiaTheme="minorHAnsi" w:cs="Arial"/>
          <w:noProof w:val="0"/>
          <w:lang w:eastAsia="en-US"/>
        </w:rPr>
        <w:t>geographic footprints is likely to be more effective than competition in sustaining high quality care, tackling unequal access to services, and enhancing productivity.</w:t>
      </w:r>
      <w:bookmarkStart w:id="70" w:name="_Toc41479076"/>
    </w:p>
    <w:bookmarkEnd w:id="70"/>
    <w:p w14:paraId="5387FBD2" w14:textId="77777777" w:rsidR="0036791D" w:rsidRDefault="0036791D">
      <w:pPr>
        <w:tabs>
          <w:tab w:val="clear" w:pos="2835"/>
          <w:tab w:val="clear" w:pos="5670"/>
          <w:tab w:val="clear" w:pos="9016"/>
        </w:tabs>
        <w:spacing w:before="0" w:after="200"/>
        <w:rPr>
          <w:rFonts w:eastAsia="Arial" w:cs="Arial"/>
          <w:b/>
          <w:bCs/>
          <w:color w:val="548DD4" w:themeColor="text2" w:themeTint="99"/>
          <w:sz w:val="28"/>
          <w:szCs w:val="28"/>
          <w:lang w:val="en-US"/>
        </w:rPr>
      </w:pPr>
      <w:r>
        <w:br w:type="page"/>
      </w:r>
    </w:p>
    <w:p w14:paraId="1D1652D3" w14:textId="5D92605F" w:rsidR="0092261D" w:rsidRPr="00E842F5" w:rsidRDefault="0092261D" w:rsidP="00B71FAD">
      <w:pPr>
        <w:pStyle w:val="Heading2"/>
      </w:pPr>
      <w:bookmarkStart w:id="71" w:name="_Toc103695037"/>
      <w:r w:rsidRPr="00E842F5">
        <w:lastRenderedPageBreak/>
        <w:t xml:space="preserve">Sustainability Report </w:t>
      </w:r>
      <w:r w:rsidR="00A64440" w:rsidRPr="00E842F5">
        <w:t>2021-22</w:t>
      </w:r>
      <w:bookmarkEnd w:id="71"/>
      <w:r w:rsidRPr="00E842F5">
        <w:rPr>
          <w:rStyle w:val="Heading1Char"/>
          <w:rFonts w:cs="Arial"/>
          <w:b/>
          <w:bCs/>
          <w:color w:val="548DD4" w:themeColor="text2" w:themeTint="99"/>
          <w:spacing w:val="0"/>
          <w:sz w:val="28"/>
        </w:rPr>
        <w:t xml:space="preserve"> </w:t>
      </w:r>
    </w:p>
    <w:p w14:paraId="7C877B1F" w14:textId="77777777" w:rsidR="004029B4" w:rsidRPr="004029B4" w:rsidRDefault="004029B4" w:rsidP="004029B4">
      <w:pPr>
        <w:rPr>
          <w:b/>
          <w:bCs/>
        </w:rPr>
      </w:pPr>
      <w:bookmarkStart w:id="72" w:name="_Toc512957159"/>
      <w:r w:rsidRPr="004029B4">
        <w:rPr>
          <w:b/>
          <w:bCs/>
        </w:rPr>
        <w:t>Introduction</w:t>
      </w:r>
    </w:p>
    <w:p w14:paraId="748B44E0" w14:textId="77777777" w:rsidR="004029B4" w:rsidRDefault="004029B4" w:rsidP="004029B4">
      <w:r>
        <w:t>As an NHS organisation, and as a spender of public funds, we have an obligation to work in a way that has a positive effect on the communities for which we commission and procure healthcare services. Sustainability means spending public money well, the smart and efficient use of natural resources and building healthy, resilient communities.  By making the most of social, environmental and economic assets we can improve health both in the immediate and long term even in the context of rising cost of natural resources. Spending money well and considering the social and environmental impacts is enshrined in the Public Services (Social Value) Act (2012).</w:t>
      </w:r>
    </w:p>
    <w:p w14:paraId="1DDE45E1" w14:textId="77777777" w:rsidR="004029B4" w:rsidRDefault="004029B4" w:rsidP="004029B4">
      <w:r>
        <w:t>We acknowledge this responsibility to our patients, local communities and the environment by working hard to minimise our footprint.</w:t>
      </w:r>
    </w:p>
    <w:p w14:paraId="732B8FFE" w14:textId="77777777" w:rsidR="004029B4" w:rsidRPr="004029B4" w:rsidRDefault="004029B4" w:rsidP="004029B4">
      <w:pPr>
        <w:rPr>
          <w:b/>
          <w:bCs/>
        </w:rPr>
      </w:pPr>
      <w:r w:rsidRPr="004029B4">
        <w:rPr>
          <w:b/>
          <w:bCs/>
        </w:rPr>
        <w:t>Policies</w:t>
      </w:r>
    </w:p>
    <w:p w14:paraId="693FF982" w14:textId="77777777" w:rsidR="004029B4" w:rsidRDefault="004029B4" w:rsidP="004029B4">
      <w:r>
        <w:t>In order to embed sustainability within our business it is important to explain where in our process and procedures sustainability features.</w:t>
      </w:r>
    </w:p>
    <w:tbl>
      <w:tblPr>
        <w:tblW w:w="9351" w:type="dxa"/>
        <w:tblInd w:w="98" w:type="dxa"/>
        <w:tblLook w:val="04A0" w:firstRow="1" w:lastRow="0" w:firstColumn="1" w:lastColumn="0" w:noHBand="0" w:noVBand="1"/>
      </w:tblPr>
      <w:tblGrid>
        <w:gridCol w:w="5195"/>
        <w:gridCol w:w="4156"/>
        <w:gridCol w:w="222"/>
      </w:tblGrid>
      <w:tr w:rsidR="004029B4" w14:paraId="2299C5CC" w14:textId="77777777" w:rsidTr="004029B4">
        <w:trPr>
          <w:gridAfter w:val="1"/>
          <w:trHeight w:val="342"/>
        </w:trPr>
        <w:tc>
          <w:tcPr>
            <w:tcW w:w="5195" w:type="dxa"/>
            <w:tcBorders>
              <w:top w:val="single" w:sz="8" w:space="0" w:color="auto"/>
              <w:left w:val="single" w:sz="8" w:space="0" w:color="auto"/>
              <w:bottom w:val="single" w:sz="8" w:space="0" w:color="auto"/>
              <w:right w:val="single" w:sz="4" w:space="0" w:color="auto"/>
            </w:tcBorders>
            <w:shd w:val="clear" w:color="auto" w:fill="B8CCE4" w:themeFill="accent1" w:themeFillTint="66"/>
            <w:hideMark/>
          </w:tcPr>
          <w:p w14:paraId="5653E257" w14:textId="77777777" w:rsidR="004029B4" w:rsidRDefault="004029B4">
            <w:pPr>
              <w:spacing w:after="0" w:line="240" w:lineRule="auto"/>
              <w:rPr>
                <w:rFonts w:eastAsia="Times New Roman"/>
                <w:b/>
              </w:rPr>
            </w:pPr>
            <w:r>
              <w:rPr>
                <w:rFonts w:eastAsia="Times New Roman"/>
                <w:b/>
              </w:rPr>
              <w:t>Area</w:t>
            </w:r>
          </w:p>
        </w:tc>
        <w:tc>
          <w:tcPr>
            <w:tcW w:w="4156" w:type="dxa"/>
            <w:tcBorders>
              <w:top w:val="single" w:sz="8" w:space="0" w:color="auto"/>
              <w:left w:val="nil"/>
              <w:bottom w:val="single" w:sz="8" w:space="0" w:color="auto"/>
              <w:right w:val="single" w:sz="8" w:space="0" w:color="000000"/>
            </w:tcBorders>
            <w:shd w:val="clear" w:color="auto" w:fill="B8CCE4" w:themeFill="accent1" w:themeFillTint="66"/>
            <w:hideMark/>
          </w:tcPr>
          <w:p w14:paraId="6B1F15F2" w14:textId="77777777" w:rsidR="004029B4" w:rsidRDefault="004029B4">
            <w:pPr>
              <w:spacing w:after="0" w:line="240" w:lineRule="auto"/>
              <w:rPr>
                <w:rFonts w:eastAsia="Times New Roman"/>
                <w:b/>
              </w:rPr>
            </w:pPr>
            <w:r>
              <w:rPr>
                <w:rFonts w:eastAsia="Times New Roman"/>
                <w:b/>
              </w:rPr>
              <w:t>Is sustainability considered?</w:t>
            </w:r>
          </w:p>
        </w:tc>
      </w:tr>
      <w:tr w:rsidR="004029B4" w14:paraId="09939A53" w14:textId="77777777" w:rsidTr="004029B4">
        <w:trPr>
          <w:gridAfter w:val="1"/>
          <w:trHeight w:val="511"/>
        </w:trPr>
        <w:tc>
          <w:tcPr>
            <w:tcW w:w="5195" w:type="dxa"/>
            <w:vMerge w:val="restart"/>
            <w:tcBorders>
              <w:top w:val="nil"/>
              <w:left w:val="single" w:sz="8" w:space="0" w:color="auto"/>
              <w:bottom w:val="single" w:sz="4" w:space="0" w:color="auto"/>
              <w:right w:val="single" w:sz="4" w:space="0" w:color="auto"/>
            </w:tcBorders>
            <w:hideMark/>
          </w:tcPr>
          <w:p w14:paraId="0045F7B5" w14:textId="77777777" w:rsidR="004029B4" w:rsidRDefault="004029B4">
            <w:pPr>
              <w:spacing w:after="0" w:line="240" w:lineRule="auto"/>
              <w:rPr>
                <w:rFonts w:eastAsia="Times New Roman"/>
              </w:rPr>
            </w:pPr>
            <w:r>
              <w:rPr>
                <w:rFonts w:eastAsia="Times New Roman"/>
              </w:rPr>
              <w:t>Procurement</w:t>
            </w:r>
            <w:r>
              <w:rPr>
                <w:rFonts w:eastAsia="Times New Roman"/>
              </w:rPr>
              <w:br/>
              <w:t>(environmental &amp; social aspects)</w:t>
            </w:r>
          </w:p>
        </w:tc>
        <w:tc>
          <w:tcPr>
            <w:tcW w:w="4156" w:type="dxa"/>
            <w:vMerge w:val="restart"/>
            <w:tcBorders>
              <w:top w:val="nil"/>
              <w:left w:val="single" w:sz="4" w:space="0" w:color="auto"/>
              <w:bottom w:val="single" w:sz="4" w:space="0" w:color="auto"/>
              <w:right w:val="single" w:sz="8" w:space="0" w:color="000000"/>
            </w:tcBorders>
            <w:noWrap/>
            <w:hideMark/>
          </w:tcPr>
          <w:p w14:paraId="173C9101" w14:textId="77777777" w:rsidR="004029B4" w:rsidRDefault="004029B4">
            <w:pPr>
              <w:spacing w:after="0" w:line="240" w:lineRule="auto"/>
              <w:rPr>
                <w:rFonts w:eastAsia="Times New Roman"/>
              </w:rPr>
            </w:pPr>
            <w:r>
              <w:rPr>
                <w:rFonts w:eastAsia="Times New Roman"/>
              </w:rPr>
              <w:t>Yes</w:t>
            </w:r>
          </w:p>
        </w:tc>
      </w:tr>
      <w:tr w:rsidR="004029B4" w14:paraId="4F2D4BE2" w14:textId="77777777" w:rsidTr="004029B4">
        <w:trPr>
          <w:trHeight w:val="509"/>
        </w:trPr>
        <w:tc>
          <w:tcPr>
            <w:tcW w:w="0" w:type="auto"/>
            <w:vMerge/>
            <w:tcBorders>
              <w:top w:val="nil"/>
              <w:left w:val="single" w:sz="8" w:space="0" w:color="auto"/>
              <w:bottom w:val="single" w:sz="4" w:space="0" w:color="auto"/>
              <w:right w:val="single" w:sz="4" w:space="0" w:color="auto"/>
            </w:tcBorders>
            <w:vAlign w:val="center"/>
            <w:hideMark/>
          </w:tcPr>
          <w:p w14:paraId="7E942484" w14:textId="77777777" w:rsidR="004029B4" w:rsidRDefault="004029B4">
            <w:pPr>
              <w:spacing w:after="0"/>
              <w:rPr>
                <w:rFonts w:eastAsia="Times New Roman"/>
              </w:rPr>
            </w:pPr>
          </w:p>
        </w:tc>
        <w:tc>
          <w:tcPr>
            <w:tcW w:w="0" w:type="auto"/>
            <w:vMerge/>
            <w:tcBorders>
              <w:top w:val="nil"/>
              <w:left w:val="single" w:sz="4" w:space="0" w:color="auto"/>
              <w:bottom w:val="single" w:sz="4" w:space="0" w:color="auto"/>
              <w:right w:val="single" w:sz="8" w:space="0" w:color="000000"/>
            </w:tcBorders>
            <w:vAlign w:val="center"/>
            <w:hideMark/>
          </w:tcPr>
          <w:p w14:paraId="1449E176" w14:textId="77777777" w:rsidR="004029B4" w:rsidRDefault="004029B4">
            <w:pPr>
              <w:spacing w:after="0"/>
              <w:rPr>
                <w:rFonts w:eastAsia="Times New Roman"/>
              </w:rPr>
            </w:pPr>
          </w:p>
        </w:tc>
        <w:tc>
          <w:tcPr>
            <w:tcW w:w="0" w:type="auto"/>
            <w:vAlign w:val="center"/>
            <w:hideMark/>
          </w:tcPr>
          <w:p w14:paraId="715B1B25" w14:textId="77777777" w:rsidR="004029B4" w:rsidRDefault="004029B4">
            <w:pPr>
              <w:rPr>
                <w:rFonts w:eastAsia="Times New Roman"/>
              </w:rPr>
            </w:pPr>
          </w:p>
        </w:tc>
      </w:tr>
      <w:tr w:rsidR="004029B4" w14:paraId="0FC69732" w14:textId="77777777" w:rsidTr="004029B4">
        <w:trPr>
          <w:trHeight w:val="326"/>
        </w:trPr>
        <w:tc>
          <w:tcPr>
            <w:tcW w:w="5195" w:type="dxa"/>
            <w:tcBorders>
              <w:top w:val="single" w:sz="4" w:space="0" w:color="auto"/>
              <w:left w:val="single" w:sz="8" w:space="0" w:color="auto"/>
              <w:bottom w:val="single" w:sz="4" w:space="0" w:color="auto"/>
              <w:right w:val="single" w:sz="4" w:space="0" w:color="auto"/>
            </w:tcBorders>
            <w:noWrap/>
            <w:vAlign w:val="bottom"/>
            <w:hideMark/>
          </w:tcPr>
          <w:p w14:paraId="17C4F73E" w14:textId="77777777" w:rsidR="004029B4" w:rsidRDefault="004029B4">
            <w:pPr>
              <w:spacing w:after="0" w:line="240" w:lineRule="auto"/>
              <w:rPr>
                <w:rFonts w:eastAsia="Times New Roman"/>
              </w:rPr>
            </w:pPr>
            <w:r>
              <w:rPr>
                <w:rFonts w:eastAsia="Times New Roman"/>
              </w:rPr>
              <w:t>Suppliers' impact</w:t>
            </w:r>
          </w:p>
        </w:tc>
        <w:tc>
          <w:tcPr>
            <w:tcW w:w="4156" w:type="dxa"/>
            <w:tcBorders>
              <w:top w:val="single" w:sz="4" w:space="0" w:color="auto"/>
              <w:left w:val="nil"/>
              <w:bottom w:val="single" w:sz="4" w:space="0" w:color="auto"/>
              <w:right w:val="single" w:sz="8" w:space="0" w:color="000000"/>
            </w:tcBorders>
            <w:noWrap/>
            <w:vAlign w:val="bottom"/>
            <w:hideMark/>
          </w:tcPr>
          <w:p w14:paraId="7A4DCCB4" w14:textId="77777777" w:rsidR="004029B4" w:rsidRDefault="004029B4">
            <w:pPr>
              <w:spacing w:after="0" w:line="240" w:lineRule="auto"/>
              <w:rPr>
                <w:rFonts w:eastAsia="Times New Roman"/>
              </w:rPr>
            </w:pPr>
            <w:r>
              <w:rPr>
                <w:rFonts w:eastAsia="Times New Roman"/>
              </w:rPr>
              <w:t>Yes</w:t>
            </w:r>
          </w:p>
        </w:tc>
        <w:tc>
          <w:tcPr>
            <w:tcW w:w="0" w:type="auto"/>
            <w:vAlign w:val="center"/>
            <w:hideMark/>
          </w:tcPr>
          <w:p w14:paraId="15B304A9" w14:textId="77777777" w:rsidR="004029B4" w:rsidRDefault="004029B4">
            <w:pPr>
              <w:spacing w:after="0"/>
              <w:rPr>
                <w:sz w:val="20"/>
                <w:szCs w:val="20"/>
              </w:rPr>
            </w:pPr>
          </w:p>
        </w:tc>
      </w:tr>
      <w:tr w:rsidR="004029B4" w14:paraId="59AC593C" w14:textId="77777777" w:rsidTr="004029B4">
        <w:trPr>
          <w:trHeight w:val="326"/>
        </w:trPr>
        <w:tc>
          <w:tcPr>
            <w:tcW w:w="5195" w:type="dxa"/>
            <w:tcBorders>
              <w:top w:val="single" w:sz="4" w:space="0" w:color="auto"/>
              <w:left w:val="single" w:sz="8" w:space="0" w:color="auto"/>
              <w:bottom w:val="single" w:sz="4" w:space="0" w:color="auto"/>
              <w:right w:val="single" w:sz="4" w:space="0" w:color="auto"/>
            </w:tcBorders>
            <w:noWrap/>
            <w:vAlign w:val="bottom"/>
            <w:hideMark/>
          </w:tcPr>
          <w:p w14:paraId="50A31DCC" w14:textId="77777777" w:rsidR="004029B4" w:rsidRDefault="004029B4">
            <w:pPr>
              <w:spacing w:after="0" w:line="240" w:lineRule="auto"/>
              <w:rPr>
                <w:rFonts w:eastAsia="Times New Roman"/>
              </w:rPr>
            </w:pPr>
            <w:r>
              <w:rPr>
                <w:rFonts w:eastAsia="Times New Roman"/>
              </w:rPr>
              <w:t>Business Cases</w:t>
            </w:r>
          </w:p>
        </w:tc>
        <w:tc>
          <w:tcPr>
            <w:tcW w:w="4156" w:type="dxa"/>
            <w:tcBorders>
              <w:top w:val="single" w:sz="4" w:space="0" w:color="auto"/>
              <w:left w:val="nil"/>
              <w:bottom w:val="single" w:sz="4" w:space="0" w:color="auto"/>
              <w:right w:val="single" w:sz="8" w:space="0" w:color="000000"/>
            </w:tcBorders>
            <w:noWrap/>
            <w:vAlign w:val="bottom"/>
            <w:hideMark/>
          </w:tcPr>
          <w:p w14:paraId="1CBB03A3" w14:textId="77777777" w:rsidR="004029B4" w:rsidRDefault="004029B4">
            <w:pPr>
              <w:spacing w:after="0" w:line="240" w:lineRule="auto"/>
              <w:rPr>
                <w:rFonts w:eastAsia="Times New Roman"/>
              </w:rPr>
            </w:pPr>
            <w:r>
              <w:rPr>
                <w:rFonts w:eastAsia="Times New Roman"/>
              </w:rPr>
              <w:t>Yes</w:t>
            </w:r>
          </w:p>
        </w:tc>
        <w:tc>
          <w:tcPr>
            <w:tcW w:w="0" w:type="auto"/>
            <w:vAlign w:val="center"/>
            <w:hideMark/>
          </w:tcPr>
          <w:p w14:paraId="4D87469A" w14:textId="77777777" w:rsidR="004029B4" w:rsidRDefault="004029B4">
            <w:pPr>
              <w:spacing w:after="0"/>
              <w:rPr>
                <w:sz w:val="20"/>
                <w:szCs w:val="20"/>
              </w:rPr>
            </w:pPr>
          </w:p>
        </w:tc>
      </w:tr>
      <w:tr w:rsidR="004029B4" w14:paraId="033C8241" w14:textId="77777777" w:rsidTr="004029B4">
        <w:trPr>
          <w:trHeight w:val="326"/>
        </w:trPr>
        <w:tc>
          <w:tcPr>
            <w:tcW w:w="5195" w:type="dxa"/>
            <w:tcBorders>
              <w:top w:val="single" w:sz="4" w:space="0" w:color="auto"/>
              <w:left w:val="single" w:sz="8" w:space="0" w:color="auto"/>
              <w:bottom w:val="single" w:sz="8" w:space="0" w:color="auto"/>
              <w:right w:val="single" w:sz="4" w:space="0" w:color="auto"/>
            </w:tcBorders>
            <w:noWrap/>
            <w:vAlign w:val="bottom"/>
            <w:hideMark/>
          </w:tcPr>
          <w:p w14:paraId="43E84417" w14:textId="77777777" w:rsidR="004029B4" w:rsidRDefault="004029B4">
            <w:pPr>
              <w:spacing w:after="0" w:line="240" w:lineRule="auto"/>
              <w:rPr>
                <w:rFonts w:eastAsia="Times New Roman"/>
              </w:rPr>
            </w:pPr>
            <w:r>
              <w:rPr>
                <w:rFonts w:eastAsia="Times New Roman"/>
              </w:rPr>
              <w:t>Travel</w:t>
            </w:r>
          </w:p>
        </w:tc>
        <w:tc>
          <w:tcPr>
            <w:tcW w:w="4156" w:type="dxa"/>
            <w:tcBorders>
              <w:top w:val="single" w:sz="4" w:space="0" w:color="auto"/>
              <w:left w:val="nil"/>
              <w:bottom w:val="single" w:sz="8" w:space="0" w:color="auto"/>
              <w:right w:val="single" w:sz="8" w:space="0" w:color="000000"/>
            </w:tcBorders>
            <w:noWrap/>
            <w:vAlign w:val="bottom"/>
            <w:hideMark/>
          </w:tcPr>
          <w:p w14:paraId="4088F268" w14:textId="77777777" w:rsidR="004029B4" w:rsidRDefault="004029B4">
            <w:pPr>
              <w:spacing w:after="0" w:line="240" w:lineRule="auto"/>
              <w:rPr>
                <w:rFonts w:eastAsia="Times New Roman"/>
              </w:rPr>
            </w:pPr>
            <w:r>
              <w:rPr>
                <w:rFonts w:eastAsia="Times New Roman"/>
              </w:rPr>
              <w:t>Yes</w:t>
            </w:r>
          </w:p>
        </w:tc>
        <w:tc>
          <w:tcPr>
            <w:tcW w:w="0" w:type="auto"/>
            <w:vAlign w:val="center"/>
            <w:hideMark/>
          </w:tcPr>
          <w:p w14:paraId="60C867A1" w14:textId="77777777" w:rsidR="004029B4" w:rsidRDefault="004029B4">
            <w:pPr>
              <w:spacing w:after="0"/>
              <w:rPr>
                <w:sz w:val="20"/>
                <w:szCs w:val="20"/>
              </w:rPr>
            </w:pPr>
          </w:p>
        </w:tc>
      </w:tr>
    </w:tbl>
    <w:p w14:paraId="435DA745" w14:textId="77777777" w:rsidR="004029B4" w:rsidRDefault="004029B4" w:rsidP="004029B4">
      <w:r>
        <w:t>As an organisation that acknowledges its responsibility towards creating a sustainable future, we help achieve that goal by running awareness campaigns that promote the benefits of sustainability to our staff.</w:t>
      </w:r>
    </w:p>
    <w:p w14:paraId="7AE6C99F" w14:textId="77777777" w:rsidR="004029B4" w:rsidRDefault="004029B4" w:rsidP="004029B4">
      <w:r>
        <w:t>Our organisation evaluates the environmental and socio-economic opportunities during our procurement process through the inclusion of appropriate social clauses within our tender documentation and contracts.</w:t>
      </w:r>
      <w:r>
        <w:tab/>
      </w:r>
    </w:p>
    <w:p w14:paraId="02D1DB84" w14:textId="77777777" w:rsidR="004029B4" w:rsidRDefault="004029B4" w:rsidP="004029B4">
      <w:r>
        <w:t>The CCG works with NHS Property Services and Community Health Partnerships (the organisations that own/lease local healthcare facilities) to ensure we will comply with our obligations under the Climate Change Act 2008, including the Adaptation Reporting power, and the Public Services (Social Value) Act 2012.</w:t>
      </w:r>
    </w:p>
    <w:p w14:paraId="229CDC17" w14:textId="464A8332" w:rsidR="007F5505" w:rsidRDefault="000F3C0A" w:rsidP="00B66DE2">
      <w:pPr>
        <w:tabs>
          <w:tab w:val="clear" w:pos="2835"/>
          <w:tab w:val="clear" w:pos="5670"/>
          <w:tab w:val="clear" w:pos="9016"/>
        </w:tabs>
        <w:spacing w:before="0" w:after="200"/>
        <w:rPr>
          <w:rFonts w:cs="Arial"/>
        </w:rPr>
      </w:pPr>
      <w:r>
        <w:rPr>
          <w:rFonts w:cs="Arial"/>
        </w:rPr>
        <w:br w:type="page"/>
      </w:r>
    </w:p>
    <w:p w14:paraId="76D1D664" w14:textId="7CEC7CCC" w:rsidR="00633F7D" w:rsidRPr="00387594" w:rsidRDefault="003B7583" w:rsidP="00387594">
      <w:pPr>
        <w:pStyle w:val="Heading1"/>
        <w:rPr>
          <w:rFonts w:cs="Arial"/>
        </w:rPr>
      </w:pPr>
      <w:bookmarkStart w:id="73" w:name="_Toc103695038"/>
      <w:r w:rsidRPr="00AC01FD">
        <w:lastRenderedPageBreak/>
        <w:t>ACCOUNTABILITY REPORT</w:t>
      </w:r>
      <w:bookmarkEnd w:id="72"/>
      <w:r w:rsidR="00905FA4" w:rsidRPr="00AC01FD">
        <w:t xml:space="preserve"> </w:t>
      </w:r>
      <w:r w:rsidR="001B17E6">
        <w:t>202</w:t>
      </w:r>
      <w:r w:rsidR="00196D2B">
        <w:t>1</w:t>
      </w:r>
      <w:r w:rsidR="001B17E6">
        <w:t>-2</w:t>
      </w:r>
      <w:r w:rsidR="00196D2B">
        <w:t>2</w:t>
      </w:r>
      <w:bookmarkEnd w:id="73"/>
      <w:r w:rsidRPr="00AC01FD">
        <w:t xml:space="preserve"> </w:t>
      </w:r>
    </w:p>
    <w:p w14:paraId="6B1AADA4" w14:textId="77777777" w:rsidR="00633F7D" w:rsidRPr="0086675F" w:rsidRDefault="00633F7D" w:rsidP="00B66DE2">
      <w:pPr>
        <w:pStyle w:val="Heading1"/>
      </w:pPr>
    </w:p>
    <w:p w14:paraId="79845B65" w14:textId="77777777" w:rsidR="00633F7D" w:rsidRPr="00A558A4" w:rsidRDefault="00633F7D" w:rsidP="00B66DE2">
      <w:pPr>
        <w:spacing w:line="240" w:lineRule="auto"/>
        <w:rPr>
          <w:rFonts w:cs="Arial"/>
        </w:rPr>
      </w:pPr>
    </w:p>
    <w:p w14:paraId="65B32468" w14:textId="77777777" w:rsidR="006B379F" w:rsidRPr="00A558A4" w:rsidRDefault="006B379F" w:rsidP="00B66DE2">
      <w:pPr>
        <w:spacing w:line="240" w:lineRule="auto"/>
        <w:rPr>
          <w:rFonts w:cs="Arial"/>
        </w:rPr>
      </w:pPr>
    </w:p>
    <w:p w14:paraId="24888738" w14:textId="77777777" w:rsidR="006B379F" w:rsidRPr="00A558A4" w:rsidRDefault="006B379F" w:rsidP="00B66DE2">
      <w:pPr>
        <w:spacing w:line="240" w:lineRule="auto"/>
        <w:rPr>
          <w:rFonts w:cs="Arial"/>
        </w:rPr>
      </w:pPr>
    </w:p>
    <w:p w14:paraId="24B8363A" w14:textId="77777777" w:rsidR="00C1148C" w:rsidRPr="00A558A4" w:rsidRDefault="00C1148C" w:rsidP="00B66DE2">
      <w:pPr>
        <w:spacing w:line="240" w:lineRule="auto"/>
        <w:rPr>
          <w:rFonts w:cs="Arial"/>
        </w:rPr>
      </w:pPr>
    </w:p>
    <w:p w14:paraId="4A052277" w14:textId="77777777" w:rsidR="006B379F" w:rsidRPr="00A558A4" w:rsidRDefault="006B379F" w:rsidP="00B66DE2">
      <w:pPr>
        <w:spacing w:line="240" w:lineRule="auto"/>
        <w:rPr>
          <w:rFonts w:cs="Arial"/>
        </w:rPr>
      </w:pPr>
    </w:p>
    <w:p w14:paraId="42080F70" w14:textId="77777777" w:rsidR="00863ABD" w:rsidRPr="00A558A4" w:rsidRDefault="00863ABD" w:rsidP="00B66DE2">
      <w:pPr>
        <w:spacing w:before="0" w:after="0" w:line="240" w:lineRule="auto"/>
        <w:rPr>
          <w:rFonts w:cs="Arial"/>
        </w:rPr>
      </w:pPr>
    </w:p>
    <w:p w14:paraId="4A451E38" w14:textId="77777777" w:rsidR="00863ABD" w:rsidRPr="00A558A4" w:rsidRDefault="00863ABD" w:rsidP="00B66DE2">
      <w:pPr>
        <w:spacing w:before="0" w:after="0" w:line="240" w:lineRule="auto"/>
        <w:rPr>
          <w:rFonts w:cs="Arial"/>
        </w:rPr>
      </w:pPr>
    </w:p>
    <w:p w14:paraId="58A51EB6" w14:textId="77777777" w:rsidR="00863ABD" w:rsidRPr="00A558A4" w:rsidRDefault="00863ABD" w:rsidP="00B66DE2">
      <w:pPr>
        <w:spacing w:before="0" w:after="0" w:line="240" w:lineRule="auto"/>
        <w:rPr>
          <w:rFonts w:cs="Arial"/>
        </w:rPr>
      </w:pPr>
    </w:p>
    <w:p w14:paraId="51981A30" w14:textId="77777777" w:rsidR="00863ABD" w:rsidRPr="00A558A4" w:rsidRDefault="00863ABD" w:rsidP="00B66DE2">
      <w:pPr>
        <w:spacing w:before="0" w:after="0" w:line="240" w:lineRule="auto"/>
        <w:rPr>
          <w:rFonts w:cs="Arial"/>
        </w:rPr>
      </w:pPr>
    </w:p>
    <w:p w14:paraId="533176C2" w14:textId="77777777" w:rsidR="00863ABD" w:rsidRPr="00A558A4" w:rsidRDefault="00863ABD" w:rsidP="00B66DE2">
      <w:pPr>
        <w:spacing w:before="0" w:after="0" w:line="240" w:lineRule="auto"/>
        <w:rPr>
          <w:rFonts w:cs="Arial"/>
        </w:rPr>
      </w:pPr>
    </w:p>
    <w:p w14:paraId="2BA5C9B8" w14:textId="77777777" w:rsidR="00863ABD" w:rsidRPr="00A558A4" w:rsidRDefault="00863ABD" w:rsidP="00B66DE2">
      <w:pPr>
        <w:spacing w:before="0" w:after="0" w:line="240" w:lineRule="auto"/>
        <w:rPr>
          <w:rFonts w:cs="Arial"/>
        </w:rPr>
      </w:pPr>
    </w:p>
    <w:p w14:paraId="12385823" w14:textId="77777777" w:rsidR="00703EA7" w:rsidRPr="00A558A4" w:rsidRDefault="00703EA7" w:rsidP="00B66DE2">
      <w:pPr>
        <w:spacing w:before="0" w:after="0" w:line="240" w:lineRule="auto"/>
        <w:rPr>
          <w:rFonts w:cs="Arial"/>
        </w:rPr>
      </w:pPr>
    </w:p>
    <w:p w14:paraId="1699E459" w14:textId="77777777" w:rsidR="007428AE" w:rsidRPr="00A558A4" w:rsidRDefault="007428AE" w:rsidP="00B66DE2">
      <w:pPr>
        <w:spacing w:before="0" w:after="0" w:line="240" w:lineRule="auto"/>
        <w:rPr>
          <w:rFonts w:cs="Arial"/>
        </w:rPr>
      </w:pPr>
    </w:p>
    <w:p w14:paraId="28D9F590" w14:textId="77777777" w:rsidR="007428AE" w:rsidRPr="00A558A4" w:rsidRDefault="007428AE" w:rsidP="00B66DE2">
      <w:pPr>
        <w:spacing w:before="0" w:after="0" w:line="240" w:lineRule="auto"/>
        <w:rPr>
          <w:rFonts w:cs="Arial"/>
        </w:rPr>
      </w:pPr>
    </w:p>
    <w:p w14:paraId="4CAE56E0" w14:textId="77777777" w:rsidR="007428AE" w:rsidRPr="00A558A4" w:rsidRDefault="007428AE" w:rsidP="00B66DE2">
      <w:pPr>
        <w:spacing w:before="0" w:after="0" w:line="240" w:lineRule="auto"/>
        <w:rPr>
          <w:rFonts w:cs="Arial"/>
        </w:rPr>
      </w:pPr>
    </w:p>
    <w:p w14:paraId="5747A6BE" w14:textId="77777777" w:rsidR="007428AE" w:rsidRPr="00A558A4" w:rsidRDefault="007428AE" w:rsidP="00B66DE2">
      <w:pPr>
        <w:spacing w:before="0" w:after="0" w:line="240" w:lineRule="auto"/>
        <w:rPr>
          <w:rFonts w:cs="Arial"/>
        </w:rPr>
      </w:pPr>
    </w:p>
    <w:p w14:paraId="72D498EB" w14:textId="77777777" w:rsidR="007428AE" w:rsidRPr="00A558A4" w:rsidRDefault="007428AE" w:rsidP="00B66DE2">
      <w:pPr>
        <w:spacing w:before="0" w:after="0" w:line="240" w:lineRule="auto"/>
        <w:rPr>
          <w:rFonts w:cs="Arial"/>
        </w:rPr>
      </w:pPr>
    </w:p>
    <w:p w14:paraId="60FB5DAA" w14:textId="77777777" w:rsidR="007428AE" w:rsidRPr="00A558A4" w:rsidRDefault="007428AE" w:rsidP="00B66DE2">
      <w:pPr>
        <w:spacing w:before="0" w:after="0" w:line="240" w:lineRule="auto"/>
        <w:rPr>
          <w:rFonts w:cs="Arial"/>
        </w:rPr>
      </w:pPr>
    </w:p>
    <w:p w14:paraId="26452AFC" w14:textId="77777777" w:rsidR="007428AE" w:rsidRPr="00A558A4" w:rsidRDefault="007428AE" w:rsidP="00B66DE2">
      <w:pPr>
        <w:spacing w:before="0" w:after="0" w:line="240" w:lineRule="auto"/>
        <w:rPr>
          <w:rFonts w:cs="Arial"/>
        </w:rPr>
      </w:pPr>
    </w:p>
    <w:p w14:paraId="468ED26C" w14:textId="77777777" w:rsidR="007428AE" w:rsidRPr="00A558A4" w:rsidRDefault="007428AE" w:rsidP="00B66DE2">
      <w:pPr>
        <w:spacing w:before="0" w:after="0" w:line="240" w:lineRule="auto"/>
        <w:rPr>
          <w:rFonts w:cs="Arial"/>
        </w:rPr>
      </w:pPr>
    </w:p>
    <w:p w14:paraId="702B6102" w14:textId="77777777" w:rsidR="007428AE" w:rsidRPr="00A558A4" w:rsidRDefault="007428AE" w:rsidP="00B66DE2">
      <w:pPr>
        <w:spacing w:before="0" w:after="0" w:line="240" w:lineRule="auto"/>
        <w:rPr>
          <w:rFonts w:cs="Arial"/>
        </w:rPr>
      </w:pPr>
    </w:p>
    <w:p w14:paraId="4B357985" w14:textId="77777777" w:rsidR="007428AE" w:rsidRPr="00A558A4" w:rsidRDefault="007428AE" w:rsidP="00B66DE2">
      <w:pPr>
        <w:spacing w:before="0" w:after="0" w:line="240" w:lineRule="auto"/>
        <w:rPr>
          <w:rFonts w:cs="Arial"/>
        </w:rPr>
      </w:pPr>
    </w:p>
    <w:p w14:paraId="5D83BD74" w14:textId="77777777" w:rsidR="007428AE" w:rsidRPr="00A558A4" w:rsidRDefault="007428AE" w:rsidP="00B66DE2">
      <w:pPr>
        <w:spacing w:before="0" w:after="0" w:line="240" w:lineRule="auto"/>
        <w:rPr>
          <w:rFonts w:cs="Arial"/>
        </w:rPr>
      </w:pPr>
    </w:p>
    <w:p w14:paraId="2207F8B0" w14:textId="77777777" w:rsidR="007428AE" w:rsidRPr="00A558A4" w:rsidRDefault="007428AE" w:rsidP="00B66DE2">
      <w:pPr>
        <w:spacing w:before="0" w:after="0" w:line="240" w:lineRule="auto"/>
        <w:rPr>
          <w:rFonts w:cs="Arial"/>
        </w:rPr>
      </w:pPr>
    </w:p>
    <w:p w14:paraId="26DC40D8" w14:textId="77777777" w:rsidR="007428AE" w:rsidRPr="00A558A4" w:rsidRDefault="007428AE" w:rsidP="00B66DE2">
      <w:pPr>
        <w:spacing w:before="0" w:after="0" w:line="240" w:lineRule="auto"/>
        <w:rPr>
          <w:rFonts w:cs="Arial"/>
        </w:rPr>
      </w:pPr>
    </w:p>
    <w:p w14:paraId="6AB06E31" w14:textId="77777777" w:rsidR="007428AE" w:rsidRPr="00A558A4" w:rsidRDefault="007428AE" w:rsidP="00B66DE2">
      <w:pPr>
        <w:spacing w:before="0" w:after="0" w:line="240" w:lineRule="auto"/>
        <w:rPr>
          <w:rFonts w:cs="Arial"/>
        </w:rPr>
      </w:pPr>
    </w:p>
    <w:p w14:paraId="0D8031D5" w14:textId="77777777" w:rsidR="007428AE" w:rsidRPr="00A558A4" w:rsidRDefault="007428AE" w:rsidP="00B66DE2">
      <w:pPr>
        <w:spacing w:before="0" w:after="0" w:line="240" w:lineRule="auto"/>
        <w:rPr>
          <w:rFonts w:cs="Arial"/>
        </w:rPr>
      </w:pPr>
    </w:p>
    <w:p w14:paraId="0A047EAA" w14:textId="77777777" w:rsidR="007428AE" w:rsidRPr="00A558A4" w:rsidRDefault="007428AE" w:rsidP="00B66DE2">
      <w:pPr>
        <w:spacing w:before="0" w:after="0" w:line="240" w:lineRule="auto"/>
        <w:rPr>
          <w:rFonts w:cs="Arial"/>
        </w:rPr>
      </w:pPr>
    </w:p>
    <w:p w14:paraId="697C01C4" w14:textId="77777777" w:rsidR="007428AE" w:rsidRPr="00A558A4" w:rsidRDefault="007428AE" w:rsidP="00B66DE2">
      <w:pPr>
        <w:spacing w:before="0" w:after="0" w:line="240" w:lineRule="auto"/>
        <w:rPr>
          <w:rFonts w:cs="Arial"/>
        </w:rPr>
      </w:pPr>
    </w:p>
    <w:p w14:paraId="555CBD61" w14:textId="77777777" w:rsidR="007428AE" w:rsidRPr="00A558A4" w:rsidRDefault="007428AE" w:rsidP="00B66DE2">
      <w:pPr>
        <w:spacing w:before="0" w:after="0" w:line="240" w:lineRule="auto"/>
        <w:rPr>
          <w:rFonts w:cs="Arial"/>
        </w:rPr>
      </w:pPr>
    </w:p>
    <w:p w14:paraId="61DA11C5" w14:textId="77777777" w:rsidR="007428AE" w:rsidRPr="00A558A4" w:rsidRDefault="007428AE" w:rsidP="00B66DE2">
      <w:pPr>
        <w:spacing w:before="0" w:after="0" w:line="240" w:lineRule="auto"/>
        <w:rPr>
          <w:rFonts w:cs="Arial"/>
        </w:rPr>
      </w:pPr>
    </w:p>
    <w:p w14:paraId="05E8A31D" w14:textId="77777777" w:rsidR="007428AE" w:rsidRPr="00A558A4" w:rsidRDefault="007428AE" w:rsidP="00B66DE2">
      <w:pPr>
        <w:spacing w:before="0" w:after="0" w:line="240" w:lineRule="auto"/>
        <w:rPr>
          <w:rFonts w:cs="Arial"/>
        </w:rPr>
      </w:pPr>
    </w:p>
    <w:p w14:paraId="48C63C44" w14:textId="77777777" w:rsidR="00B20BBD" w:rsidRPr="00A558A4" w:rsidRDefault="00B20BBD" w:rsidP="00B66DE2">
      <w:pPr>
        <w:spacing w:before="0" w:after="0" w:line="240" w:lineRule="auto"/>
        <w:rPr>
          <w:rFonts w:cs="Arial"/>
        </w:rPr>
      </w:pPr>
    </w:p>
    <w:p w14:paraId="7802E766" w14:textId="77777777" w:rsidR="00B20BBD" w:rsidRPr="00A558A4" w:rsidRDefault="00B20BBD" w:rsidP="00B66DE2">
      <w:pPr>
        <w:spacing w:before="0" w:after="0" w:line="240" w:lineRule="auto"/>
        <w:rPr>
          <w:rFonts w:cs="Arial"/>
        </w:rPr>
      </w:pPr>
    </w:p>
    <w:p w14:paraId="22742712" w14:textId="77777777" w:rsidR="00B20BBD" w:rsidRPr="00A558A4" w:rsidRDefault="00B20BBD" w:rsidP="00B66DE2">
      <w:pPr>
        <w:spacing w:before="0" w:after="0" w:line="240" w:lineRule="auto"/>
        <w:rPr>
          <w:rFonts w:cs="Arial"/>
        </w:rPr>
      </w:pPr>
    </w:p>
    <w:p w14:paraId="5D0BB07C" w14:textId="77777777" w:rsidR="00703EA7" w:rsidRPr="00A558A4" w:rsidRDefault="00977A36" w:rsidP="00B66DE2">
      <w:pPr>
        <w:spacing w:before="0" w:after="0" w:line="240" w:lineRule="auto"/>
        <w:rPr>
          <w:rFonts w:cs="Arial"/>
        </w:rPr>
      </w:pPr>
      <w:r w:rsidRPr="00A558A4">
        <w:rPr>
          <w:rFonts w:cs="Arial"/>
        </w:rPr>
        <w:t>Emma Latimer</w:t>
      </w:r>
    </w:p>
    <w:p w14:paraId="247E61CF" w14:textId="77777777" w:rsidR="00703EA7" w:rsidRPr="00A558A4" w:rsidRDefault="00703EA7" w:rsidP="00B66DE2">
      <w:pPr>
        <w:spacing w:before="0" w:after="0" w:line="240" w:lineRule="auto"/>
        <w:rPr>
          <w:rFonts w:cs="Arial"/>
        </w:rPr>
      </w:pPr>
      <w:r w:rsidRPr="00A558A4">
        <w:rPr>
          <w:rFonts w:cs="Arial"/>
        </w:rPr>
        <w:t xml:space="preserve">Accountable Officer </w:t>
      </w:r>
    </w:p>
    <w:p w14:paraId="2BD658D7" w14:textId="77777777" w:rsidR="00181694" w:rsidRDefault="00181694" w:rsidP="00B66DE2">
      <w:pPr>
        <w:spacing w:before="0" w:after="0" w:line="240" w:lineRule="auto"/>
        <w:rPr>
          <w:rFonts w:cs="Arial"/>
        </w:rPr>
      </w:pPr>
    </w:p>
    <w:p w14:paraId="1F7B1718" w14:textId="1B9B31E8" w:rsidR="00D534D6" w:rsidRDefault="00181694" w:rsidP="00B66DE2">
      <w:pPr>
        <w:spacing w:before="0" w:after="0" w:line="240" w:lineRule="auto"/>
        <w:rPr>
          <w:rFonts w:cs="Arial"/>
        </w:rPr>
      </w:pPr>
      <w:r>
        <w:rPr>
          <w:rFonts w:cs="Arial"/>
        </w:rPr>
        <w:t>27 May 2022</w:t>
      </w:r>
    </w:p>
    <w:p w14:paraId="207FA5F2" w14:textId="77777777" w:rsidR="00D534D6" w:rsidRPr="00D534D6" w:rsidRDefault="00D534D6" w:rsidP="00B66DE2">
      <w:pPr>
        <w:spacing w:before="0" w:after="0" w:line="240" w:lineRule="auto"/>
        <w:rPr>
          <w:rFonts w:cs="Arial"/>
        </w:rPr>
        <w:sectPr w:rsidR="00D534D6" w:rsidRPr="00D534D6" w:rsidSect="0021638C">
          <w:footerReference w:type="default" r:id="rId40"/>
          <w:pgSz w:w="11909" w:h="16834" w:code="9"/>
          <w:pgMar w:top="1276" w:right="852" w:bottom="907" w:left="907" w:header="709" w:footer="24" w:gutter="0"/>
          <w:cols w:space="709"/>
          <w:docGrid w:linePitch="360"/>
        </w:sectPr>
      </w:pPr>
    </w:p>
    <w:p w14:paraId="15E2C76A" w14:textId="77777777" w:rsidR="0077366A" w:rsidRPr="0077366A" w:rsidRDefault="0077366A" w:rsidP="0077366A">
      <w:pPr>
        <w:autoSpaceDE w:val="0"/>
        <w:autoSpaceDN w:val="0"/>
        <w:rPr>
          <w:rFonts w:cs="Arial"/>
        </w:rPr>
      </w:pPr>
      <w:bookmarkStart w:id="74" w:name="_Toc512957160"/>
      <w:bookmarkStart w:id="75" w:name="#14.3"/>
      <w:bookmarkStart w:id="76" w:name="#14.2"/>
      <w:bookmarkStart w:id="77" w:name="_Toc450193720"/>
      <w:r w:rsidRPr="0077366A">
        <w:rPr>
          <w:rFonts w:cs="Arial"/>
        </w:rPr>
        <w:lastRenderedPageBreak/>
        <w:t>The Accountability Report describes how we meet key accountability requirements and embody best practice to comply</w:t>
      </w:r>
      <w:r w:rsidRPr="0077366A">
        <w:rPr>
          <w:rFonts w:cs="Arial"/>
          <w:b/>
          <w:bCs/>
        </w:rPr>
        <w:t xml:space="preserve"> </w:t>
      </w:r>
      <w:r w:rsidRPr="0077366A">
        <w:rPr>
          <w:rFonts w:cs="Arial"/>
        </w:rPr>
        <w:t xml:space="preserve">with corporate governance norms and regulations. </w:t>
      </w:r>
    </w:p>
    <w:p w14:paraId="3808E81A" w14:textId="77777777" w:rsidR="0077366A" w:rsidRPr="0077366A" w:rsidRDefault="0077366A" w:rsidP="0077366A">
      <w:pPr>
        <w:autoSpaceDE w:val="0"/>
        <w:autoSpaceDN w:val="0"/>
        <w:rPr>
          <w:rFonts w:cs="Arial"/>
        </w:rPr>
      </w:pPr>
      <w:r w:rsidRPr="0077366A">
        <w:rPr>
          <w:rFonts w:cs="Arial"/>
        </w:rPr>
        <w:t>It comprises three sections:</w:t>
      </w:r>
    </w:p>
    <w:p w14:paraId="48BD08EF" w14:textId="77777777" w:rsidR="0077366A" w:rsidRPr="004A5984" w:rsidRDefault="0077366A" w:rsidP="004A5984">
      <w:pPr>
        <w:pStyle w:val="ListParagraph"/>
        <w:numPr>
          <w:ilvl w:val="0"/>
          <w:numId w:val="51"/>
        </w:numPr>
        <w:autoSpaceDE w:val="0"/>
        <w:autoSpaceDN w:val="0"/>
        <w:rPr>
          <w:rFonts w:cs="Arial"/>
        </w:rPr>
      </w:pPr>
      <w:r w:rsidRPr="004A5984">
        <w:rPr>
          <w:rFonts w:cs="Arial"/>
        </w:rPr>
        <w:t xml:space="preserve">The </w:t>
      </w:r>
      <w:r w:rsidRPr="004A5984">
        <w:rPr>
          <w:rFonts w:cs="Arial"/>
          <w:b/>
          <w:bCs/>
        </w:rPr>
        <w:t>Corporate Governance Report</w:t>
      </w:r>
      <w:r w:rsidRPr="004A5984">
        <w:rPr>
          <w:rFonts w:cs="Arial"/>
        </w:rPr>
        <w:t xml:space="preserve"> sets out how we have governed the organisation during 2021-22, including membership and organisation of our governance structures and how they supported the achievement of our objectives.</w:t>
      </w:r>
    </w:p>
    <w:p w14:paraId="170C8A59" w14:textId="77777777" w:rsidR="0077366A" w:rsidRPr="004A5984" w:rsidRDefault="0077366A" w:rsidP="004A5984">
      <w:pPr>
        <w:pStyle w:val="ListParagraph"/>
        <w:numPr>
          <w:ilvl w:val="0"/>
          <w:numId w:val="51"/>
        </w:numPr>
        <w:autoSpaceDE w:val="0"/>
        <w:autoSpaceDN w:val="0"/>
        <w:rPr>
          <w:rFonts w:cs="Arial"/>
        </w:rPr>
      </w:pPr>
      <w:r w:rsidRPr="004A5984">
        <w:rPr>
          <w:rFonts w:cs="Arial"/>
        </w:rPr>
        <w:t xml:space="preserve">The </w:t>
      </w:r>
      <w:r w:rsidRPr="004A5984">
        <w:rPr>
          <w:rFonts w:cs="Arial"/>
          <w:b/>
          <w:bCs/>
        </w:rPr>
        <w:t>Remuneration and Staff Report</w:t>
      </w:r>
      <w:r w:rsidRPr="004A5984">
        <w:rPr>
          <w:rFonts w:cs="Arial"/>
        </w:rPr>
        <w:t xml:space="preserve"> describes our remuneration polices for executive and non-executive directors, including salary and pension liability information. It also provides further information on our workforce, remuneration and staff policies.</w:t>
      </w:r>
    </w:p>
    <w:p w14:paraId="572443C9" w14:textId="1C7DE1B2" w:rsidR="0077366A" w:rsidRPr="004A5984" w:rsidRDefault="0077366A" w:rsidP="004A5984">
      <w:pPr>
        <w:pStyle w:val="ListParagraph"/>
        <w:numPr>
          <w:ilvl w:val="0"/>
          <w:numId w:val="51"/>
        </w:numPr>
        <w:autoSpaceDE w:val="0"/>
        <w:autoSpaceDN w:val="0"/>
        <w:rPr>
          <w:rFonts w:cs="Arial"/>
        </w:rPr>
      </w:pPr>
      <w:r w:rsidRPr="004A5984">
        <w:rPr>
          <w:rFonts w:cs="Arial"/>
        </w:rPr>
        <w:t xml:space="preserve">The </w:t>
      </w:r>
      <w:r w:rsidRPr="004A5984">
        <w:rPr>
          <w:rFonts w:cs="Arial"/>
          <w:b/>
          <w:bCs/>
        </w:rPr>
        <w:t xml:space="preserve">Parliamentary Accountability and Audit Report </w:t>
      </w:r>
      <w:r w:rsidRPr="004A5984">
        <w:rPr>
          <w:rFonts w:cs="Arial"/>
        </w:rPr>
        <w:t xml:space="preserve">brings together key information to support accountability, including a summary of </w:t>
      </w:r>
      <w:r w:rsidRPr="004A5984">
        <w:rPr>
          <w:rFonts w:cs="Arial"/>
          <w:iCs/>
        </w:rPr>
        <w:t>fees and charges, remote contingent liabilities, and an audit report and certificate.</w:t>
      </w:r>
    </w:p>
    <w:p w14:paraId="5C0DEA69" w14:textId="70D016DD" w:rsidR="009A382A" w:rsidRDefault="001C3774" w:rsidP="00B71FAD">
      <w:pPr>
        <w:pStyle w:val="Heading2"/>
      </w:pPr>
      <w:bookmarkStart w:id="78" w:name="_Toc103695039"/>
      <w:r w:rsidRPr="00A558A4">
        <w:t>Corporate Governance Report</w:t>
      </w:r>
      <w:bookmarkEnd w:id="74"/>
      <w:bookmarkEnd w:id="78"/>
    </w:p>
    <w:p w14:paraId="1CE6B283" w14:textId="27ADD2CD" w:rsidR="00487A3E" w:rsidRPr="00AC01FD" w:rsidRDefault="00487A3E" w:rsidP="00B66DE2">
      <w:pPr>
        <w:pStyle w:val="Heading3"/>
      </w:pPr>
      <w:bookmarkStart w:id="79" w:name="_Toc481760954"/>
      <w:bookmarkStart w:id="80" w:name="_Toc512957161"/>
      <w:bookmarkStart w:id="81" w:name="_Toc103695040"/>
      <w:bookmarkStart w:id="82" w:name="_Hlk96954112"/>
      <w:bookmarkStart w:id="83" w:name="_Hlk96954132"/>
      <w:r w:rsidRPr="00AC01FD">
        <w:t xml:space="preserve">Hull CCG Members Report </w:t>
      </w:r>
      <w:bookmarkEnd w:id="79"/>
      <w:bookmarkEnd w:id="80"/>
      <w:r w:rsidR="00682410">
        <w:t>2021-22</w:t>
      </w:r>
      <w:bookmarkEnd w:id="81"/>
      <w:r w:rsidR="00746AC3" w:rsidRPr="00AC01FD">
        <w:t xml:space="preserve">  </w:t>
      </w:r>
    </w:p>
    <w:p w14:paraId="595B0270" w14:textId="77777777" w:rsidR="00487A3E" w:rsidRPr="00A558A4" w:rsidRDefault="00487A3E" w:rsidP="00B66DE2">
      <w:pPr>
        <w:spacing w:line="240" w:lineRule="auto"/>
        <w:rPr>
          <w:rFonts w:cs="Arial"/>
        </w:rPr>
      </w:pPr>
      <w:r w:rsidRPr="00A558A4">
        <w:rPr>
          <w:rFonts w:cs="Arial"/>
        </w:rPr>
        <w:t xml:space="preserve">The Members’ Report contains details of our CCG membership practices, our Board membership (sometimes referred to as a Governing Body), membership of the Audit and Integrated Governance Committee and where people can find Board member profiles and the register of interests. </w:t>
      </w:r>
    </w:p>
    <w:p w14:paraId="365EBE57" w14:textId="537557FC" w:rsidR="00F303F4" w:rsidRPr="00F62D4A" w:rsidRDefault="009A3B3F" w:rsidP="00B66DE2">
      <w:pPr>
        <w:pStyle w:val="Heading3"/>
        <w:spacing w:after="240" w:line="240" w:lineRule="auto"/>
        <w:rPr>
          <w:rFonts w:cs="Arial"/>
          <w:color w:val="FF0000"/>
          <w:sz w:val="22"/>
        </w:rPr>
      </w:pPr>
      <w:bookmarkStart w:id="84" w:name="_Toc103695041"/>
      <w:bookmarkStart w:id="85" w:name="_Toc481760956"/>
      <w:r>
        <w:t xml:space="preserve">CCG </w:t>
      </w:r>
      <w:r w:rsidR="00CE7BBF" w:rsidRPr="00AC01FD">
        <w:t xml:space="preserve">Member </w:t>
      </w:r>
      <w:r>
        <w:t>P</w:t>
      </w:r>
      <w:r w:rsidR="00CE7BBF" w:rsidRPr="00AC01FD">
        <w:t xml:space="preserve">ractices </w:t>
      </w:r>
      <w:r w:rsidR="0077366A">
        <w:t>2021-22</w:t>
      </w:r>
      <w:bookmarkEnd w:id="84"/>
      <w:r w:rsidR="00F62D4A">
        <w:t xml:space="preserve"> </w:t>
      </w:r>
    </w:p>
    <w:tbl>
      <w:tblPr>
        <w:tblStyle w:val="TableGrid"/>
        <w:tblW w:w="9535" w:type="dxa"/>
        <w:tblLook w:val="04A0" w:firstRow="1" w:lastRow="0" w:firstColumn="1" w:lastColumn="0" w:noHBand="0" w:noVBand="1"/>
      </w:tblPr>
      <w:tblGrid>
        <w:gridCol w:w="2376"/>
        <w:gridCol w:w="1843"/>
        <w:gridCol w:w="5316"/>
      </w:tblGrid>
      <w:tr w:rsidR="006E6BD3" w:rsidRPr="00E75520" w14:paraId="5A47DA50" w14:textId="77777777" w:rsidTr="00662407">
        <w:tc>
          <w:tcPr>
            <w:tcW w:w="2376" w:type="dxa"/>
            <w:shd w:val="clear" w:color="auto" w:fill="8DB3E2" w:themeFill="text2" w:themeFillTint="66"/>
          </w:tcPr>
          <w:bookmarkEnd w:id="82"/>
          <w:bookmarkEnd w:id="83"/>
          <w:bookmarkEnd w:id="85"/>
          <w:p w14:paraId="7B5C9105" w14:textId="77777777" w:rsidR="006E6BD3" w:rsidRPr="00E75520" w:rsidRDefault="006E6BD3" w:rsidP="00662407">
            <w:pPr>
              <w:tabs>
                <w:tab w:val="clear" w:pos="2835"/>
                <w:tab w:val="clear" w:pos="5670"/>
                <w:tab w:val="clear" w:pos="9016"/>
              </w:tabs>
              <w:spacing w:before="0" w:after="0"/>
              <w:rPr>
                <w:rFonts w:eastAsiaTheme="minorHAnsi" w:cs="Arial"/>
                <w:b/>
                <w:noProof w:val="0"/>
                <w:sz w:val="20"/>
                <w:szCs w:val="20"/>
                <w:lang w:eastAsia="en-US"/>
              </w:rPr>
            </w:pPr>
            <w:r w:rsidRPr="00E75520">
              <w:rPr>
                <w:rFonts w:eastAsiaTheme="minorHAnsi" w:cs="Arial"/>
                <w:b/>
                <w:noProof w:val="0"/>
                <w:sz w:val="20"/>
                <w:szCs w:val="20"/>
                <w:lang w:eastAsia="en-US"/>
              </w:rPr>
              <w:t>PRACTICE NAME</w:t>
            </w:r>
          </w:p>
        </w:tc>
        <w:tc>
          <w:tcPr>
            <w:tcW w:w="1843" w:type="dxa"/>
            <w:shd w:val="clear" w:color="auto" w:fill="8DB3E2" w:themeFill="text2" w:themeFillTint="66"/>
          </w:tcPr>
          <w:p w14:paraId="29346680" w14:textId="77777777" w:rsidR="006E6BD3" w:rsidRPr="00E75520" w:rsidRDefault="006E6BD3" w:rsidP="00662407">
            <w:pPr>
              <w:tabs>
                <w:tab w:val="clear" w:pos="2835"/>
                <w:tab w:val="clear" w:pos="5670"/>
                <w:tab w:val="clear" w:pos="9016"/>
              </w:tabs>
              <w:spacing w:before="0" w:after="0"/>
              <w:rPr>
                <w:rFonts w:eastAsiaTheme="minorHAnsi" w:cs="Arial"/>
                <w:b/>
                <w:noProof w:val="0"/>
                <w:sz w:val="20"/>
                <w:szCs w:val="20"/>
                <w:lang w:eastAsia="en-US"/>
              </w:rPr>
            </w:pPr>
            <w:r w:rsidRPr="00E75520">
              <w:rPr>
                <w:rFonts w:eastAsiaTheme="minorHAnsi" w:cs="Arial"/>
                <w:b/>
                <w:noProof w:val="0"/>
                <w:sz w:val="20"/>
                <w:szCs w:val="20"/>
                <w:lang w:eastAsia="en-US"/>
              </w:rPr>
              <w:t>PRIMARY CARE NETWORK NAME</w:t>
            </w:r>
          </w:p>
        </w:tc>
        <w:tc>
          <w:tcPr>
            <w:tcW w:w="5316" w:type="dxa"/>
            <w:shd w:val="clear" w:color="auto" w:fill="8DB3E2" w:themeFill="text2" w:themeFillTint="66"/>
          </w:tcPr>
          <w:p w14:paraId="5A4D15BD" w14:textId="77777777" w:rsidR="006E6BD3" w:rsidRPr="00E75520" w:rsidRDefault="006E6BD3" w:rsidP="00662407">
            <w:pPr>
              <w:tabs>
                <w:tab w:val="clear" w:pos="2835"/>
                <w:tab w:val="clear" w:pos="5670"/>
                <w:tab w:val="clear" w:pos="9016"/>
              </w:tabs>
              <w:spacing w:before="0" w:after="0"/>
              <w:rPr>
                <w:rFonts w:eastAsiaTheme="minorHAnsi" w:cs="Arial"/>
                <w:b/>
                <w:noProof w:val="0"/>
                <w:sz w:val="20"/>
                <w:szCs w:val="20"/>
                <w:lang w:eastAsia="en-US"/>
              </w:rPr>
            </w:pPr>
            <w:r w:rsidRPr="00E75520">
              <w:rPr>
                <w:rFonts w:eastAsiaTheme="minorHAnsi" w:cs="Arial"/>
                <w:b/>
                <w:noProof w:val="0"/>
                <w:sz w:val="20"/>
                <w:szCs w:val="20"/>
                <w:lang w:eastAsia="en-US"/>
              </w:rPr>
              <w:t>SITES FROM WHICH SERVICES ARE DELIVERED</w:t>
            </w:r>
          </w:p>
        </w:tc>
      </w:tr>
      <w:tr w:rsidR="006E6BD3" w:rsidRPr="00E75520" w14:paraId="1611704D" w14:textId="77777777" w:rsidTr="00662407">
        <w:tc>
          <w:tcPr>
            <w:tcW w:w="2376" w:type="dxa"/>
            <w:vAlign w:val="center"/>
          </w:tcPr>
          <w:p w14:paraId="118F030F"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CHP Bransholme</w:t>
            </w:r>
          </w:p>
        </w:tc>
        <w:tc>
          <w:tcPr>
            <w:tcW w:w="1843" w:type="dxa"/>
            <w:vAlign w:val="center"/>
          </w:tcPr>
          <w:p w14:paraId="367521AE"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Nexus</w:t>
            </w:r>
          </w:p>
        </w:tc>
        <w:tc>
          <w:tcPr>
            <w:tcW w:w="5316" w:type="dxa"/>
          </w:tcPr>
          <w:p w14:paraId="4699D1C6"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Bransholme Health Centre, Goodhart Road, Hull, HU7 4DW</w:t>
            </w:r>
          </w:p>
        </w:tc>
      </w:tr>
      <w:tr w:rsidR="006E6BD3" w:rsidRPr="00E75520" w14:paraId="4E442F1B" w14:textId="77777777" w:rsidTr="00662407">
        <w:tc>
          <w:tcPr>
            <w:tcW w:w="2376" w:type="dxa"/>
            <w:vAlign w:val="center"/>
          </w:tcPr>
          <w:p w14:paraId="360DE582"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East Hull Family Practice</w:t>
            </w:r>
          </w:p>
        </w:tc>
        <w:tc>
          <w:tcPr>
            <w:tcW w:w="1843" w:type="dxa"/>
            <w:vAlign w:val="center"/>
          </w:tcPr>
          <w:p w14:paraId="4E2A7428"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Medicas</w:t>
            </w:r>
          </w:p>
        </w:tc>
        <w:tc>
          <w:tcPr>
            <w:tcW w:w="5316" w:type="dxa"/>
          </w:tcPr>
          <w:p w14:paraId="4DB70AC2"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Morrill Street Health Centre, Morrill Street, Hull, HU9 2LJ</w:t>
            </w:r>
          </w:p>
          <w:p w14:paraId="0224815B"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Longhill Health Care Centre, 162-164 Shannon Road, Hull HU8 9RW</w:t>
            </w:r>
          </w:p>
          <w:p w14:paraId="4D834178"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81 Southbridge Road, Victoria Dock, Hull, HU9 1TR</w:t>
            </w:r>
          </w:p>
          <w:p w14:paraId="3F738864"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Park Health Centre, 700 Holderness Road, Hull, HU9 3JR</w:t>
            </w:r>
          </w:p>
        </w:tc>
      </w:tr>
      <w:tr w:rsidR="006E6BD3" w:rsidRPr="00E75520" w14:paraId="44208E9E" w14:textId="77777777" w:rsidTr="00662407">
        <w:tc>
          <w:tcPr>
            <w:tcW w:w="2376" w:type="dxa"/>
            <w:vAlign w:val="center"/>
          </w:tcPr>
          <w:p w14:paraId="28D0034A"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Kingston Health</w:t>
            </w:r>
          </w:p>
        </w:tc>
        <w:tc>
          <w:tcPr>
            <w:tcW w:w="1843" w:type="dxa"/>
            <w:vAlign w:val="center"/>
          </w:tcPr>
          <w:p w14:paraId="4F1AF79D"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Modality</w:t>
            </w:r>
          </w:p>
        </w:tc>
        <w:tc>
          <w:tcPr>
            <w:tcW w:w="5316" w:type="dxa"/>
          </w:tcPr>
          <w:p w14:paraId="589A11AF"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Kingston Health, Wheeler Street, Hull, HU3 5QE</w:t>
            </w:r>
          </w:p>
          <w:p w14:paraId="29A543A3"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Park Health Centre, 700 Holderness Road, Hull, HU9 3JR</w:t>
            </w:r>
          </w:p>
        </w:tc>
      </w:tr>
      <w:tr w:rsidR="006E6BD3" w:rsidRPr="00E75520" w14:paraId="0E0417AB" w14:textId="77777777" w:rsidTr="00662407">
        <w:tc>
          <w:tcPr>
            <w:tcW w:w="2376" w:type="dxa"/>
            <w:vAlign w:val="center"/>
          </w:tcPr>
          <w:p w14:paraId="300C2B66"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Kingston Medical Centre</w:t>
            </w:r>
          </w:p>
        </w:tc>
        <w:tc>
          <w:tcPr>
            <w:tcW w:w="1843" w:type="dxa"/>
            <w:vAlign w:val="center"/>
          </w:tcPr>
          <w:p w14:paraId="5DE9C663"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Nexus</w:t>
            </w:r>
          </w:p>
        </w:tc>
        <w:tc>
          <w:tcPr>
            <w:tcW w:w="5316" w:type="dxa"/>
          </w:tcPr>
          <w:p w14:paraId="6C6CB81A"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Kingston Medical Centre, 151 Beverley Road, Hull, HU3 1TY</w:t>
            </w:r>
          </w:p>
          <w:p w14:paraId="21DFAC1E"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Wilberforce Health Centre, 6-10 Story Street, Hull, HU1 3SA</w:t>
            </w:r>
          </w:p>
          <w:p w14:paraId="1CDAB951"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Riverside Medical Centre, The Octagon, Walker Street, Hull, HU3 2RA</w:t>
            </w:r>
          </w:p>
        </w:tc>
      </w:tr>
      <w:tr w:rsidR="006E6BD3" w:rsidRPr="00E75520" w14:paraId="7491A62B" w14:textId="77777777" w:rsidTr="00662407">
        <w:tc>
          <w:tcPr>
            <w:tcW w:w="2376" w:type="dxa"/>
            <w:vAlign w:val="center"/>
          </w:tcPr>
          <w:p w14:paraId="4E0CBA49"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Orchard 2000 Group</w:t>
            </w:r>
          </w:p>
        </w:tc>
        <w:tc>
          <w:tcPr>
            <w:tcW w:w="1843" w:type="dxa"/>
            <w:vAlign w:val="center"/>
          </w:tcPr>
          <w:p w14:paraId="59536114"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Bevan Ltd</w:t>
            </w:r>
          </w:p>
        </w:tc>
        <w:tc>
          <w:tcPr>
            <w:tcW w:w="5316" w:type="dxa"/>
          </w:tcPr>
          <w:p w14:paraId="6EC01EF2"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Orchard 2000 Medical Centre, 480 Hall Road, Hull, HU6 9BS</w:t>
            </w:r>
          </w:p>
          <w:p w14:paraId="5B700C38"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Bransholme Health Centre, Goodhart Road, Hull, HU7 4DW</w:t>
            </w:r>
          </w:p>
        </w:tc>
      </w:tr>
      <w:tr w:rsidR="006E6BD3" w:rsidRPr="00E75520" w14:paraId="26AF86E4" w14:textId="77777777" w:rsidTr="00662407">
        <w:tc>
          <w:tcPr>
            <w:tcW w:w="2376" w:type="dxa"/>
            <w:vAlign w:val="center"/>
          </w:tcPr>
          <w:p w14:paraId="12A0BA0F"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Sutton Manor Surgery</w:t>
            </w:r>
          </w:p>
        </w:tc>
        <w:tc>
          <w:tcPr>
            <w:tcW w:w="1843" w:type="dxa"/>
            <w:vAlign w:val="center"/>
          </w:tcPr>
          <w:p w14:paraId="3B0E7D6F"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Nexus</w:t>
            </w:r>
          </w:p>
        </w:tc>
        <w:tc>
          <w:tcPr>
            <w:tcW w:w="5316" w:type="dxa"/>
          </w:tcPr>
          <w:p w14:paraId="35EED6B4"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St Ives Close, Wawne Road, Hull, HU7 4PT</w:t>
            </w:r>
          </w:p>
        </w:tc>
      </w:tr>
      <w:tr w:rsidR="006E6BD3" w:rsidRPr="00E75520" w14:paraId="4686AB9D" w14:textId="77777777" w:rsidTr="00662407">
        <w:tc>
          <w:tcPr>
            <w:tcW w:w="2376" w:type="dxa"/>
            <w:vAlign w:val="center"/>
          </w:tcPr>
          <w:p w14:paraId="36D6A7F4"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St Andrews Group Practice</w:t>
            </w:r>
          </w:p>
        </w:tc>
        <w:tc>
          <w:tcPr>
            <w:tcW w:w="1843" w:type="dxa"/>
            <w:vAlign w:val="center"/>
          </w:tcPr>
          <w:p w14:paraId="63F60E49"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Modality</w:t>
            </w:r>
          </w:p>
        </w:tc>
        <w:tc>
          <w:tcPr>
            <w:tcW w:w="5316" w:type="dxa"/>
          </w:tcPr>
          <w:p w14:paraId="718EEDC5"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The Elliott Chappell Health Centre, 215 Hessle Road, Hull, HU3 4BB</w:t>
            </w:r>
          </w:p>
          <w:p w14:paraId="134483F3"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Newington Health Centre, 2 Plane Street, Hull, HU3 6BX</w:t>
            </w:r>
          </w:p>
        </w:tc>
      </w:tr>
      <w:tr w:rsidR="006E6BD3" w:rsidRPr="00E75520" w14:paraId="4F00E43F" w14:textId="77777777" w:rsidTr="00662407">
        <w:tc>
          <w:tcPr>
            <w:tcW w:w="2376" w:type="dxa"/>
            <w:vAlign w:val="center"/>
          </w:tcPr>
          <w:p w14:paraId="37727190"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Wilberforce Surgery</w:t>
            </w:r>
          </w:p>
        </w:tc>
        <w:tc>
          <w:tcPr>
            <w:tcW w:w="1843" w:type="dxa"/>
            <w:vAlign w:val="center"/>
          </w:tcPr>
          <w:p w14:paraId="3C7B7EC0"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Symphonie</w:t>
            </w:r>
          </w:p>
        </w:tc>
        <w:tc>
          <w:tcPr>
            <w:tcW w:w="5316" w:type="dxa"/>
          </w:tcPr>
          <w:p w14:paraId="68BA52A1"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Wilberforce Health Centre, 6-10 Story Street, Hull, HU1 3SA</w:t>
            </w:r>
          </w:p>
        </w:tc>
      </w:tr>
      <w:tr w:rsidR="006E6BD3" w:rsidRPr="00E75520" w14:paraId="0B1BA658" w14:textId="77777777" w:rsidTr="00662407">
        <w:tc>
          <w:tcPr>
            <w:tcW w:w="2376" w:type="dxa"/>
            <w:vAlign w:val="center"/>
          </w:tcPr>
          <w:p w14:paraId="70412518"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The Avenues Medical Centre</w:t>
            </w:r>
          </w:p>
        </w:tc>
        <w:tc>
          <w:tcPr>
            <w:tcW w:w="1843" w:type="dxa"/>
            <w:vAlign w:val="center"/>
          </w:tcPr>
          <w:p w14:paraId="0E38EC41"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Symphonie</w:t>
            </w:r>
          </w:p>
        </w:tc>
        <w:tc>
          <w:tcPr>
            <w:tcW w:w="5316" w:type="dxa"/>
          </w:tcPr>
          <w:p w14:paraId="38CC27B2"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The Avenues Medical Centre, 149 - 153 Chanterlands Avenue, Hull, HU5 3TJ</w:t>
            </w:r>
          </w:p>
        </w:tc>
      </w:tr>
      <w:tr w:rsidR="006E6BD3" w:rsidRPr="00E75520" w14:paraId="035DC60A" w14:textId="77777777" w:rsidTr="00662407">
        <w:tc>
          <w:tcPr>
            <w:tcW w:w="2376" w:type="dxa"/>
            <w:vAlign w:val="center"/>
          </w:tcPr>
          <w:p w14:paraId="3EC926CE"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lastRenderedPageBreak/>
              <w:t>The Oaks Medical Centre</w:t>
            </w:r>
          </w:p>
        </w:tc>
        <w:tc>
          <w:tcPr>
            <w:tcW w:w="1843" w:type="dxa"/>
            <w:vAlign w:val="center"/>
          </w:tcPr>
          <w:p w14:paraId="45E28673"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Symphonie</w:t>
            </w:r>
          </w:p>
        </w:tc>
        <w:tc>
          <w:tcPr>
            <w:tcW w:w="5316" w:type="dxa"/>
          </w:tcPr>
          <w:p w14:paraId="1E4CCCE9"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The Oaks Medical Centre, Council Avenue, Hull, HU4 6RF</w:t>
            </w:r>
          </w:p>
        </w:tc>
      </w:tr>
      <w:tr w:rsidR="006E6BD3" w:rsidRPr="00E75520" w14:paraId="276595D4" w14:textId="77777777" w:rsidTr="00662407">
        <w:tc>
          <w:tcPr>
            <w:tcW w:w="2376" w:type="dxa"/>
            <w:vAlign w:val="center"/>
          </w:tcPr>
          <w:p w14:paraId="3F83145F"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Marfleet Group Practice</w:t>
            </w:r>
          </w:p>
        </w:tc>
        <w:tc>
          <w:tcPr>
            <w:tcW w:w="1843" w:type="dxa"/>
            <w:vAlign w:val="center"/>
          </w:tcPr>
          <w:p w14:paraId="22B156D5"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Medicas</w:t>
            </w:r>
          </w:p>
        </w:tc>
        <w:tc>
          <w:tcPr>
            <w:tcW w:w="5316" w:type="dxa"/>
          </w:tcPr>
          <w:p w14:paraId="085CE673"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Marfleet Group Practice, Preston Road, Hull, HU9 5HH</w:t>
            </w:r>
          </w:p>
          <w:p w14:paraId="6F017EAD"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Hauxwell Grove, Middlesex Road, Hull, HU8 0RB</w:t>
            </w:r>
          </w:p>
        </w:tc>
      </w:tr>
      <w:tr w:rsidR="006E6BD3" w:rsidRPr="00E75520" w14:paraId="40AD2DE6" w14:textId="77777777" w:rsidTr="00662407">
        <w:tc>
          <w:tcPr>
            <w:tcW w:w="2376" w:type="dxa"/>
            <w:vAlign w:val="center"/>
          </w:tcPr>
          <w:p w14:paraId="7F31BDE7"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Bridge Group Practice</w:t>
            </w:r>
          </w:p>
        </w:tc>
        <w:tc>
          <w:tcPr>
            <w:tcW w:w="1843" w:type="dxa"/>
            <w:vAlign w:val="center"/>
          </w:tcPr>
          <w:p w14:paraId="324F4998"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Nexus</w:t>
            </w:r>
          </w:p>
        </w:tc>
        <w:tc>
          <w:tcPr>
            <w:tcW w:w="5316" w:type="dxa"/>
          </w:tcPr>
          <w:p w14:paraId="26C71DAB"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The Orchard Centre, 210 Orchard Park Road, Hull, HU6 9BX</w:t>
            </w:r>
          </w:p>
          <w:p w14:paraId="3FC9ED9B"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The Elliott Chappell Health Centre, 215 Hessle Road, Hull, HU3 4BB</w:t>
            </w:r>
          </w:p>
        </w:tc>
      </w:tr>
      <w:tr w:rsidR="006E6BD3" w:rsidRPr="00E75520" w14:paraId="24E8DE6A" w14:textId="77777777" w:rsidTr="00662407">
        <w:tc>
          <w:tcPr>
            <w:tcW w:w="2376" w:type="dxa"/>
            <w:vAlign w:val="center"/>
          </w:tcPr>
          <w:p w14:paraId="4EC69B2F"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Wolseley Medical Centre</w:t>
            </w:r>
          </w:p>
        </w:tc>
        <w:tc>
          <w:tcPr>
            <w:tcW w:w="1843" w:type="dxa"/>
            <w:vAlign w:val="center"/>
          </w:tcPr>
          <w:p w14:paraId="343C309E"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Symphonie</w:t>
            </w:r>
          </w:p>
        </w:tc>
        <w:tc>
          <w:tcPr>
            <w:tcW w:w="5316" w:type="dxa"/>
          </w:tcPr>
          <w:p w14:paraId="0421EF60"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Wolseley Medical Centre, Londesborough Street, Hull, HU3 1DS</w:t>
            </w:r>
          </w:p>
        </w:tc>
      </w:tr>
      <w:tr w:rsidR="006E6BD3" w:rsidRPr="00E75520" w14:paraId="78E3334C" w14:textId="77777777" w:rsidTr="00662407">
        <w:tc>
          <w:tcPr>
            <w:tcW w:w="2376" w:type="dxa"/>
            <w:vAlign w:val="center"/>
          </w:tcPr>
          <w:p w14:paraId="14A94640"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Modality Hull</w:t>
            </w:r>
          </w:p>
        </w:tc>
        <w:tc>
          <w:tcPr>
            <w:tcW w:w="1843" w:type="dxa"/>
            <w:vAlign w:val="center"/>
          </w:tcPr>
          <w:p w14:paraId="3CF8D280"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Modality</w:t>
            </w:r>
          </w:p>
        </w:tc>
        <w:tc>
          <w:tcPr>
            <w:tcW w:w="5316" w:type="dxa"/>
          </w:tcPr>
          <w:p w14:paraId="30B05CC1"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Alexandra Health Centre, 61 Alexandra Road, Hull, HU5 2NT. New Hall Surgery, Oakfield Court, Cottingham Road, Hull, HU6 8QF. Springhead Medical Centre, 376 Willerby Road, Hull, HU5 5JT. Bilton Grange Health Centre, 2 Diadem Grove, Hull, HU9 4AL</w:t>
            </w:r>
          </w:p>
        </w:tc>
      </w:tr>
      <w:tr w:rsidR="006E6BD3" w:rsidRPr="00E75520" w14:paraId="4AB8678B" w14:textId="77777777" w:rsidTr="00662407">
        <w:tc>
          <w:tcPr>
            <w:tcW w:w="2376" w:type="dxa"/>
            <w:vAlign w:val="center"/>
          </w:tcPr>
          <w:p w14:paraId="3F33ECFC"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Princes Medical Centre</w:t>
            </w:r>
          </w:p>
        </w:tc>
        <w:tc>
          <w:tcPr>
            <w:tcW w:w="1843" w:type="dxa"/>
            <w:vAlign w:val="center"/>
          </w:tcPr>
          <w:p w14:paraId="46175B7C"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Bevan Ltd</w:t>
            </w:r>
          </w:p>
        </w:tc>
        <w:tc>
          <w:tcPr>
            <w:tcW w:w="5316" w:type="dxa"/>
          </w:tcPr>
          <w:p w14:paraId="091D7905"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Princes Court, 2 Princes Avenue, Hull, HU5 3QA</w:t>
            </w:r>
          </w:p>
        </w:tc>
      </w:tr>
      <w:tr w:rsidR="006E6BD3" w:rsidRPr="00E75520" w14:paraId="476F373D" w14:textId="77777777" w:rsidTr="00662407">
        <w:tc>
          <w:tcPr>
            <w:tcW w:w="2376" w:type="dxa"/>
            <w:vAlign w:val="center"/>
          </w:tcPr>
          <w:p w14:paraId="1F691837"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Clifton House Medical Practice</w:t>
            </w:r>
          </w:p>
        </w:tc>
        <w:tc>
          <w:tcPr>
            <w:tcW w:w="1843" w:type="dxa"/>
            <w:vAlign w:val="center"/>
          </w:tcPr>
          <w:p w14:paraId="1DD2ABDB"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Symphonie</w:t>
            </w:r>
          </w:p>
        </w:tc>
        <w:tc>
          <w:tcPr>
            <w:tcW w:w="5316" w:type="dxa"/>
          </w:tcPr>
          <w:p w14:paraId="3617BB0A"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Clifton House Medical Centre, 263 - 265 Beverley Road, Hull, HU5 2ST</w:t>
            </w:r>
          </w:p>
        </w:tc>
      </w:tr>
      <w:tr w:rsidR="006E6BD3" w:rsidRPr="00E75520" w14:paraId="6775A9C3" w14:textId="77777777" w:rsidTr="00662407">
        <w:tc>
          <w:tcPr>
            <w:tcW w:w="2376" w:type="dxa"/>
            <w:vAlign w:val="center"/>
          </w:tcPr>
          <w:p w14:paraId="10A6F961"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Sydenham Group Practice</w:t>
            </w:r>
          </w:p>
        </w:tc>
        <w:tc>
          <w:tcPr>
            <w:tcW w:w="1843" w:type="dxa"/>
            <w:vAlign w:val="center"/>
          </w:tcPr>
          <w:p w14:paraId="70B9A606"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Symphonie</w:t>
            </w:r>
          </w:p>
        </w:tc>
        <w:tc>
          <w:tcPr>
            <w:tcW w:w="5316" w:type="dxa"/>
          </w:tcPr>
          <w:p w14:paraId="1D231F54"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The Elliott Chappell Health Centre, 215 Hessle Road, Hull, HU3 4BB</w:t>
            </w:r>
          </w:p>
        </w:tc>
      </w:tr>
      <w:tr w:rsidR="006E6BD3" w:rsidRPr="00E75520" w14:paraId="64C26039" w14:textId="77777777" w:rsidTr="00662407">
        <w:tc>
          <w:tcPr>
            <w:tcW w:w="2376" w:type="dxa"/>
            <w:vAlign w:val="center"/>
          </w:tcPr>
          <w:p w14:paraId="27FE8C49"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CHP Southcoates</w:t>
            </w:r>
          </w:p>
        </w:tc>
        <w:tc>
          <w:tcPr>
            <w:tcW w:w="1843" w:type="dxa"/>
            <w:vAlign w:val="center"/>
          </w:tcPr>
          <w:p w14:paraId="6B589C51"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Nexus</w:t>
            </w:r>
          </w:p>
        </w:tc>
        <w:tc>
          <w:tcPr>
            <w:tcW w:w="5316" w:type="dxa"/>
          </w:tcPr>
          <w:p w14:paraId="4171BA6C"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Southcoates Medical Centre, 225 Newbridge Road, Hull, HU9 2LR</w:t>
            </w:r>
          </w:p>
          <w:p w14:paraId="4309A9C2"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358 Marfleet Lane, Hull, HU9 5AD</w:t>
            </w:r>
          </w:p>
        </w:tc>
      </w:tr>
      <w:tr w:rsidR="006E6BD3" w:rsidRPr="00E75520" w14:paraId="2357B342" w14:textId="77777777" w:rsidTr="00662407">
        <w:tc>
          <w:tcPr>
            <w:tcW w:w="2376" w:type="dxa"/>
            <w:vAlign w:val="center"/>
          </w:tcPr>
          <w:p w14:paraId="0FF2685D"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Hastings Medical Centre</w:t>
            </w:r>
          </w:p>
        </w:tc>
        <w:tc>
          <w:tcPr>
            <w:tcW w:w="1843" w:type="dxa"/>
            <w:vAlign w:val="center"/>
          </w:tcPr>
          <w:p w14:paraId="619A82B6"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Symphonie</w:t>
            </w:r>
          </w:p>
        </w:tc>
        <w:tc>
          <w:tcPr>
            <w:tcW w:w="5316" w:type="dxa"/>
          </w:tcPr>
          <w:p w14:paraId="7F957287"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919 Spring Bank West, Hull, HU5 5BE</w:t>
            </w:r>
          </w:p>
        </w:tc>
      </w:tr>
      <w:tr w:rsidR="006E6BD3" w:rsidRPr="00E75520" w14:paraId="4BDA4248" w14:textId="77777777" w:rsidTr="00662407">
        <w:tc>
          <w:tcPr>
            <w:tcW w:w="2376" w:type="dxa"/>
            <w:vAlign w:val="center"/>
          </w:tcPr>
          <w:p w14:paraId="7684BB85"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Haxby Group Burnbrae Surgery</w:t>
            </w:r>
          </w:p>
        </w:tc>
        <w:tc>
          <w:tcPr>
            <w:tcW w:w="1843" w:type="dxa"/>
            <w:vAlign w:val="center"/>
          </w:tcPr>
          <w:p w14:paraId="5D1AE7A2"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Nexus</w:t>
            </w:r>
          </w:p>
        </w:tc>
        <w:tc>
          <w:tcPr>
            <w:tcW w:w="5316" w:type="dxa"/>
          </w:tcPr>
          <w:p w14:paraId="6C3517AD"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Burnbrae Medical Practice, 445 Holderness Road, HU8 8JS</w:t>
            </w:r>
          </w:p>
        </w:tc>
      </w:tr>
      <w:tr w:rsidR="006E6BD3" w:rsidRPr="007A5EB1" w14:paraId="28DE354E" w14:textId="77777777" w:rsidTr="00662407">
        <w:tc>
          <w:tcPr>
            <w:tcW w:w="2376" w:type="dxa"/>
            <w:vAlign w:val="center"/>
          </w:tcPr>
          <w:p w14:paraId="0F2D9681" w14:textId="77777777" w:rsidR="006E6BD3" w:rsidRPr="007A5EB1" w:rsidRDefault="006E6BD3" w:rsidP="00662407">
            <w:pPr>
              <w:tabs>
                <w:tab w:val="clear" w:pos="2835"/>
                <w:tab w:val="clear" w:pos="5670"/>
                <w:tab w:val="clear" w:pos="9016"/>
              </w:tabs>
              <w:spacing w:before="0" w:after="0"/>
              <w:rPr>
                <w:rFonts w:eastAsiaTheme="minorHAnsi" w:cs="Arial"/>
                <w:strike/>
                <w:noProof w:val="0"/>
                <w:sz w:val="20"/>
                <w:szCs w:val="20"/>
                <w:lang w:eastAsia="en-US"/>
              </w:rPr>
            </w:pPr>
            <w:r w:rsidRPr="007A5EB1">
              <w:rPr>
                <w:rFonts w:eastAsiaTheme="minorHAnsi" w:cs="Arial"/>
                <w:noProof w:val="0"/>
                <w:sz w:val="20"/>
                <w:szCs w:val="20"/>
                <w:lang w:eastAsia="en-US"/>
              </w:rPr>
              <w:t>Dr Cook BF Field View</w:t>
            </w:r>
          </w:p>
        </w:tc>
        <w:tc>
          <w:tcPr>
            <w:tcW w:w="1843" w:type="dxa"/>
            <w:vAlign w:val="center"/>
          </w:tcPr>
          <w:p w14:paraId="62F39E3D" w14:textId="77777777" w:rsidR="006E6BD3" w:rsidRPr="007A5EB1"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7A5EB1">
              <w:rPr>
                <w:rFonts w:eastAsiaTheme="minorHAnsi" w:cs="Arial"/>
                <w:noProof w:val="0"/>
                <w:sz w:val="20"/>
                <w:szCs w:val="20"/>
                <w:lang w:eastAsia="en-US"/>
              </w:rPr>
              <w:t>Modality</w:t>
            </w:r>
          </w:p>
        </w:tc>
        <w:tc>
          <w:tcPr>
            <w:tcW w:w="5316" w:type="dxa"/>
          </w:tcPr>
          <w:p w14:paraId="370A8006" w14:textId="77777777" w:rsidR="006E6BD3" w:rsidRPr="007A5EB1"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7A5EB1">
              <w:rPr>
                <w:rFonts w:eastAsiaTheme="minorHAnsi" w:cs="Arial"/>
                <w:noProof w:val="0"/>
                <w:sz w:val="20"/>
                <w:szCs w:val="20"/>
                <w:lang w:eastAsia="en-US"/>
              </w:rPr>
              <w:t>840 Beverley Road,Hull, HU6 7HP</w:t>
            </w:r>
          </w:p>
        </w:tc>
      </w:tr>
      <w:tr w:rsidR="006E6BD3" w:rsidRPr="007A5EB1" w14:paraId="30D607C2" w14:textId="77777777" w:rsidTr="00662407">
        <w:tc>
          <w:tcPr>
            <w:tcW w:w="2376" w:type="dxa"/>
            <w:vAlign w:val="center"/>
          </w:tcPr>
          <w:p w14:paraId="6FAFC3FB" w14:textId="77777777" w:rsidR="006E6BD3" w:rsidRPr="007A5EB1"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7A5EB1">
              <w:rPr>
                <w:rFonts w:eastAsiaTheme="minorHAnsi" w:cs="Arial"/>
                <w:noProof w:val="0"/>
                <w:sz w:val="20"/>
                <w:szCs w:val="20"/>
                <w:lang w:eastAsia="en-US"/>
              </w:rPr>
              <w:t>Delta Healthcare</w:t>
            </w:r>
          </w:p>
        </w:tc>
        <w:tc>
          <w:tcPr>
            <w:tcW w:w="1843" w:type="dxa"/>
            <w:vAlign w:val="center"/>
          </w:tcPr>
          <w:p w14:paraId="44FE5B6F" w14:textId="77777777" w:rsidR="006E6BD3" w:rsidRPr="007A5EB1"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7A5EB1">
              <w:rPr>
                <w:rFonts w:eastAsiaTheme="minorHAnsi" w:cs="Arial"/>
                <w:noProof w:val="0"/>
                <w:sz w:val="20"/>
                <w:szCs w:val="20"/>
                <w:lang w:eastAsia="en-US"/>
              </w:rPr>
              <w:t>Modality</w:t>
            </w:r>
          </w:p>
        </w:tc>
        <w:tc>
          <w:tcPr>
            <w:tcW w:w="5316" w:type="dxa"/>
          </w:tcPr>
          <w:p w14:paraId="6D0696DA" w14:textId="77777777" w:rsidR="006E6BD3" w:rsidRPr="007A5EB1"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7A5EB1">
              <w:rPr>
                <w:rFonts w:eastAsiaTheme="minorHAnsi" w:cs="Arial"/>
                <w:noProof w:val="0"/>
                <w:sz w:val="20"/>
                <w:szCs w:val="20"/>
                <w:lang w:eastAsia="en-US"/>
              </w:rPr>
              <w:t>Park Health Centre, 700 Holderness Road, Hull, HU9 3JR</w:t>
            </w:r>
          </w:p>
        </w:tc>
      </w:tr>
      <w:tr w:rsidR="006E6BD3" w:rsidRPr="007A5EB1" w14:paraId="001308B4" w14:textId="77777777" w:rsidTr="00662407">
        <w:tc>
          <w:tcPr>
            <w:tcW w:w="2376" w:type="dxa"/>
            <w:vAlign w:val="center"/>
          </w:tcPr>
          <w:p w14:paraId="1DF459F2" w14:textId="77777777" w:rsidR="006E6BD3" w:rsidRPr="007A5EB1"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7A5EB1">
              <w:rPr>
                <w:rFonts w:eastAsiaTheme="minorHAnsi" w:cs="Arial"/>
                <w:noProof w:val="0"/>
                <w:sz w:val="20"/>
                <w:szCs w:val="20"/>
                <w:lang w:eastAsia="en-US"/>
              </w:rPr>
              <w:t>Newland Health Centre</w:t>
            </w:r>
          </w:p>
        </w:tc>
        <w:tc>
          <w:tcPr>
            <w:tcW w:w="1843" w:type="dxa"/>
            <w:vAlign w:val="center"/>
          </w:tcPr>
          <w:p w14:paraId="422B62CB" w14:textId="77777777" w:rsidR="006E6BD3" w:rsidRPr="007A5EB1"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7A5EB1">
              <w:rPr>
                <w:rFonts w:eastAsiaTheme="minorHAnsi" w:cs="Arial"/>
                <w:noProof w:val="0"/>
                <w:sz w:val="20"/>
                <w:szCs w:val="20"/>
                <w:lang w:eastAsia="en-US"/>
              </w:rPr>
              <w:t>Symphonie</w:t>
            </w:r>
          </w:p>
        </w:tc>
        <w:tc>
          <w:tcPr>
            <w:tcW w:w="5316" w:type="dxa"/>
          </w:tcPr>
          <w:p w14:paraId="1579E356" w14:textId="77777777" w:rsidR="006E6BD3" w:rsidRPr="007A5EB1"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7A5EB1">
              <w:rPr>
                <w:rFonts w:eastAsiaTheme="minorHAnsi" w:cs="Arial"/>
                <w:noProof w:val="0"/>
                <w:sz w:val="20"/>
                <w:szCs w:val="20"/>
                <w:lang w:eastAsia="en-US"/>
              </w:rPr>
              <w:t>Newland Health Centre, 187 Cottingham Road, Hull, HU5 2EG</w:t>
            </w:r>
          </w:p>
        </w:tc>
      </w:tr>
      <w:tr w:rsidR="006E6BD3" w:rsidRPr="007A5EB1" w14:paraId="73601478" w14:textId="77777777" w:rsidTr="00662407">
        <w:tc>
          <w:tcPr>
            <w:tcW w:w="2376" w:type="dxa"/>
            <w:vAlign w:val="center"/>
          </w:tcPr>
          <w:p w14:paraId="7541862D" w14:textId="77777777" w:rsidR="006E6BD3" w:rsidRPr="007A5EB1"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7A5EB1">
              <w:rPr>
                <w:rFonts w:eastAsiaTheme="minorHAnsi" w:cs="Arial"/>
                <w:noProof w:val="0"/>
                <w:sz w:val="20"/>
                <w:szCs w:val="20"/>
                <w:lang w:eastAsia="en-US"/>
              </w:rPr>
              <w:t>James Alexander Family Practice</w:t>
            </w:r>
          </w:p>
        </w:tc>
        <w:tc>
          <w:tcPr>
            <w:tcW w:w="1843" w:type="dxa"/>
            <w:vAlign w:val="center"/>
          </w:tcPr>
          <w:p w14:paraId="6DC573AB" w14:textId="77777777" w:rsidR="006E6BD3" w:rsidRPr="007A5EB1"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7A5EB1">
              <w:rPr>
                <w:rFonts w:eastAsiaTheme="minorHAnsi" w:cs="Arial"/>
                <w:noProof w:val="0"/>
                <w:sz w:val="20"/>
                <w:szCs w:val="20"/>
                <w:lang w:eastAsia="en-US"/>
              </w:rPr>
              <w:t>Bevan Ltd</w:t>
            </w:r>
          </w:p>
        </w:tc>
        <w:tc>
          <w:tcPr>
            <w:tcW w:w="5316" w:type="dxa"/>
          </w:tcPr>
          <w:p w14:paraId="4AF35065" w14:textId="77777777" w:rsidR="006E6BD3" w:rsidRPr="007A5EB1"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7A5EB1">
              <w:rPr>
                <w:rFonts w:eastAsiaTheme="minorHAnsi" w:cs="Arial"/>
                <w:noProof w:val="0"/>
                <w:sz w:val="20"/>
                <w:szCs w:val="20"/>
                <w:lang w:eastAsia="en-US"/>
              </w:rPr>
              <w:t>Bransholme Health Centre, Goodhart Road, Hull, HU7 4DW</w:t>
            </w:r>
          </w:p>
        </w:tc>
      </w:tr>
      <w:tr w:rsidR="006E6BD3" w:rsidRPr="007A5EB1" w14:paraId="4A626ED8" w14:textId="77777777" w:rsidTr="00662407">
        <w:tc>
          <w:tcPr>
            <w:tcW w:w="2376" w:type="dxa"/>
            <w:vAlign w:val="center"/>
          </w:tcPr>
          <w:p w14:paraId="47FE415F" w14:textId="77777777" w:rsidR="006E6BD3" w:rsidRPr="007A5EB1"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7A5EB1">
              <w:rPr>
                <w:rFonts w:eastAsiaTheme="minorHAnsi" w:cs="Arial"/>
                <w:noProof w:val="0"/>
                <w:sz w:val="20"/>
                <w:szCs w:val="20"/>
                <w:lang w:eastAsia="en-US"/>
              </w:rPr>
              <w:t>Goodheart Surgery</w:t>
            </w:r>
          </w:p>
        </w:tc>
        <w:tc>
          <w:tcPr>
            <w:tcW w:w="1843" w:type="dxa"/>
            <w:vAlign w:val="center"/>
          </w:tcPr>
          <w:p w14:paraId="001EA412" w14:textId="77777777" w:rsidR="006E6BD3" w:rsidRPr="007A5EB1"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7A5EB1">
              <w:rPr>
                <w:rFonts w:eastAsiaTheme="minorHAnsi" w:cs="Arial"/>
                <w:noProof w:val="0"/>
                <w:sz w:val="20"/>
                <w:szCs w:val="20"/>
                <w:lang w:eastAsia="en-US"/>
              </w:rPr>
              <w:t>Bevan Ltd</w:t>
            </w:r>
          </w:p>
        </w:tc>
        <w:tc>
          <w:tcPr>
            <w:tcW w:w="5316" w:type="dxa"/>
          </w:tcPr>
          <w:p w14:paraId="3288EFC0" w14:textId="77777777" w:rsidR="006E6BD3" w:rsidRPr="007A5EB1"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7A5EB1">
              <w:rPr>
                <w:rFonts w:eastAsiaTheme="minorHAnsi" w:cs="Arial"/>
                <w:noProof w:val="0"/>
                <w:sz w:val="20"/>
                <w:szCs w:val="20"/>
                <w:lang w:eastAsia="en-US"/>
              </w:rPr>
              <w:t>Bransholme Health Centre, Goodhart Road, Hull, HU7 4DW</w:t>
            </w:r>
          </w:p>
        </w:tc>
      </w:tr>
      <w:tr w:rsidR="006E6BD3" w:rsidRPr="007A5EB1" w14:paraId="6B00B374" w14:textId="77777777" w:rsidTr="00662407">
        <w:tc>
          <w:tcPr>
            <w:tcW w:w="2376" w:type="dxa"/>
            <w:vAlign w:val="center"/>
          </w:tcPr>
          <w:p w14:paraId="3D433161" w14:textId="77777777" w:rsidR="006E6BD3" w:rsidRPr="007A5EB1"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7A5EB1">
              <w:rPr>
                <w:rFonts w:eastAsiaTheme="minorHAnsi" w:cs="Arial"/>
                <w:noProof w:val="0"/>
                <w:sz w:val="20"/>
                <w:szCs w:val="20"/>
                <w:lang w:eastAsia="en-US"/>
              </w:rPr>
              <w:t>Hendow GT</w:t>
            </w:r>
          </w:p>
        </w:tc>
        <w:tc>
          <w:tcPr>
            <w:tcW w:w="1843" w:type="dxa"/>
            <w:vAlign w:val="center"/>
          </w:tcPr>
          <w:p w14:paraId="55CA3911" w14:textId="77777777" w:rsidR="006E6BD3" w:rsidRPr="007A5EB1"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7A5EB1">
              <w:rPr>
                <w:rFonts w:eastAsiaTheme="minorHAnsi" w:cs="Arial"/>
                <w:noProof w:val="0"/>
                <w:sz w:val="20"/>
                <w:szCs w:val="20"/>
                <w:lang w:eastAsia="en-US"/>
              </w:rPr>
              <w:t>Bevan Ltd</w:t>
            </w:r>
          </w:p>
        </w:tc>
        <w:tc>
          <w:tcPr>
            <w:tcW w:w="5316" w:type="dxa"/>
          </w:tcPr>
          <w:p w14:paraId="49FC316B" w14:textId="77777777" w:rsidR="006E6BD3" w:rsidRPr="007A5EB1"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7A5EB1">
              <w:rPr>
                <w:rFonts w:eastAsiaTheme="minorHAnsi" w:cs="Arial"/>
                <w:noProof w:val="0"/>
                <w:sz w:val="20"/>
                <w:szCs w:val="20"/>
                <w:lang w:eastAsia="en-US"/>
              </w:rPr>
              <w:t>Bransholme Health Centre, Goodhart Road, Hull, HU7 4DW</w:t>
            </w:r>
          </w:p>
        </w:tc>
      </w:tr>
      <w:tr w:rsidR="006E6BD3" w:rsidRPr="00E75520" w14:paraId="35B559E5" w14:textId="77777777" w:rsidTr="00662407">
        <w:tc>
          <w:tcPr>
            <w:tcW w:w="2376" w:type="dxa"/>
            <w:vAlign w:val="center"/>
          </w:tcPr>
          <w:p w14:paraId="14F16453"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Raut Partnership</w:t>
            </w:r>
          </w:p>
        </w:tc>
        <w:tc>
          <w:tcPr>
            <w:tcW w:w="1843" w:type="dxa"/>
            <w:vAlign w:val="center"/>
          </w:tcPr>
          <w:p w14:paraId="0BA28F4F"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Bevan Ltd</w:t>
            </w:r>
          </w:p>
        </w:tc>
        <w:tc>
          <w:tcPr>
            <w:tcW w:w="5316" w:type="dxa"/>
          </w:tcPr>
          <w:p w14:paraId="7660844A"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Highlands Health Centre, Lothian Way, Hull, HU7 5DD</w:t>
            </w:r>
          </w:p>
          <w:p w14:paraId="6FC00CBB"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Littondale, Sutton Park Hull, HU7 4BJ</w:t>
            </w:r>
          </w:p>
        </w:tc>
      </w:tr>
      <w:tr w:rsidR="006E6BD3" w:rsidRPr="00E75520" w14:paraId="3BF547F6" w14:textId="77777777" w:rsidTr="00662407">
        <w:tc>
          <w:tcPr>
            <w:tcW w:w="2376" w:type="dxa"/>
            <w:vAlign w:val="center"/>
          </w:tcPr>
          <w:p w14:paraId="094678B1"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Laurbel Surgery</w:t>
            </w:r>
          </w:p>
        </w:tc>
        <w:tc>
          <w:tcPr>
            <w:tcW w:w="1843" w:type="dxa"/>
            <w:vAlign w:val="center"/>
          </w:tcPr>
          <w:p w14:paraId="6F90D140"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Bevan Ltd</w:t>
            </w:r>
          </w:p>
        </w:tc>
        <w:tc>
          <w:tcPr>
            <w:tcW w:w="5316" w:type="dxa"/>
          </w:tcPr>
          <w:p w14:paraId="21B871DF"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Laurbel Surgery, 14 Main Road, Bilton, Hull, HU11 4AR</w:t>
            </w:r>
          </w:p>
        </w:tc>
      </w:tr>
      <w:tr w:rsidR="006E6BD3" w:rsidRPr="00E75520" w14:paraId="74DBCAF7" w14:textId="77777777" w:rsidTr="00662407">
        <w:tc>
          <w:tcPr>
            <w:tcW w:w="2376" w:type="dxa"/>
            <w:vAlign w:val="center"/>
          </w:tcPr>
          <w:p w14:paraId="4BD67AF0"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East Park Practice</w:t>
            </w:r>
          </w:p>
        </w:tc>
        <w:tc>
          <w:tcPr>
            <w:tcW w:w="1843" w:type="dxa"/>
            <w:vAlign w:val="center"/>
          </w:tcPr>
          <w:p w14:paraId="7E372978"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Nexus</w:t>
            </w:r>
          </w:p>
        </w:tc>
        <w:tc>
          <w:tcPr>
            <w:tcW w:w="5316" w:type="dxa"/>
          </w:tcPr>
          <w:p w14:paraId="253ECA18"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Park Health Centre, 700 Holderness Road, Hull, HU9 3JA</w:t>
            </w:r>
          </w:p>
        </w:tc>
      </w:tr>
      <w:tr w:rsidR="006E6BD3" w:rsidRPr="00E75520" w14:paraId="18A1EDC6" w14:textId="77777777" w:rsidTr="00662407">
        <w:tc>
          <w:tcPr>
            <w:tcW w:w="2376" w:type="dxa"/>
            <w:vAlign w:val="center"/>
          </w:tcPr>
          <w:p w14:paraId="2F06542D"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Haxby Newington/Calvert</w:t>
            </w:r>
          </w:p>
        </w:tc>
        <w:tc>
          <w:tcPr>
            <w:tcW w:w="1843" w:type="dxa"/>
            <w:vAlign w:val="center"/>
          </w:tcPr>
          <w:p w14:paraId="20D8124C"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Nexus</w:t>
            </w:r>
          </w:p>
        </w:tc>
        <w:tc>
          <w:tcPr>
            <w:tcW w:w="5316" w:type="dxa"/>
          </w:tcPr>
          <w:p w14:paraId="1C42C02F"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Newington Health Centre, 2 Plane Street, Hull, HU3 6BX</w:t>
            </w:r>
          </w:p>
          <w:p w14:paraId="47D384FE"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The Calvert Health Centre, 110A Calvert Lane, Hull, HU4 6BH</w:t>
            </w:r>
          </w:p>
        </w:tc>
      </w:tr>
      <w:tr w:rsidR="006E6BD3" w:rsidRPr="00E75520" w14:paraId="50482391" w14:textId="77777777" w:rsidTr="00662407">
        <w:tc>
          <w:tcPr>
            <w:tcW w:w="2376" w:type="dxa"/>
            <w:vAlign w:val="center"/>
          </w:tcPr>
          <w:p w14:paraId="172B952E"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Northpoint</w:t>
            </w:r>
          </w:p>
        </w:tc>
        <w:tc>
          <w:tcPr>
            <w:tcW w:w="1843" w:type="dxa"/>
            <w:vAlign w:val="center"/>
          </w:tcPr>
          <w:p w14:paraId="7E06CDCA"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Bevan Ltd</w:t>
            </w:r>
          </w:p>
        </w:tc>
        <w:tc>
          <w:tcPr>
            <w:tcW w:w="5316" w:type="dxa"/>
          </w:tcPr>
          <w:p w14:paraId="6611B48B"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Bransholme Health Centre, Goodhart Road, Hull, HU7 4DW</w:t>
            </w:r>
          </w:p>
        </w:tc>
      </w:tr>
      <w:tr w:rsidR="006E6BD3" w:rsidRPr="00E75520" w14:paraId="64269CFE" w14:textId="77777777" w:rsidTr="00662407">
        <w:tc>
          <w:tcPr>
            <w:tcW w:w="2376" w:type="dxa"/>
            <w:vAlign w:val="center"/>
          </w:tcPr>
          <w:p w14:paraId="7A89612A"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Haxby Group Hull</w:t>
            </w:r>
          </w:p>
        </w:tc>
        <w:tc>
          <w:tcPr>
            <w:tcW w:w="1843" w:type="dxa"/>
            <w:vAlign w:val="center"/>
          </w:tcPr>
          <w:p w14:paraId="03619341"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Nexus</w:t>
            </w:r>
          </w:p>
        </w:tc>
        <w:tc>
          <w:tcPr>
            <w:tcW w:w="5316" w:type="dxa"/>
          </w:tcPr>
          <w:p w14:paraId="515AD5FE"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Kingswood Healthcare Centre, 10 School Lane, HU7 3JQ</w:t>
            </w:r>
          </w:p>
          <w:p w14:paraId="24D03FA7" w14:textId="77777777" w:rsidR="006E6BD3" w:rsidRPr="00E75520" w:rsidRDefault="006E6BD3" w:rsidP="00662407">
            <w:pPr>
              <w:tabs>
                <w:tab w:val="clear" w:pos="2835"/>
                <w:tab w:val="clear" w:pos="5670"/>
                <w:tab w:val="clear" w:pos="9016"/>
              </w:tabs>
              <w:spacing w:before="0" w:after="0"/>
              <w:rPr>
                <w:rFonts w:eastAsiaTheme="minorHAnsi" w:cs="Arial"/>
                <w:noProof w:val="0"/>
                <w:sz w:val="20"/>
                <w:szCs w:val="20"/>
                <w:lang w:eastAsia="en-US"/>
              </w:rPr>
            </w:pPr>
            <w:r w:rsidRPr="00E75520">
              <w:rPr>
                <w:rFonts w:eastAsiaTheme="minorHAnsi" w:cs="Arial"/>
                <w:noProof w:val="0"/>
                <w:sz w:val="20"/>
                <w:szCs w:val="20"/>
                <w:lang w:eastAsia="en-US"/>
              </w:rPr>
              <w:t>The Orchard Centre, 210 Orchard Park Road, Hull, HU6 9BX</w:t>
            </w:r>
          </w:p>
        </w:tc>
      </w:tr>
    </w:tbl>
    <w:p w14:paraId="7C3DAB01" w14:textId="4DD0E8E9" w:rsidR="00584137" w:rsidRPr="003D2D78" w:rsidRDefault="00E84839" w:rsidP="00B66DE2">
      <w:pPr>
        <w:rPr>
          <w:sz w:val="16"/>
          <w:szCs w:val="16"/>
        </w:rPr>
      </w:pPr>
      <w:r w:rsidRPr="003D2D78">
        <w:rPr>
          <w:sz w:val="16"/>
          <w:szCs w:val="16"/>
        </w:rPr>
        <w:t>*merged with Goodheart Surgery July 2020</w:t>
      </w:r>
      <w:r w:rsidR="003D2D78">
        <w:rPr>
          <w:sz w:val="16"/>
          <w:szCs w:val="16"/>
        </w:rPr>
        <w:t xml:space="preserve">. </w:t>
      </w:r>
      <w:r w:rsidR="00584137" w:rsidRPr="003D2D78">
        <w:rPr>
          <w:sz w:val="16"/>
          <w:szCs w:val="16"/>
        </w:rPr>
        <w:t xml:space="preserve">See </w:t>
      </w:r>
      <w:hyperlink r:id="rId41" w:history="1">
        <w:r w:rsidR="00584137" w:rsidRPr="003D2D78">
          <w:rPr>
            <w:rStyle w:val="Hyperlink"/>
            <w:sz w:val="16"/>
            <w:szCs w:val="16"/>
          </w:rPr>
          <w:t>www.hullccg.nhs.uk</w:t>
        </w:r>
      </w:hyperlink>
      <w:r w:rsidR="00584137" w:rsidRPr="003D2D78">
        <w:rPr>
          <w:sz w:val="16"/>
          <w:szCs w:val="16"/>
        </w:rPr>
        <w:t xml:space="preserve"> for Practice websites</w:t>
      </w:r>
    </w:p>
    <w:p w14:paraId="64D64171" w14:textId="57BD5036" w:rsidR="008E3C5F" w:rsidRPr="00326E18" w:rsidRDefault="008E3C5F" w:rsidP="00B66DE2">
      <w:pPr>
        <w:pStyle w:val="Heading3"/>
        <w:spacing w:line="240" w:lineRule="auto"/>
        <w:rPr>
          <w:rFonts w:cs="Arial"/>
          <w:color w:val="auto"/>
          <w:sz w:val="22"/>
        </w:rPr>
      </w:pPr>
      <w:bookmarkStart w:id="86" w:name="_Toc103695042"/>
      <w:r w:rsidRPr="00AC01FD">
        <w:t xml:space="preserve">CCG Board Membership </w:t>
      </w:r>
      <w:r w:rsidR="00F62D4A">
        <w:t>2021-22</w:t>
      </w:r>
      <w:bookmarkEnd w:id="86"/>
      <w:r w:rsidRPr="00A558A4">
        <w:rPr>
          <w:rFonts w:cs="Arial"/>
          <w:sz w:val="22"/>
        </w:rPr>
        <w:t xml:space="preserve"> </w:t>
      </w:r>
    </w:p>
    <w:p w14:paraId="59F2C9D8" w14:textId="77777777" w:rsidR="00682410" w:rsidRDefault="00682410" w:rsidP="004A5984">
      <w:pPr>
        <w:rPr>
          <w:rFonts w:cs="Arial"/>
        </w:rPr>
      </w:pPr>
      <w:r>
        <w:rPr>
          <w:rFonts w:eastAsia="Arial" w:cs="Arial"/>
          <w:spacing w:val="2"/>
        </w:rPr>
        <w:t>T</w:t>
      </w:r>
      <w:r>
        <w:rPr>
          <w:rFonts w:eastAsia="Arial" w:cs="Arial"/>
        </w:rPr>
        <w:t>he</w:t>
      </w:r>
      <w:r>
        <w:rPr>
          <w:rFonts w:eastAsia="Arial" w:cs="Arial"/>
          <w:spacing w:val="-2"/>
        </w:rPr>
        <w:t xml:space="preserve"> NHS Hull </w:t>
      </w:r>
      <w:r>
        <w:rPr>
          <w:rFonts w:eastAsia="Arial" w:cs="Arial"/>
          <w:spacing w:val="-1"/>
        </w:rPr>
        <w:t>CC</w:t>
      </w:r>
      <w:r>
        <w:rPr>
          <w:rFonts w:eastAsia="Arial" w:cs="Arial"/>
        </w:rPr>
        <w:t>G</w:t>
      </w:r>
      <w:r>
        <w:rPr>
          <w:rFonts w:eastAsia="Arial" w:cs="Arial"/>
          <w:spacing w:val="2"/>
        </w:rPr>
        <w:t xml:space="preserve"> </w:t>
      </w:r>
      <w:r>
        <w:rPr>
          <w:rFonts w:eastAsia="Arial" w:cs="Arial"/>
          <w:spacing w:val="-1"/>
        </w:rPr>
        <w:t>B</w:t>
      </w:r>
      <w:r>
        <w:rPr>
          <w:rFonts w:eastAsia="Arial" w:cs="Arial"/>
        </w:rPr>
        <w:t>o</w:t>
      </w:r>
      <w:r>
        <w:rPr>
          <w:rFonts w:eastAsia="Arial" w:cs="Arial"/>
          <w:spacing w:val="-3"/>
        </w:rPr>
        <w:t>a</w:t>
      </w:r>
      <w:r>
        <w:rPr>
          <w:rFonts w:eastAsia="Arial" w:cs="Arial"/>
          <w:spacing w:val="1"/>
        </w:rPr>
        <w:t>r</w:t>
      </w:r>
      <w:r>
        <w:rPr>
          <w:rFonts w:eastAsia="Arial" w:cs="Arial"/>
        </w:rPr>
        <w:t>d</w:t>
      </w:r>
      <w:r>
        <w:rPr>
          <w:rFonts w:eastAsia="Arial" w:cs="Arial"/>
          <w:spacing w:val="-2"/>
        </w:rPr>
        <w:t xml:space="preserve"> </w:t>
      </w:r>
      <w:r>
        <w:rPr>
          <w:rFonts w:eastAsia="Arial" w:cs="Arial"/>
          <w:spacing w:val="1"/>
        </w:rPr>
        <w:t>m</w:t>
      </w:r>
      <w:r>
        <w:rPr>
          <w:rFonts w:eastAsia="Arial" w:cs="Arial"/>
        </w:rPr>
        <w:t>e</w:t>
      </w:r>
      <w:r>
        <w:rPr>
          <w:rFonts w:eastAsia="Arial" w:cs="Arial"/>
          <w:spacing w:val="-1"/>
        </w:rPr>
        <w:t>et</w:t>
      </w:r>
      <w:r>
        <w:rPr>
          <w:rFonts w:eastAsia="Arial" w:cs="Arial"/>
        </w:rPr>
        <w:t>s</w:t>
      </w:r>
      <w:r>
        <w:rPr>
          <w:rFonts w:eastAsia="Arial" w:cs="Arial"/>
          <w:spacing w:val="1"/>
        </w:rPr>
        <w:t xml:space="preserve"> </w:t>
      </w:r>
      <w:r>
        <w:rPr>
          <w:rFonts w:eastAsia="Arial" w:cs="Arial"/>
          <w:spacing w:val="-3"/>
        </w:rPr>
        <w:t>i</w:t>
      </w:r>
      <w:r>
        <w:rPr>
          <w:rFonts w:eastAsia="Arial" w:cs="Arial"/>
        </w:rPr>
        <w:t>n pub</w:t>
      </w:r>
      <w:r>
        <w:rPr>
          <w:rFonts w:eastAsia="Arial" w:cs="Arial"/>
          <w:spacing w:val="-2"/>
        </w:rPr>
        <w:t>l</w:t>
      </w:r>
      <w:r>
        <w:rPr>
          <w:rFonts w:eastAsia="Arial" w:cs="Arial"/>
          <w:spacing w:val="-1"/>
        </w:rPr>
        <w:t>i</w:t>
      </w:r>
      <w:r>
        <w:rPr>
          <w:rFonts w:eastAsia="Arial" w:cs="Arial"/>
        </w:rPr>
        <w:t>c</w:t>
      </w:r>
      <w:r>
        <w:rPr>
          <w:rFonts w:eastAsia="Arial" w:cs="Arial"/>
          <w:spacing w:val="1"/>
        </w:rPr>
        <w:t xml:space="preserve"> </w:t>
      </w:r>
      <w:r>
        <w:rPr>
          <w:rFonts w:eastAsia="Arial" w:cs="Arial"/>
        </w:rPr>
        <w:t>on a</w:t>
      </w:r>
      <w:r>
        <w:rPr>
          <w:rFonts w:eastAsia="Arial" w:cs="Arial"/>
          <w:spacing w:val="-2"/>
        </w:rPr>
        <w:t xml:space="preserve"> </w:t>
      </w:r>
      <w:r>
        <w:rPr>
          <w:rFonts w:eastAsia="Arial" w:cs="Arial"/>
        </w:rPr>
        <w:t>b</w:t>
      </w:r>
      <w:r>
        <w:rPr>
          <w:rFonts w:eastAsia="Arial" w:cs="Arial"/>
          <w:spacing w:val="1"/>
        </w:rPr>
        <w:t>i-m</w:t>
      </w:r>
      <w:r>
        <w:rPr>
          <w:rFonts w:eastAsia="Arial" w:cs="Arial"/>
        </w:rPr>
        <w:t>o</w:t>
      </w:r>
      <w:r>
        <w:rPr>
          <w:rFonts w:eastAsia="Arial" w:cs="Arial"/>
          <w:spacing w:val="-3"/>
        </w:rPr>
        <w:t>n</w:t>
      </w:r>
      <w:r>
        <w:rPr>
          <w:rFonts w:eastAsia="Arial" w:cs="Arial"/>
          <w:spacing w:val="1"/>
        </w:rPr>
        <w:t>t</w:t>
      </w:r>
      <w:r>
        <w:rPr>
          <w:rFonts w:eastAsia="Arial" w:cs="Arial"/>
        </w:rPr>
        <w:t>h</w:t>
      </w:r>
      <w:r>
        <w:rPr>
          <w:rFonts w:eastAsia="Arial" w:cs="Arial"/>
          <w:spacing w:val="-1"/>
        </w:rPr>
        <w:t>l</w:t>
      </w:r>
      <w:r>
        <w:rPr>
          <w:rFonts w:eastAsia="Arial" w:cs="Arial"/>
        </w:rPr>
        <w:t>y</w:t>
      </w:r>
      <w:r>
        <w:rPr>
          <w:rFonts w:eastAsia="Arial" w:cs="Arial"/>
          <w:spacing w:val="-1"/>
        </w:rPr>
        <w:t xml:space="preserve"> </w:t>
      </w:r>
      <w:r>
        <w:rPr>
          <w:rFonts w:eastAsia="Arial" w:cs="Arial"/>
        </w:rPr>
        <w:t>b</w:t>
      </w:r>
      <w:r>
        <w:rPr>
          <w:rFonts w:eastAsia="Arial" w:cs="Arial"/>
          <w:spacing w:val="-1"/>
        </w:rPr>
        <w:t>a</w:t>
      </w:r>
      <w:r>
        <w:rPr>
          <w:rFonts w:eastAsia="Arial" w:cs="Arial"/>
        </w:rPr>
        <w:t>s</w:t>
      </w:r>
      <w:r>
        <w:rPr>
          <w:rFonts w:eastAsia="Arial" w:cs="Arial"/>
          <w:spacing w:val="-1"/>
        </w:rPr>
        <w:t>i</w:t>
      </w:r>
      <w:r>
        <w:rPr>
          <w:rFonts w:eastAsia="Arial" w:cs="Arial"/>
        </w:rPr>
        <w:t xml:space="preserve">s. </w:t>
      </w:r>
      <w:r>
        <w:rPr>
          <w:rFonts w:cs="Arial"/>
        </w:rPr>
        <w:t xml:space="preserve">It has responsibility for leading the development of the CCG’s vision and strategy, as well as providing assurance to the Council of Members with regards to the achievement of the CCG’s objectives. Please see </w:t>
      </w:r>
      <w:hyperlink r:id="rId42" w:history="1">
        <w:r>
          <w:rPr>
            <w:rStyle w:val="Hyperlink"/>
            <w:rFonts w:cs="Arial"/>
            <w:color w:val="0000FF"/>
          </w:rPr>
          <w:t>www.hullccg.nhs.uk</w:t>
        </w:r>
      </w:hyperlink>
      <w:r>
        <w:rPr>
          <w:rFonts w:cs="Arial"/>
        </w:rPr>
        <w:t xml:space="preserve"> for individual </w:t>
      </w:r>
      <w:r>
        <w:rPr>
          <w:rFonts w:cs="Arial"/>
          <w:b/>
        </w:rPr>
        <w:t>Board member profiles</w:t>
      </w:r>
      <w:r>
        <w:rPr>
          <w:rFonts w:cs="Arial"/>
        </w:rPr>
        <w:t xml:space="preserve"> and </w:t>
      </w:r>
      <w:r>
        <w:rPr>
          <w:rFonts w:cs="Arial"/>
          <w:b/>
          <w:color w:val="000000"/>
        </w:rPr>
        <w:t>Register of interests</w:t>
      </w:r>
      <w:r>
        <w:rPr>
          <w:rFonts w:cs="Arial"/>
          <w:color w:val="000000"/>
        </w:rPr>
        <w:t xml:space="preserve"> (</w:t>
      </w:r>
      <w:r>
        <w:rPr>
          <w:rFonts w:cs="Arial"/>
        </w:rPr>
        <w:t xml:space="preserve">Historical declarations of interest can be obtained via </w:t>
      </w:r>
      <w:hyperlink r:id="rId43" w:history="1">
        <w:r>
          <w:rPr>
            <w:rStyle w:val="Hyperlink"/>
            <w:rFonts w:cs="Arial"/>
            <w:color w:val="0000FF"/>
          </w:rPr>
          <w:t>HULLCCG.contactus@nhs.net</w:t>
        </w:r>
      </w:hyperlink>
      <w:r>
        <w:rPr>
          <w:rFonts w:cs="Arial"/>
        </w:rPr>
        <w:t xml:space="preserve">) </w:t>
      </w:r>
    </w:p>
    <w:p w14:paraId="0075EB6E" w14:textId="77777777" w:rsidR="00155486" w:rsidRDefault="00682410" w:rsidP="00682410">
      <w:pPr>
        <w:spacing w:line="240" w:lineRule="auto"/>
        <w:rPr>
          <w:rFonts w:cs="Arial"/>
          <w:b/>
        </w:rPr>
      </w:pPr>
      <w:r w:rsidRPr="00155486">
        <w:rPr>
          <w:rStyle w:val="NoSpacingChar"/>
        </w:rPr>
        <w:lastRenderedPageBreak/>
        <w:t>Hull Clinical Commissioning Group Board Membership (including Associate Members) 2021-22.</w:t>
      </w:r>
      <w:r>
        <w:rPr>
          <w:rFonts w:cs="Arial"/>
          <w:b/>
        </w:rPr>
        <w:t xml:space="preserve"> </w:t>
      </w:r>
    </w:p>
    <w:p w14:paraId="52364EFD" w14:textId="2FB65209" w:rsidR="00682410" w:rsidRDefault="00682410" w:rsidP="00682410">
      <w:pPr>
        <w:spacing w:line="240" w:lineRule="auto"/>
        <w:rPr>
          <w:rFonts w:cs="Arial"/>
          <w:b/>
          <w:sz w:val="18"/>
          <w:szCs w:val="18"/>
        </w:rPr>
      </w:pPr>
      <w:r>
        <w:rPr>
          <w:rFonts w:cs="Arial"/>
          <w:b/>
        </w:rPr>
        <w:t>(</w:t>
      </w:r>
      <w:r>
        <w:rPr>
          <w:rFonts w:cs="Arial"/>
          <w:b/>
          <w:sz w:val="18"/>
          <w:szCs w:val="18"/>
        </w:rPr>
        <w:t>All memberships run from 1 April 2021 - 31 March 2022 inclusive unless stated otherwise)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828"/>
        <w:gridCol w:w="3289"/>
      </w:tblGrid>
      <w:tr w:rsidR="00682410" w14:paraId="66EDB046" w14:textId="77777777" w:rsidTr="00292220">
        <w:trPr>
          <w:trHeight w:val="302"/>
          <w:tblHeader/>
        </w:trPr>
        <w:tc>
          <w:tcPr>
            <w:tcW w:w="2376" w:type="dxa"/>
            <w:tcBorders>
              <w:top w:val="single" w:sz="4" w:space="0" w:color="auto"/>
              <w:left w:val="single" w:sz="4" w:space="0" w:color="auto"/>
              <w:bottom w:val="single" w:sz="4" w:space="0" w:color="auto"/>
              <w:right w:val="single" w:sz="4" w:space="0" w:color="auto"/>
            </w:tcBorders>
            <w:shd w:val="clear" w:color="auto" w:fill="95B3D7"/>
            <w:hideMark/>
          </w:tcPr>
          <w:p w14:paraId="088132DB" w14:textId="77777777" w:rsidR="00682410" w:rsidRDefault="00682410" w:rsidP="00196D2B">
            <w:pPr>
              <w:spacing w:before="0" w:after="0" w:line="240" w:lineRule="auto"/>
              <w:rPr>
                <w:rFonts w:cs="Arial"/>
                <w:b/>
                <w:lang w:eastAsia="en-US"/>
              </w:rPr>
            </w:pPr>
            <w:r>
              <w:rPr>
                <w:rFonts w:cs="Arial"/>
                <w:b/>
                <w:lang w:eastAsia="en-US"/>
              </w:rPr>
              <w:t>NAME</w:t>
            </w:r>
          </w:p>
        </w:tc>
        <w:tc>
          <w:tcPr>
            <w:tcW w:w="3828" w:type="dxa"/>
            <w:tcBorders>
              <w:top w:val="single" w:sz="4" w:space="0" w:color="auto"/>
              <w:left w:val="single" w:sz="4" w:space="0" w:color="auto"/>
              <w:bottom w:val="single" w:sz="4" w:space="0" w:color="auto"/>
              <w:right w:val="single" w:sz="4" w:space="0" w:color="auto"/>
            </w:tcBorders>
            <w:shd w:val="clear" w:color="auto" w:fill="95B3D7"/>
            <w:hideMark/>
          </w:tcPr>
          <w:p w14:paraId="5F88A119" w14:textId="77777777" w:rsidR="00682410" w:rsidRDefault="00682410" w:rsidP="00196D2B">
            <w:pPr>
              <w:spacing w:before="0" w:after="0" w:line="240" w:lineRule="auto"/>
              <w:rPr>
                <w:rFonts w:cs="Arial"/>
                <w:b/>
                <w:lang w:eastAsia="en-US"/>
              </w:rPr>
            </w:pPr>
            <w:r>
              <w:rPr>
                <w:rFonts w:cs="Arial"/>
                <w:b/>
                <w:lang w:eastAsia="en-US"/>
              </w:rPr>
              <w:t>JOB TITLE</w:t>
            </w:r>
          </w:p>
        </w:tc>
        <w:tc>
          <w:tcPr>
            <w:tcW w:w="3289" w:type="dxa"/>
            <w:tcBorders>
              <w:top w:val="single" w:sz="4" w:space="0" w:color="auto"/>
              <w:left w:val="single" w:sz="4" w:space="0" w:color="auto"/>
              <w:bottom w:val="single" w:sz="4" w:space="0" w:color="auto"/>
              <w:right w:val="single" w:sz="4" w:space="0" w:color="auto"/>
            </w:tcBorders>
            <w:shd w:val="clear" w:color="auto" w:fill="95B3D7"/>
            <w:hideMark/>
          </w:tcPr>
          <w:p w14:paraId="17991600" w14:textId="77777777" w:rsidR="00682410" w:rsidRDefault="00682410" w:rsidP="00196D2B">
            <w:pPr>
              <w:spacing w:before="0" w:after="0" w:line="240" w:lineRule="auto"/>
              <w:ind w:right="-755"/>
              <w:rPr>
                <w:rFonts w:cs="Arial"/>
                <w:b/>
                <w:lang w:eastAsia="en-US"/>
              </w:rPr>
            </w:pPr>
            <w:r>
              <w:rPr>
                <w:rFonts w:eastAsia="Times New Roman" w:cs="Arial"/>
                <w:b/>
                <w:lang w:eastAsia="en-US"/>
              </w:rPr>
              <w:t xml:space="preserve">DATES OF MEMBERSHIP </w:t>
            </w:r>
          </w:p>
        </w:tc>
      </w:tr>
      <w:tr w:rsidR="00682410" w14:paraId="3CFCD365" w14:textId="77777777" w:rsidTr="00292220">
        <w:trPr>
          <w:trHeight w:val="324"/>
        </w:trPr>
        <w:tc>
          <w:tcPr>
            <w:tcW w:w="2376" w:type="dxa"/>
            <w:tcBorders>
              <w:top w:val="single" w:sz="4" w:space="0" w:color="auto"/>
              <w:left w:val="single" w:sz="4" w:space="0" w:color="auto"/>
              <w:bottom w:val="single" w:sz="4" w:space="0" w:color="auto"/>
              <w:right w:val="single" w:sz="4" w:space="0" w:color="auto"/>
            </w:tcBorders>
            <w:hideMark/>
          </w:tcPr>
          <w:p w14:paraId="47906910" w14:textId="77777777" w:rsidR="00682410" w:rsidRDefault="00682410" w:rsidP="00196D2B">
            <w:pPr>
              <w:spacing w:before="0" w:after="0" w:line="240" w:lineRule="auto"/>
              <w:rPr>
                <w:rFonts w:cs="Arial"/>
                <w:lang w:eastAsia="en-US"/>
              </w:rPr>
            </w:pPr>
            <w:r>
              <w:rPr>
                <w:rFonts w:cs="Arial"/>
                <w:lang w:eastAsia="en-US"/>
              </w:rPr>
              <w:t>Dr Daniel Roper</w:t>
            </w:r>
          </w:p>
        </w:tc>
        <w:tc>
          <w:tcPr>
            <w:tcW w:w="3828" w:type="dxa"/>
            <w:tcBorders>
              <w:top w:val="single" w:sz="4" w:space="0" w:color="auto"/>
              <w:left w:val="single" w:sz="4" w:space="0" w:color="auto"/>
              <w:bottom w:val="single" w:sz="4" w:space="0" w:color="auto"/>
              <w:right w:val="single" w:sz="4" w:space="0" w:color="auto"/>
            </w:tcBorders>
            <w:hideMark/>
          </w:tcPr>
          <w:p w14:paraId="0A1B596A" w14:textId="77777777" w:rsidR="00682410" w:rsidRDefault="00682410" w:rsidP="00196D2B">
            <w:pPr>
              <w:spacing w:before="0" w:after="0" w:line="240" w:lineRule="auto"/>
              <w:rPr>
                <w:rFonts w:cs="Arial"/>
                <w:lang w:eastAsia="en-US"/>
              </w:rPr>
            </w:pPr>
            <w:r>
              <w:rPr>
                <w:rFonts w:cs="Arial"/>
                <w:lang w:eastAsia="en-US"/>
              </w:rPr>
              <w:t>Chair</w:t>
            </w:r>
          </w:p>
        </w:tc>
        <w:tc>
          <w:tcPr>
            <w:tcW w:w="3289" w:type="dxa"/>
            <w:tcBorders>
              <w:top w:val="single" w:sz="4" w:space="0" w:color="auto"/>
              <w:left w:val="single" w:sz="4" w:space="0" w:color="auto"/>
              <w:bottom w:val="single" w:sz="4" w:space="0" w:color="auto"/>
              <w:right w:val="single" w:sz="4" w:space="0" w:color="auto"/>
            </w:tcBorders>
          </w:tcPr>
          <w:p w14:paraId="5641FFBD" w14:textId="77777777" w:rsidR="00682410" w:rsidRDefault="00682410" w:rsidP="00196D2B">
            <w:pPr>
              <w:spacing w:before="0" w:after="0" w:line="240" w:lineRule="auto"/>
              <w:rPr>
                <w:rFonts w:cs="Arial"/>
                <w:lang w:eastAsia="en-US"/>
              </w:rPr>
            </w:pPr>
          </w:p>
        </w:tc>
      </w:tr>
      <w:tr w:rsidR="00682410" w14:paraId="2AE1F563" w14:textId="77777777" w:rsidTr="00292220">
        <w:trPr>
          <w:trHeight w:val="324"/>
        </w:trPr>
        <w:tc>
          <w:tcPr>
            <w:tcW w:w="2376" w:type="dxa"/>
            <w:tcBorders>
              <w:top w:val="single" w:sz="4" w:space="0" w:color="auto"/>
              <w:left w:val="single" w:sz="4" w:space="0" w:color="auto"/>
              <w:bottom w:val="single" w:sz="4" w:space="0" w:color="auto"/>
              <w:right w:val="single" w:sz="4" w:space="0" w:color="auto"/>
            </w:tcBorders>
            <w:hideMark/>
          </w:tcPr>
          <w:p w14:paraId="4A46AC72" w14:textId="77777777" w:rsidR="00682410" w:rsidRDefault="00682410" w:rsidP="00196D2B">
            <w:pPr>
              <w:spacing w:before="0" w:after="0" w:line="240" w:lineRule="auto"/>
              <w:rPr>
                <w:rFonts w:cs="Arial"/>
                <w:lang w:eastAsia="en-US"/>
              </w:rPr>
            </w:pPr>
            <w:r>
              <w:rPr>
                <w:rFonts w:cs="Arial"/>
                <w:lang w:eastAsia="en-US"/>
              </w:rPr>
              <w:t>Emma Latimer</w:t>
            </w:r>
          </w:p>
        </w:tc>
        <w:tc>
          <w:tcPr>
            <w:tcW w:w="3828" w:type="dxa"/>
            <w:tcBorders>
              <w:top w:val="single" w:sz="4" w:space="0" w:color="auto"/>
              <w:left w:val="single" w:sz="4" w:space="0" w:color="auto"/>
              <w:bottom w:val="single" w:sz="4" w:space="0" w:color="auto"/>
              <w:right w:val="single" w:sz="4" w:space="0" w:color="auto"/>
            </w:tcBorders>
            <w:hideMark/>
          </w:tcPr>
          <w:p w14:paraId="14527AB1" w14:textId="77777777" w:rsidR="00682410" w:rsidRDefault="00682410" w:rsidP="00196D2B">
            <w:pPr>
              <w:spacing w:before="0" w:after="0" w:line="240" w:lineRule="auto"/>
              <w:rPr>
                <w:rFonts w:cs="Arial"/>
                <w:lang w:eastAsia="en-US"/>
              </w:rPr>
            </w:pPr>
            <w:r>
              <w:rPr>
                <w:rFonts w:cs="Arial"/>
                <w:lang w:eastAsia="en-US"/>
              </w:rPr>
              <w:t>Chief Officer (Accountable Officer)</w:t>
            </w:r>
          </w:p>
        </w:tc>
        <w:tc>
          <w:tcPr>
            <w:tcW w:w="3289" w:type="dxa"/>
            <w:tcBorders>
              <w:top w:val="single" w:sz="4" w:space="0" w:color="auto"/>
              <w:left w:val="single" w:sz="4" w:space="0" w:color="auto"/>
              <w:bottom w:val="single" w:sz="4" w:space="0" w:color="auto"/>
              <w:right w:val="single" w:sz="4" w:space="0" w:color="auto"/>
            </w:tcBorders>
          </w:tcPr>
          <w:p w14:paraId="3B3993A5" w14:textId="77777777" w:rsidR="00682410" w:rsidRDefault="00682410" w:rsidP="00196D2B">
            <w:pPr>
              <w:spacing w:before="0" w:after="0" w:line="240" w:lineRule="auto"/>
              <w:rPr>
                <w:rFonts w:cs="Arial"/>
                <w:lang w:eastAsia="en-US"/>
              </w:rPr>
            </w:pPr>
          </w:p>
        </w:tc>
      </w:tr>
      <w:tr w:rsidR="00682410" w14:paraId="2E7BF16A" w14:textId="77777777" w:rsidTr="00292220">
        <w:trPr>
          <w:trHeight w:val="324"/>
        </w:trPr>
        <w:tc>
          <w:tcPr>
            <w:tcW w:w="2376" w:type="dxa"/>
            <w:tcBorders>
              <w:top w:val="single" w:sz="4" w:space="0" w:color="auto"/>
              <w:left w:val="single" w:sz="4" w:space="0" w:color="auto"/>
              <w:bottom w:val="single" w:sz="4" w:space="0" w:color="auto"/>
              <w:right w:val="single" w:sz="4" w:space="0" w:color="auto"/>
            </w:tcBorders>
            <w:hideMark/>
          </w:tcPr>
          <w:p w14:paraId="398FA5A4" w14:textId="77777777" w:rsidR="00682410" w:rsidRDefault="00682410" w:rsidP="00196D2B">
            <w:pPr>
              <w:spacing w:before="0" w:after="0" w:line="240" w:lineRule="auto"/>
              <w:rPr>
                <w:rFonts w:cs="Arial"/>
                <w:lang w:eastAsia="en-US"/>
              </w:rPr>
            </w:pPr>
            <w:r>
              <w:rPr>
                <w:rFonts w:cs="Arial"/>
                <w:lang w:eastAsia="en-US"/>
              </w:rPr>
              <w:t xml:space="preserve">Dr Amy Oehring </w:t>
            </w:r>
          </w:p>
        </w:tc>
        <w:tc>
          <w:tcPr>
            <w:tcW w:w="3828" w:type="dxa"/>
            <w:tcBorders>
              <w:top w:val="single" w:sz="4" w:space="0" w:color="auto"/>
              <w:left w:val="single" w:sz="4" w:space="0" w:color="auto"/>
              <w:bottom w:val="single" w:sz="4" w:space="0" w:color="auto"/>
              <w:right w:val="single" w:sz="4" w:space="0" w:color="auto"/>
            </w:tcBorders>
            <w:hideMark/>
          </w:tcPr>
          <w:p w14:paraId="56D253C7" w14:textId="77777777" w:rsidR="00682410" w:rsidRDefault="00682410" w:rsidP="00196D2B">
            <w:pPr>
              <w:spacing w:before="0" w:after="0" w:line="240" w:lineRule="auto"/>
              <w:rPr>
                <w:rFonts w:cs="Arial"/>
                <w:lang w:eastAsia="en-US"/>
              </w:rPr>
            </w:pPr>
            <w:r>
              <w:rPr>
                <w:rFonts w:cs="Arial"/>
                <w:lang w:eastAsia="en-US"/>
              </w:rPr>
              <w:t xml:space="preserve">GP Member  </w:t>
            </w:r>
          </w:p>
        </w:tc>
        <w:tc>
          <w:tcPr>
            <w:tcW w:w="3289" w:type="dxa"/>
            <w:tcBorders>
              <w:top w:val="single" w:sz="4" w:space="0" w:color="auto"/>
              <w:left w:val="single" w:sz="4" w:space="0" w:color="auto"/>
              <w:bottom w:val="single" w:sz="4" w:space="0" w:color="auto"/>
              <w:right w:val="single" w:sz="4" w:space="0" w:color="auto"/>
            </w:tcBorders>
          </w:tcPr>
          <w:p w14:paraId="5DE4D2E8" w14:textId="77777777" w:rsidR="00682410" w:rsidRDefault="00682410" w:rsidP="00196D2B">
            <w:pPr>
              <w:spacing w:before="0" w:after="0" w:line="240" w:lineRule="auto"/>
              <w:ind w:right="290"/>
              <w:rPr>
                <w:rFonts w:cs="Arial"/>
                <w:lang w:eastAsia="en-US"/>
              </w:rPr>
            </w:pPr>
          </w:p>
        </w:tc>
      </w:tr>
      <w:tr w:rsidR="00682410" w14:paraId="1F299AC4" w14:textId="77777777" w:rsidTr="00292220">
        <w:trPr>
          <w:trHeight w:val="324"/>
        </w:trPr>
        <w:tc>
          <w:tcPr>
            <w:tcW w:w="2376" w:type="dxa"/>
            <w:tcBorders>
              <w:top w:val="single" w:sz="4" w:space="0" w:color="auto"/>
              <w:left w:val="single" w:sz="4" w:space="0" w:color="auto"/>
              <w:bottom w:val="single" w:sz="4" w:space="0" w:color="auto"/>
              <w:right w:val="single" w:sz="4" w:space="0" w:color="auto"/>
            </w:tcBorders>
            <w:hideMark/>
          </w:tcPr>
          <w:p w14:paraId="63E92EE5" w14:textId="77777777" w:rsidR="00682410" w:rsidRDefault="00682410" w:rsidP="00196D2B">
            <w:pPr>
              <w:spacing w:before="0" w:after="0" w:line="240" w:lineRule="auto"/>
              <w:rPr>
                <w:rFonts w:cs="Arial"/>
                <w:lang w:eastAsia="en-US"/>
              </w:rPr>
            </w:pPr>
            <w:r>
              <w:rPr>
                <w:rFonts w:cs="Arial"/>
                <w:lang w:eastAsia="en-US"/>
              </w:rPr>
              <w:t xml:space="preserve">Dr Bushra Ali </w:t>
            </w:r>
          </w:p>
        </w:tc>
        <w:tc>
          <w:tcPr>
            <w:tcW w:w="3828" w:type="dxa"/>
            <w:tcBorders>
              <w:top w:val="single" w:sz="4" w:space="0" w:color="auto"/>
              <w:left w:val="single" w:sz="4" w:space="0" w:color="auto"/>
              <w:bottom w:val="single" w:sz="4" w:space="0" w:color="auto"/>
              <w:right w:val="single" w:sz="4" w:space="0" w:color="auto"/>
            </w:tcBorders>
            <w:hideMark/>
          </w:tcPr>
          <w:p w14:paraId="03B8FAA9" w14:textId="77777777" w:rsidR="00682410" w:rsidRDefault="00682410" w:rsidP="00196D2B">
            <w:pPr>
              <w:spacing w:before="0" w:after="0" w:line="240" w:lineRule="auto"/>
              <w:rPr>
                <w:rFonts w:cs="Arial"/>
                <w:lang w:eastAsia="en-US"/>
              </w:rPr>
            </w:pPr>
            <w:r>
              <w:rPr>
                <w:rFonts w:cs="Arial"/>
                <w:lang w:eastAsia="en-US"/>
              </w:rPr>
              <w:t>GP Member</w:t>
            </w:r>
          </w:p>
        </w:tc>
        <w:tc>
          <w:tcPr>
            <w:tcW w:w="3289" w:type="dxa"/>
            <w:tcBorders>
              <w:top w:val="single" w:sz="4" w:space="0" w:color="auto"/>
              <w:left w:val="single" w:sz="4" w:space="0" w:color="auto"/>
              <w:bottom w:val="single" w:sz="4" w:space="0" w:color="auto"/>
              <w:right w:val="single" w:sz="4" w:space="0" w:color="auto"/>
            </w:tcBorders>
          </w:tcPr>
          <w:p w14:paraId="6A74D559" w14:textId="77777777" w:rsidR="00682410" w:rsidRDefault="00682410" w:rsidP="00196D2B">
            <w:pPr>
              <w:spacing w:before="0" w:after="0" w:line="240" w:lineRule="auto"/>
              <w:rPr>
                <w:rFonts w:cs="Arial"/>
                <w:lang w:eastAsia="en-US"/>
              </w:rPr>
            </w:pPr>
          </w:p>
        </w:tc>
      </w:tr>
      <w:tr w:rsidR="00682410" w14:paraId="769836D9" w14:textId="77777777" w:rsidTr="00292220">
        <w:trPr>
          <w:trHeight w:val="324"/>
        </w:trPr>
        <w:tc>
          <w:tcPr>
            <w:tcW w:w="2376" w:type="dxa"/>
            <w:tcBorders>
              <w:top w:val="single" w:sz="4" w:space="0" w:color="auto"/>
              <w:left w:val="single" w:sz="4" w:space="0" w:color="auto"/>
              <w:bottom w:val="single" w:sz="4" w:space="0" w:color="auto"/>
              <w:right w:val="single" w:sz="4" w:space="0" w:color="auto"/>
            </w:tcBorders>
            <w:hideMark/>
          </w:tcPr>
          <w:p w14:paraId="1A23061B" w14:textId="77777777" w:rsidR="00682410" w:rsidRDefault="00682410" w:rsidP="00196D2B">
            <w:pPr>
              <w:spacing w:before="0" w:after="0" w:line="240" w:lineRule="auto"/>
              <w:rPr>
                <w:rFonts w:cs="Arial"/>
                <w:lang w:eastAsia="en-US"/>
              </w:rPr>
            </w:pPr>
            <w:r>
              <w:rPr>
                <w:rFonts w:cs="Arial"/>
                <w:lang w:eastAsia="en-US"/>
              </w:rPr>
              <w:t xml:space="preserve">Dr Masood Balouch </w:t>
            </w:r>
          </w:p>
        </w:tc>
        <w:tc>
          <w:tcPr>
            <w:tcW w:w="3828" w:type="dxa"/>
            <w:tcBorders>
              <w:top w:val="single" w:sz="4" w:space="0" w:color="auto"/>
              <w:left w:val="single" w:sz="4" w:space="0" w:color="auto"/>
              <w:bottom w:val="single" w:sz="4" w:space="0" w:color="auto"/>
              <w:right w:val="single" w:sz="4" w:space="0" w:color="auto"/>
            </w:tcBorders>
            <w:hideMark/>
          </w:tcPr>
          <w:p w14:paraId="4CADF66D" w14:textId="77777777" w:rsidR="00682410" w:rsidRDefault="00682410" w:rsidP="00196D2B">
            <w:pPr>
              <w:spacing w:before="0" w:after="0" w:line="240" w:lineRule="auto"/>
              <w:rPr>
                <w:rFonts w:cs="Arial"/>
                <w:lang w:eastAsia="en-US"/>
              </w:rPr>
            </w:pPr>
            <w:r>
              <w:rPr>
                <w:rFonts w:cs="Arial"/>
                <w:lang w:eastAsia="en-US"/>
              </w:rPr>
              <w:t>GP Member</w:t>
            </w:r>
          </w:p>
        </w:tc>
        <w:tc>
          <w:tcPr>
            <w:tcW w:w="3289" w:type="dxa"/>
            <w:tcBorders>
              <w:top w:val="single" w:sz="4" w:space="0" w:color="auto"/>
              <w:left w:val="single" w:sz="4" w:space="0" w:color="auto"/>
              <w:bottom w:val="single" w:sz="4" w:space="0" w:color="auto"/>
              <w:right w:val="single" w:sz="4" w:space="0" w:color="auto"/>
            </w:tcBorders>
          </w:tcPr>
          <w:p w14:paraId="48D38B6A" w14:textId="77777777" w:rsidR="00682410" w:rsidRDefault="00682410" w:rsidP="00196D2B">
            <w:pPr>
              <w:spacing w:before="0" w:after="0" w:line="240" w:lineRule="auto"/>
              <w:rPr>
                <w:rFonts w:cs="Arial"/>
                <w:lang w:eastAsia="en-US"/>
              </w:rPr>
            </w:pPr>
          </w:p>
        </w:tc>
      </w:tr>
      <w:tr w:rsidR="00682410" w14:paraId="70F7EB00" w14:textId="77777777" w:rsidTr="00292220">
        <w:trPr>
          <w:trHeight w:val="324"/>
        </w:trPr>
        <w:tc>
          <w:tcPr>
            <w:tcW w:w="2376" w:type="dxa"/>
            <w:tcBorders>
              <w:top w:val="single" w:sz="4" w:space="0" w:color="auto"/>
              <w:left w:val="single" w:sz="4" w:space="0" w:color="auto"/>
              <w:bottom w:val="single" w:sz="4" w:space="0" w:color="auto"/>
              <w:right w:val="single" w:sz="4" w:space="0" w:color="auto"/>
            </w:tcBorders>
            <w:hideMark/>
          </w:tcPr>
          <w:p w14:paraId="487D1EC3" w14:textId="77777777" w:rsidR="00682410" w:rsidRDefault="00682410" w:rsidP="00196D2B">
            <w:pPr>
              <w:spacing w:before="0" w:after="0" w:line="240" w:lineRule="auto"/>
              <w:rPr>
                <w:rFonts w:cs="Arial"/>
                <w:lang w:eastAsia="en-US"/>
              </w:rPr>
            </w:pPr>
            <w:r>
              <w:rPr>
                <w:rFonts w:cs="Arial"/>
                <w:lang w:eastAsia="en-US"/>
              </w:rPr>
              <w:t>Dr Vince Rawcliffe</w:t>
            </w:r>
          </w:p>
        </w:tc>
        <w:tc>
          <w:tcPr>
            <w:tcW w:w="3828" w:type="dxa"/>
            <w:tcBorders>
              <w:top w:val="single" w:sz="4" w:space="0" w:color="auto"/>
              <w:left w:val="single" w:sz="4" w:space="0" w:color="auto"/>
              <w:bottom w:val="single" w:sz="4" w:space="0" w:color="auto"/>
              <w:right w:val="single" w:sz="4" w:space="0" w:color="auto"/>
            </w:tcBorders>
            <w:hideMark/>
          </w:tcPr>
          <w:p w14:paraId="03120978" w14:textId="77777777" w:rsidR="00682410" w:rsidRDefault="00682410" w:rsidP="00196D2B">
            <w:pPr>
              <w:spacing w:before="0" w:after="0" w:line="240" w:lineRule="auto"/>
              <w:rPr>
                <w:rFonts w:cs="Arial"/>
                <w:lang w:eastAsia="en-US"/>
              </w:rPr>
            </w:pPr>
            <w:r>
              <w:rPr>
                <w:rFonts w:cs="Arial"/>
                <w:lang w:eastAsia="en-US"/>
              </w:rPr>
              <w:t>GP Member</w:t>
            </w:r>
          </w:p>
        </w:tc>
        <w:tc>
          <w:tcPr>
            <w:tcW w:w="3289" w:type="dxa"/>
            <w:tcBorders>
              <w:top w:val="single" w:sz="4" w:space="0" w:color="auto"/>
              <w:left w:val="single" w:sz="4" w:space="0" w:color="auto"/>
              <w:bottom w:val="single" w:sz="4" w:space="0" w:color="auto"/>
              <w:right w:val="single" w:sz="4" w:space="0" w:color="auto"/>
            </w:tcBorders>
          </w:tcPr>
          <w:p w14:paraId="6601DFE9" w14:textId="77777777" w:rsidR="00682410" w:rsidRDefault="00682410" w:rsidP="00196D2B">
            <w:pPr>
              <w:spacing w:before="0" w:after="0" w:line="240" w:lineRule="auto"/>
              <w:rPr>
                <w:rFonts w:cs="Arial"/>
                <w:lang w:eastAsia="en-US"/>
              </w:rPr>
            </w:pPr>
          </w:p>
        </w:tc>
      </w:tr>
      <w:tr w:rsidR="00682410" w14:paraId="01FD4BDA" w14:textId="77777777" w:rsidTr="00292220">
        <w:trPr>
          <w:trHeight w:val="324"/>
        </w:trPr>
        <w:tc>
          <w:tcPr>
            <w:tcW w:w="2376" w:type="dxa"/>
            <w:tcBorders>
              <w:top w:val="single" w:sz="4" w:space="0" w:color="auto"/>
              <w:left w:val="single" w:sz="4" w:space="0" w:color="auto"/>
              <w:bottom w:val="single" w:sz="4" w:space="0" w:color="auto"/>
              <w:right w:val="single" w:sz="4" w:space="0" w:color="auto"/>
            </w:tcBorders>
            <w:hideMark/>
          </w:tcPr>
          <w:p w14:paraId="71FF4B6B" w14:textId="77777777" w:rsidR="00682410" w:rsidRDefault="00682410" w:rsidP="00196D2B">
            <w:pPr>
              <w:spacing w:before="0" w:after="0" w:line="240" w:lineRule="auto"/>
              <w:rPr>
                <w:rFonts w:cs="Arial"/>
                <w:lang w:eastAsia="en-US"/>
              </w:rPr>
            </w:pPr>
            <w:r>
              <w:rPr>
                <w:rFonts w:cs="Arial"/>
                <w:lang w:eastAsia="en-US"/>
              </w:rPr>
              <w:t>Dr James Moult</w:t>
            </w:r>
          </w:p>
        </w:tc>
        <w:tc>
          <w:tcPr>
            <w:tcW w:w="3828" w:type="dxa"/>
            <w:tcBorders>
              <w:top w:val="single" w:sz="4" w:space="0" w:color="auto"/>
              <w:left w:val="single" w:sz="4" w:space="0" w:color="auto"/>
              <w:bottom w:val="single" w:sz="4" w:space="0" w:color="auto"/>
              <w:right w:val="single" w:sz="4" w:space="0" w:color="auto"/>
            </w:tcBorders>
            <w:hideMark/>
          </w:tcPr>
          <w:p w14:paraId="69FD41C7" w14:textId="77777777" w:rsidR="00682410" w:rsidRDefault="00682410" w:rsidP="00196D2B">
            <w:pPr>
              <w:spacing w:before="0" w:after="0" w:line="240" w:lineRule="auto"/>
              <w:rPr>
                <w:rFonts w:cs="Arial"/>
                <w:lang w:eastAsia="en-US"/>
              </w:rPr>
            </w:pPr>
            <w:r>
              <w:rPr>
                <w:rFonts w:cs="Arial"/>
                <w:lang w:eastAsia="en-US"/>
              </w:rPr>
              <w:t>GP Member</w:t>
            </w:r>
          </w:p>
        </w:tc>
        <w:tc>
          <w:tcPr>
            <w:tcW w:w="3289" w:type="dxa"/>
            <w:tcBorders>
              <w:top w:val="single" w:sz="4" w:space="0" w:color="auto"/>
              <w:left w:val="single" w:sz="4" w:space="0" w:color="auto"/>
              <w:bottom w:val="single" w:sz="4" w:space="0" w:color="auto"/>
              <w:right w:val="single" w:sz="4" w:space="0" w:color="auto"/>
            </w:tcBorders>
          </w:tcPr>
          <w:p w14:paraId="33D15D83" w14:textId="77777777" w:rsidR="00682410" w:rsidRDefault="00682410" w:rsidP="00196D2B">
            <w:pPr>
              <w:spacing w:before="0" w:after="0" w:line="240" w:lineRule="auto"/>
              <w:rPr>
                <w:rFonts w:cs="Arial"/>
                <w:lang w:eastAsia="en-US"/>
              </w:rPr>
            </w:pPr>
          </w:p>
        </w:tc>
      </w:tr>
      <w:tr w:rsidR="00682410" w14:paraId="4F0A1033" w14:textId="77777777" w:rsidTr="00292220">
        <w:trPr>
          <w:trHeight w:val="324"/>
        </w:trPr>
        <w:tc>
          <w:tcPr>
            <w:tcW w:w="2376" w:type="dxa"/>
            <w:tcBorders>
              <w:top w:val="single" w:sz="4" w:space="0" w:color="auto"/>
              <w:left w:val="single" w:sz="4" w:space="0" w:color="auto"/>
              <w:bottom w:val="single" w:sz="4" w:space="0" w:color="auto"/>
              <w:right w:val="single" w:sz="4" w:space="0" w:color="auto"/>
            </w:tcBorders>
            <w:hideMark/>
          </w:tcPr>
          <w:p w14:paraId="6D5394D4" w14:textId="77777777" w:rsidR="00682410" w:rsidRDefault="00682410" w:rsidP="00196D2B">
            <w:pPr>
              <w:spacing w:before="0" w:after="0" w:line="240" w:lineRule="auto"/>
              <w:rPr>
                <w:rFonts w:cs="Arial"/>
                <w:lang w:eastAsia="en-US"/>
              </w:rPr>
            </w:pPr>
            <w:r>
              <w:rPr>
                <w:rFonts w:cs="Arial"/>
                <w:lang w:eastAsia="en-US"/>
              </w:rPr>
              <w:t>Emma Sayner</w:t>
            </w:r>
          </w:p>
        </w:tc>
        <w:tc>
          <w:tcPr>
            <w:tcW w:w="3828" w:type="dxa"/>
            <w:tcBorders>
              <w:top w:val="single" w:sz="4" w:space="0" w:color="auto"/>
              <w:left w:val="single" w:sz="4" w:space="0" w:color="auto"/>
              <w:bottom w:val="single" w:sz="4" w:space="0" w:color="auto"/>
              <w:right w:val="single" w:sz="4" w:space="0" w:color="auto"/>
            </w:tcBorders>
            <w:hideMark/>
          </w:tcPr>
          <w:p w14:paraId="3A81706B" w14:textId="77777777" w:rsidR="00682410" w:rsidRDefault="00682410" w:rsidP="00196D2B">
            <w:pPr>
              <w:spacing w:before="0" w:after="0" w:line="240" w:lineRule="auto"/>
              <w:rPr>
                <w:rFonts w:cs="Arial"/>
                <w:lang w:eastAsia="en-US"/>
              </w:rPr>
            </w:pPr>
            <w:r>
              <w:rPr>
                <w:rFonts w:cs="Arial"/>
                <w:lang w:eastAsia="en-US"/>
              </w:rPr>
              <w:t>Chief Finance Officer</w:t>
            </w:r>
          </w:p>
        </w:tc>
        <w:tc>
          <w:tcPr>
            <w:tcW w:w="3289" w:type="dxa"/>
            <w:tcBorders>
              <w:top w:val="single" w:sz="4" w:space="0" w:color="auto"/>
              <w:left w:val="single" w:sz="4" w:space="0" w:color="auto"/>
              <w:bottom w:val="single" w:sz="4" w:space="0" w:color="auto"/>
              <w:right w:val="single" w:sz="4" w:space="0" w:color="auto"/>
            </w:tcBorders>
          </w:tcPr>
          <w:p w14:paraId="12C29CE7" w14:textId="77777777" w:rsidR="00682410" w:rsidRDefault="00682410" w:rsidP="00196D2B">
            <w:pPr>
              <w:spacing w:before="0" w:after="0" w:line="240" w:lineRule="auto"/>
              <w:rPr>
                <w:rFonts w:cs="Arial"/>
                <w:lang w:eastAsia="en-US"/>
              </w:rPr>
            </w:pPr>
          </w:p>
        </w:tc>
      </w:tr>
      <w:tr w:rsidR="00682410" w14:paraId="0342FADA" w14:textId="77777777" w:rsidTr="00292220">
        <w:trPr>
          <w:trHeight w:val="357"/>
        </w:trPr>
        <w:tc>
          <w:tcPr>
            <w:tcW w:w="2376" w:type="dxa"/>
            <w:tcBorders>
              <w:top w:val="single" w:sz="4" w:space="0" w:color="auto"/>
              <w:left w:val="single" w:sz="4" w:space="0" w:color="auto"/>
              <w:bottom w:val="single" w:sz="4" w:space="0" w:color="auto"/>
              <w:right w:val="single" w:sz="4" w:space="0" w:color="auto"/>
            </w:tcBorders>
            <w:hideMark/>
          </w:tcPr>
          <w:p w14:paraId="501C5CE7" w14:textId="77777777" w:rsidR="00682410" w:rsidRDefault="00682410" w:rsidP="00196D2B">
            <w:pPr>
              <w:spacing w:before="0" w:after="0" w:line="240" w:lineRule="auto"/>
              <w:rPr>
                <w:rFonts w:cs="Arial"/>
                <w:lang w:eastAsia="en-US"/>
              </w:rPr>
            </w:pPr>
            <w:r>
              <w:rPr>
                <w:rFonts w:cs="Arial"/>
                <w:lang w:eastAsia="en-US"/>
              </w:rPr>
              <w:t xml:space="preserve">Erica Daley </w:t>
            </w:r>
          </w:p>
        </w:tc>
        <w:tc>
          <w:tcPr>
            <w:tcW w:w="3828" w:type="dxa"/>
            <w:tcBorders>
              <w:top w:val="single" w:sz="4" w:space="0" w:color="auto"/>
              <w:left w:val="single" w:sz="4" w:space="0" w:color="auto"/>
              <w:bottom w:val="single" w:sz="4" w:space="0" w:color="auto"/>
              <w:right w:val="single" w:sz="4" w:space="0" w:color="auto"/>
            </w:tcBorders>
            <w:hideMark/>
          </w:tcPr>
          <w:p w14:paraId="6B24E4BB" w14:textId="77777777" w:rsidR="00682410" w:rsidRDefault="00682410" w:rsidP="00196D2B">
            <w:pPr>
              <w:spacing w:before="0" w:after="0" w:line="240" w:lineRule="auto"/>
              <w:rPr>
                <w:rFonts w:cs="Arial"/>
                <w:lang w:eastAsia="en-US"/>
              </w:rPr>
            </w:pPr>
            <w:r>
              <w:rPr>
                <w:rFonts w:cs="Arial"/>
                <w:lang w:eastAsia="en-US"/>
              </w:rPr>
              <w:t xml:space="preserve">Interim </w:t>
            </w:r>
            <w:r>
              <w:rPr>
                <w:rFonts w:cs="Arial"/>
                <w:bCs/>
                <w:lang w:eastAsia="en-US"/>
              </w:rPr>
              <w:t>Chief Operating Officer</w:t>
            </w:r>
          </w:p>
        </w:tc>
        <w:tc>
          <w:tcPr>
            <w:tcW w:w="3289" w:type="dxa"/>
            <w:tcBorders>
              <w:top w:val="single" w:sz="4" w:space="0" w:color="auto"/>
              <w:left w:val="single" w:sz="4" w:space="0" w:color="auto"/>
              <w:bottom w:val="single" w:sz="4" w:space="0" w:color="auto"/>
              <w:right w:val="single" w:sz="4" w:space="0" w:color="auto"/>
            </w:tcBorders>
          </w:tcPr>
          <w:p w14:paraId="0167B979" w14:textId="77777777" w:rsidR="00682410" w:rsidRDefault="00682410" w:rsidP="00196D2B">
            <w:pPr>
              <w:spacing w:before="0" w:after="0" w:line="240" w:lineRule="auto"/>
              <w:rPr>
                <w:rFonts w:cs="Arial"/>
                <w:lang w:eastAsia="en-US"/>
              </w:rPr>
            </w:pPr>
          </w:p>
        </w:tc>
      </w:tr>
      <w:tr w:rsidR="00682410" w14:paraId="69BAF56C" w14:textId="77777777" w:rsidTr="00292220">
        <w:trPr>
          <w:trHeight w:val="324"/>
        </w:trPr>
        <w:tc>
          <w:tcPr>
            <w:tcW w:w="2376" w:type="dxa"/>
            <w:tcBorders>
              <w:top w:val="single" w:sz="4" w:space="0" w:color="auto"/>
              <w:left w:val="single" w:sz="4" w:space="0" w:color="auto"/>
              <w:bottom w:val="single" w:sz="4" w:space="0" w:color="auto"/>
              <w:right w:val="single" w:sz="4" w:space="0" w:color="auto"/>
            </w:tcBorders>
            <w:hideMark/>
          </w:tcPr>
          <w:p w14:paraId="3B9E30E6" w14:textId="77777777" w:rsidR="00682410" w:rsidRDefault="00682410" w:rsidP="00196D2B">
            <w:pPr>
              <w:spacing w:before="0" w:after="0" w:line="240" w:lineRule="auto"/>
              <w:rPr>
                <w:rFonts w:cs="Arial"/>
                <w:lang w:eastAsia="en-US"/>
              </w:rPr>
            </w:pPr>
            <w:r>
              <w:rPr>
                <w:rFonts w:cs="Arial"/>
                <w:lang w:eastAsia="en-US"/>
              </w:rPr>
              <w:t xml:space="preserve">Ian Goode </w:t>
            </w:r>
          </w:p>
        </w:tc>
        <w:tc>
          <w:tcPr>
            <w:tcW w:w="3828" w:type="dxa"/>
            <w:tcBorders>
              <w:top w:val="single" w:sz="4" w:space="0" w:color="auto"/>
              <w:left w:val="single" w:sz="4" w:space="0" w:color="auto"/>
              <w:bottom w:val="single" w:sz="4" w:space="0" w:color="auto"/>
              <w:right w:val="single" w:sz="4" w:space="0" w:color="auto"/>
            </w:tcBorders>
            <w:hideMark/>
          </w:tcPr>
          <w:p w14:paraId="3EC6B345" w14:textId="77777777" w:rsidR="00682410" w:rsidRDefault="00682410" w:rsidP="00196D2B">
            <w:pPr>
              <w:spacing w:before="0" w:after="0" w:line="240" w:lineRule="auto"/>
              <w:rPr>
                <w:rFonts w:cs="Arial"/>
                <w:lang w:eastAsia="en-US"/>
              </w:rPr>
            </w:pPr>
            <w:r>
              <w:rPr>
                <w:rFonts w:cs="Arial"/>
                <w:lang w:eastAsia="en-US"/>
              </w:rPr>
              <w:t>Lay Representative</w:t>
            </w:r>
          </w:p>
        </w:tc>
        <w:tc>
          <w:tcPr>
            <w:tcW w:w="3289" w:type="dxa"/>
            <w:tcBorders>
              <w:top w:val="single" w:sz="4" w:space="0" w:color="auto"/>
              <w:left w:val="single" w:sz="4" w:space="0" w:color="auto"/>
              <w:bottom w:val="single" w:sz="4" w:space="0" w:color="auto"/>
              <w:right w:val="single" w:sz="4" w:space="0" w:color="auto"/>
            </w:tcBorders>
          </w:tcPr>
          <w:p w14:paraId="67D822C6" w14:textId="77777777" w:rsidR="00682410" w:rsidRDefault="00682410" w:rsidP="00196D2B">
            <w:pPr>
              <w:spacing w:before="0" w:after="0" w:line="240" w:lineRule="auto"/>
              <w:rPr>
                <w:rFonts w:cs="Arial"/>
                <w:lang w:eastAsia="en-US"/>
              </w:rPr>
            </w:pPr>
          </w:p>
        </w:tc>
      </w:tr>
      <w:tr w:rsidR="00682410" w14:paraId="70A0632B" w14:textId="77777777" w:rsidTr="00292220">
        <w:trPr>
          <w:trHeight w:val="324"/>
        </w:trPr>
        <w:tc>
          <w:tcPr>
            <w:tcW w:w="2376" w:type="dxa"/>
            <w:tcBorders>
              <w:top w:val="single" w:sz="4" w:space="0" w:color="auto"/>
              <w:left w:val="single" w:sz="4" w:space="0" w:color="auto"/>
              <w:bottom w:val="single" w:sz="4" w:space="0" w:color="auto"/>
              <w:right w:val="single" w:sz="4" w:space="0" w:color="auto"/>
            </w:tcBorders>
            <w:hideMark/>
          </w:tcPr>
          <w:p w14:paraId="446614DD" w14:textId="77777777" w:rsidR="00682410" w:rsidRDefault="00682410" w:rsidP="00196D2B">
            <w:pPr>
              <w:spacing w:before="0" w:after="0" w:line="240" w:lineRule="auto"/>
              <w:rPr>
                <w:rFonts w:cs="Arial"/>
                <w:lang w:eastAsia="en-US"/>
              </w:rPr>
            </w:pPr>
            <w:r>
              <w:rPr>
                <w:rFonts w:cs="Arial"/>
                <w:lang w:eastAsia="en-US"/>
              </w:rPr>
              <w:t>Jason Stamp</w:t>
            </w:r>
          </w:p>
        </w:tc>
        <w:tc>
          <w:tcPr>
            <w:tcW w:w="3828" w:type="dxa"/>
            <w:tcBorders>
              <w:top w:val="single" w:sz="4" w:space="0" w:color="auto"/>
              <w:left w:val="single" w:sz="4" w:space="0" w:color="auto"/>
              <w:bottom w:val="single" w:sz="4" w:space="0" w:color="auto"/>
              <w:right w:val="single" w:sz="4" w:space="0" w:color="auto"/>
            </w:tcBorders>
            <w:hideMark/>
          </w:tcPr>
          <w:p w14:paraId="1B3B39F4" w14:textId="77777777" w:rsidR="00682410" w:rsidRDefault="00682410" w:rsidP="00196D2B">
            <w:pPr>
              <w:spacing w:before="0" w:after="0" w:line="240" w:lineRule="auto"/>
              <w:rPr>
                <w:rFonts w:cs="Arial"/>
                <w:lang w:eastAsia="en-US"/>
              </w:rPr>
            </w:pPr>
            <w:r>
              <w:rPr>
                <w:rFonts w:cs="Arial"/>
                <w:lang w:eastAsia="en-US"/>
              </w:rPr>
              <w:t>Lay Representative</w:t>
            </w:r>
          </w:p>
        </w:tc>
        <w:tc>
          <w:tcPr>
            <w:tcW w:w="3289" w:type="dxa"/>
            <w:tcBorders>
              <w:top w:val="single" w:sz="4" w:space="0" w:color="auto"/>
              <w:left w:val="single" w:sz="4" w:space="0" w:color="auto"/>
              <w:bottom w:val="single" w:sz="4" w:space="0" w:color="auto"/>
              <w:right w:val="single" w:sz="4" w:space="0" w:color="auto"/>
            </w:tcBorders>
          </w:tcPr>
          <w:p w14:paraId="4A2B0D0C" w14:textId="77777777" w:rsidR="00682410" w:rsidRDefault="00682410" w:rsidP="00196D2B">
            <w:pPr>
              <w:spacing w:before="0" w:after="0" w:line="240" w:lineRule="auto"/>
              <w:rPr>
                <w:rFonts w:cs="Arial"/>
                <w:lang w:eastAsia="en-US"/>
              </w:rPr>
            </w:pPr>
          </w:p>
        </w:tc>
      </w:tr>
      <w:tr w:rsidR="00682410" w14:paraId="2F028CC9" w14:textId="77777777" w:rsidTr="00292220">
        <w:trPr>
          <w:trHeight w:val="324"/>
        </w:trPr>
        <w:tc>
          <w:tcPr>
            <w:tcW w:w="2376" w:type="dxa"/>
            <w:tcBorders>
              <w:top w:val="single" w:sz="4" w:space="0" w:color="auto"/>
              <w:left w:val="single" w:sz="4" w:space="0" w:color="auto"/>
              <w:bottom w:val="single" w:sz="4" w:space="0" w:color="auto"/>
              <w:right w:val="single" w:sz="4" w:space="0" w:color="auto"/>
            </w:tcBorders>
            <w:hideMark/>
          </w:tcPr>
          <w:p w14:paraId="54095258" w14:textId="77777777" w:rsidR="00682410" w:rsidRDefault="00682410" w:rsidP="00196D2B">
            <w:pPr>
              <w:spacing w:before="0" w:after="0" w:line="240" w:lineRule="auto"/>
              <w:rPr>
                <w:rFonts w:cs="Arial"/>
                <w:lang w:eastAsia="en-US"/>
              </w:rPr>
            </w:pPr>
            <w:r>
              <w:rPr>
                <w:rFonts w:cs="Arial"/>
                <w:lang w:eastAsia="en-US"/>
              </w:rPr>
              <w:t>Karen Marshall</w:t>
            </w:r>
          </w:p>
        </w:tc>
        <w:tc>
          <w:tcPr>
            <w:tcW w:w="3828" w:type="dxa"/>
            <w:tcBorders>
              <w:top w:val="single" w:sz="4" w:space="0" w:color="auto"/>
              <w:left w:val="single" w:sz="4" w:space="0" w:color="auto"/>
              <w:bottom w:val="single" w:sz="4" w:space="0" w:color="auto"/>
              <w:right w:val="single" w:sz="4" w:space="0" w:color="auto"/>
            </w:tcBorders>
            <w:hideMark/>
          </w:tcPr>
          <w:p w14:paraId="04A8DF33" w14:textId="77777777" w:rsidR="00682410" w:rsidRDefault="00682410" w:rsidP="00196D2B">
            <w:pPr>
              <w:spacing w:before="0" w:after="0" w:line="240" w:lineRule="auto"/>
              <w:rPr>
                <w:rFonts w:cs="Arial"/>
                <w:lang w:eastAsia="en-US"/>
              </w:rPr>
            </w:pPr>
            <w:r>
              <w:rPr>
                <w:rFonts w:cs="Arial"/>
                <w:lang w:eastAsia="en-US"/>
              </w:rPr>
              <w:t>Lay Representative</w:t>
            </w:r>
          </w:p>
        </w:tc>
        <w:tc>
          <w:tcPr>
            <w:tcW w:w="3289" w:type="dxa"/>
            <w:tcBorders>
              <w:top w:val="single" w:sz="4" w:space="0" w:color="auto"/>
              <w:left w:val="single" w:sz="4" w:space="0" w:color="auto"/>
              <w:bottom w:val="single" w:sz="4" w:space="0" w:color="auto"/>
              <w:right w:val="single" w:sz="4" w:space="0" w:color="auto"/>
            </w:tcBorders>
          </w:tcPr>
          <w:p w14:paraId="5D876A36" w14:textId="77777777" w:rsidR="00682410" w:rsidRDefault="00682410" w:rsidP="00196D2B">
            <w:pPr>
              <w:spacing w:before="0" w:after="0" w:line="240" w:lineRule="auto"/>
              <w:rPr>
                <w:rFonts w:cs="Arial"/>
                <w:lang w:eastAsia="en-US"/>
              </w:rPr>
            </w:pPr>
          </w:p>
        </w:tc>
      </w:tr>
      <w:tr w:rsidR="00682410" w14:paraId="5F44FEF0" w14:textId="77777777" w:rsidTr="00292220">
        <w:trPr>
          <w:trHeight w:val="324"/>
        </w:trPr>
        <w:tc>
          <w:tcPr>
            <w:tcW w:w="2376" w:type="dxa"/>
            <w:tcBorders>
              <w:top w:val="single" w:sz="4" w:space="0" w:color="auto"/>
              <w:left w:val="single" w:sz="4" w:space="0" w:color="auto"/>
              <w:bottom w:val="single" w:sz="4" w:space="0" w:color="auto"/>
              <w:right w:val="single" w:sz="4" w:space="0" w:color="auto"/>
            </w:tcBorders>
          </w:tcPr>
          <w:p w14:paraId="0FDFB578" w14:textId="77777777" w:rsidR="00682410" w:rsidRDefault="00682410" w:rsidP="00196D2B">
            <w:pPr>
              <w:spacing w:before="0" w:after="0" w:line="240" w:lineRule="auto"/>
              <w:rPr>
                <w:rFonts w:cs="Arial"/>
                <w:lang w:eastAsia="en-US"/>
              </w:rPr>
            </w:pPr>
          </w:p>
        </w:tc>
        <w:tc>
          <w:tcPr>
            <w:tcW w:w="3828" w:type="dxa"/>
            <w:tcBorders>
              <w:top w:val="single" w:sz="4" w:space="0" w:color="auto"/>
              <w:left w:val="single" w:sz="4" w:space="0" w:color="auto"/>
              <w:bottom w:val="single" w:sz="4" w:space="0" w:color="auto"/>
              <w:right w:val="single" w:sz="4" w:space="0" w:color="auto"/>
            </w:tcBorders>
            <w:hideMark/>
          </w:tcPr>
          <w:p w14:paraId="144163C9" w14:textId="77777777" w:rsidR="00682410" w:rsidRDefault="00682410" w:rsidP="00196D2B">
            <w:pPr>
              <w:spacing w:before="0" w:after="0" w:line="240" w:lineRule="auto"/>
              <w:rPr>
                <w:rFonts w:cs="Arial"/>
                <w:lang w:eastAsia="en-US"/>
              </w:rPr>
            </w:pPr>
            <w:r>
              <w:rPr>
                <w:rFonts w:cs="Arial"/>
                <w:lang w:eastAsia="en-US"/>
              </w:rPr>
              <w:t xml:space="preserve">Secondary Care Doctor </w:t>
            </w:r>
          </w:p>
        </w:tc>
        <w:tc>
          <w:tcPr>
            <w:tcW w:w="3289" w:type="dxa"/>
            <w:tcBorders>
              <w:top w:val="single" w:sz="4" w:space="0" w:color="auto"/>
              <w:left w:val="single" w:sz="4" w:space="0" w:color="auto"/>
              <w:bottom w:val="single" w:sz="4" w:space="0" w:color="auto"/>
              <w:right w:val="single" w:sz="4" w:space="0" w:color="auto"/>
            </w:tcBorders>
            <w:hideMark/>
          </w:tcPr>
          <w:p w14:paraId="2B9DC96C" w14:textId="3727D5AF" w:rsidR="00682410" w:rsidRDefault="00682410" w:rsidP="00196D2B">
            <w:pPr>
              <w:spacing w:before="0" w:after="0" w:line="240" w:lineRule="auto"/>
              <w:rPr>
                <w:rFonts w:cs="Arial"/>
                <w:lang w:eastAsia="en-US"/>
              </w:rPr>
            </w:pPr>
            <w:r>
              <w:rPr>
                <w:rFonts w:cs="Arial"/>
                <w:lang w:eastAsia="en-US"/>
              </w:rPr>
              <w:t>Position vacant</w:t>
            </w:r>
          </w:p>
        </w:tc>
      </w:tr>
      <w:tr w:rsidR="00682410" w14:paraId="0957609F" w14:textId="77777777" w:rsidTr="00292220">
        <w:trPr>
          <w:trHeight w:val="324"/>
        </w:trPr>
        <w:tc>
          <w:tcPr>
            <w:tcW w:w="2376" w:type="dxa"/>
            <w:tcBorders>
              <w:top w:val="single" w:sz="4" w:space="0" w:color="auto"/>
              <w:left w:val="single" w:sz="4" w:space="0" w:color="auto"/>
              <w:bottom w:val="single" w:sz="4" w:space="0" w:color="auto"/>
              <w:right w:val="single" w:sz="4" w:space="0" w:color="auto"/>
            </w:tcBorders>
            <w:hideMark/>
          </w:tcPr>
          <w:p w14:paraId="74F51AB2" w14:textId="77777777" w:rsidR="00682410" w:rsidRDefault="00682410" w:rsidP="00196D2B">
            <w:pPr>
              <w:spacing w:before="0" w:after="0" w:line="240" w:lineRule="auto"/>
              <w:rPr>
                <w:rFonts w:cs="Arial"/>
                <w:lang w:eastAsia="en-US"/>
              </w:rPr>
            </w:pPr>
            <w:r>
              <w:rPr>
                <w:rFonts w:cs="Arial"/>
                <w:lang w:eastAsia="en-US"/>
              </w:rPr>
              <w:t xml:space="preserve">Mark Whitaker </w:t>
            </w:r>
          </w:p>
        </w:tc>
        <w:tc>
          <w:tcPr>
            <w:tcW w:w="3828" w:type="dxa"/>
            <w:tcBorders>
              <w:top w:val="single" w:sz="4" w:space="0" w:color="auto"/>
              <w:left w:val="single" w:sz="4" w:space="0" w:color="auto"/>
              <w:bottom w:val="single" w:sz="4" w:space="0" w:color="auto"/>
              <w:right w:val="single" w:sz="4" w:space="0" w:color="auto"/>
            </w:tcBorders>
            <w:hideMark/>
          </w:tcPr>
          <w:p w14:paraId="7A0E12E0" w14:textId="77777777" w:rsidR="00682410" w:rsidRDefault="00682410" w:rsidP="00196D2B">
            <w:pPr>
              <w:spacing w:before="0" w:after="0" w:line="240" w:lineRule="auto"/>
              <w:rPr>
                <w:rFonts w:cs="Arial"/>
                <w:lang w:eastAsia="en-US"/>
              </w:rPr>
            </w:pPr>
            <w:r>
              <w:rPr>
                <w:rFonts w:cs="Arial"/>
                <w:lang w:eastAsia="en-US"/>
              </w:rPr>
              <w:t xml:space="preserve">Practice Manager Member </w:t>
            </w:r>
          </w:p>
        </w:tc>
        <w:tc>
          <w:tcPr>
            <w:tcW w:w="3289" w:type="dxa"/>
            <w:tcBorders>
              <w:top w:val="single" w:sz="4" w:space="0" w:color="auto"/>
              <w:left w:val="single" w:sz="4" w:space="0" w:color="auto"/>
              <w:bottom w:val="single" w:sz="4" w:space="0" w:color="auto"/>
              <w:right w:val="single" w:sz="4" w:space="0" w:color="auto"/>
            </w:tcBorders>
          </w:tcPr>
          <w:p w14:paraId="08F71117" w14:textId="77777777" w:rsidR="00682410" w:rsidRDefault="00682410" w:rsidP="00196D2B">
            <w:pPr>
              <w:spacing w:before="0" w:after="0" w:line="240" w:lineRule="auto"/>
              <w:rPr>
                <w:rFonts w:cs="Arial"/>
                <w:lang w:eastAsia="en-US"/>
              </w:rPr>
            </w:pPr>
          </w:p>
        </w:tc>
      </w:tr>
      <w:tr w:rsidR="00292220" w14:paraId="4F19B5E9" w14:textId="77777777" w:rsidTr="00292220">
        <w:trPr>
          <w:trHeight w:val="324"/>
        </w:trPr>
        <w:tc>
          <w:tcPr>
            <w:tcW w:w="2376" w:type="dxa"/>
            <w:tcBorders>
              <w:top w:val="single" w:sz="4" w:space="0" w:color="auto"/>
              <w:left w:val="single" w:sz="4" w:space="0" w:color="auto"/>
              <w:bottom w:val="single" w:sz="4" w:space="0" w:color="auto"/>
              <w:right w:val="single" w:sz="4" w:space="0" w:color="auto"/>
            </w:tcBorders>
            <w:hideMark/>
          </w:tcPr>
          <w:p w14:paraId="0C6AC1CE" w14:textId="77777777" w:rsidR="00292220" w:rsidRDefault="00292220" w:rsidP="00292220">
            <w:pPr>
              <w:spacing w:before="0" w:after="0" w:line="240" w:lineRule="auto"/>
              <w:rPr>
                <w:rFonts w:cs="Arial"/>
                <w:lang w:eastAsia="en-US"/>
              </w:rPr>
            </w:pPr>
            <w:r>
              <w:rPr>
                <w:rFonts w:cs="Arial"/>
                <w:lang w:eastAsia="en-US"/>
              </w:rPr>
              <w:t xml:space="preserve">Clare Linley </w:t>
            </w:r>
          </w:p>
        </w:tc>
        <w:tc>
          <w:tcPr>
            <w:tcW w:w="3828" w:type="dxa"/>
            <w:tcBorders>
              <w:top w:val="single" w:sz="4" w:space="0" w:color="auto"/>
              <w:left w:val="single" w:sz="4" w:space="0" w:color="auto"/>
              <w:bottom w:val="single" w:sz="4" w:space="0" w:color="auto"/>
              <w:right w:val="single" w:sz="4" w:space="0" w:color="auto"/>
            </w:tcBorders>
            <w:hideMark/>
          </w:tcPr>
          <w:p w14:paraId="7699BEF8" w14:textId="77777777" w:rsidR="00292220" w:rsidRDefault="00292220" w:rsidP="00292220">
            <w:pPr>
              <w:pStyle w:val="Default"/>
              <w:spacing w:before="0" w:line="256" w:lineRule="auto"/>
              <w:rPr>
                <w:sz w:val="22"/>
                <w:szCs w:val="22"/>
                <w:lang w:eastAsia="en-US"/>
              </w:rPr>
            </w:pPr>
            <w:r>
              <w:rPr>
                <w:color w:val="auto"/>
                <w:sz w:val="22"/>
                <w:szCs w:val="22"/>
              </w:rPr>
              <w:t>Interim</w:t>
            </w:r>
            <w:r>
              <w:rPr>
                <w:b/>
                <w:bCs/>
                <w:color w:val="17365D"/>
                <w:sz w:val="22"/>
                <w:szCs w:val="22"/>
              </w:rPr>
              <w:t xml:space="preserve"> </w:t>
            </w:r>
            <w:r>
              <w:rPr>
                <w:sz w:val="22"/>
                <w:szCs w:val="22"/>
              </w:rPr>
              <w:t>Director of Nursing and Quality Executive Nurse</w:t>
            </w:r>
          </w:p>
        </w:tc>
        <w:tc>
          <w:tcPr>
            <w:tcW w:w="3289" w:type="dxa"/>
            <w:tcBorders>
              <w:top w:val="single" w:sz="4" w:space="0" w:color="auto"/>
              <w:left w:val="single" w:sz="4" w:space="0" w:color="auto"/>
              <w:bottom w:val="single" w:sz="4" w:space="0" w:color="auto"/>
              <w:right w:val="single" w:sz="4" w:space="0" w:color="auto"/>
            </w:tcBorders>
            <w:hideMark/>
          </w:tcPr>
          <w:p w14:paraId="034026B6" w14:textId="77777777" w:rsidR="00292220" w:rsidRDefault="00292220" w:rsidP="00292220">
            <w:pPr>
              <w:spacing w:before="0" w:after="0" w:line="240" w:lineRule="auto"/>
              <w:rPr>
                <w:rFonts w:cs="Arial"/>
                <w:lang w:eastAsia="en-US"/>
              </w:rPr>
            </w:pPr>
            <w:r>
              <w:rPr>
                <w:rFonts w:cs="Arial"/>
                <w:lang w:eastAsia="en-US"/>
              </w:rPr>
              <w:t>To June 2021</w:t>
            </w:r>
          </w:p>
        </w:tc>
      </w:tr>
      <w:tr w:rsidR="00292220" w14:paraId="7E5BDD0D" w14:textId="77777777" w:rsidTr="00292220">
        <w:trPr>
          <w:trHeight w:val="324"/>
        </w:trPr>
        <w:tc>
          <w:tcPr>
            <w:tcW w:w="2376" w:type="dxa"/>
            <w:tcBorders>
              <w:top w:val="single" w:sz="4" w:space="0" w:color="auto"/>
              <w:left w:val="single" w:sz="4" w:space="0" w:color="auto"/>
              <w:bottom w:val="single" w:sz="4" w:space="0" w:color="auto"/>
              <w:right w:val="single" w:sz="4" w:space="0" w:color="auto"/>
            </w:tcBorders>
            <w:hideMark/>
          </w:tcPr>
          <w:p w14:paraId="2864826A" w14:textId="77777777" w:rsidR="00292220" w:rsidRDefault="00292220" w:rsidP="00292220">
            <w:pPr>
              <w:spacing w:before="0" w:after="0" w:line="240" w:lineRule="auto"/>
              <w:rPr>
                <w:rFonts w:cs="Arial"/>
                <w:lang w:eastAsia="en-US"/>
              </w:rPr>
            </w:pPr>
            <w:r>
              <w:rPr>
                <w:rFonts w:cs="Arial"/>
                <w:lang w:eastAsia="en-US"/>
              </w:rPr>
              <w:t>Debbie Lowe</w:t>
            </w:r>
          </w:p>
        </w:tc>
        <w:tc>
          <w:tcPr>
            <w:tcW w:w="3828" w:type="dxa"/>
            <w:tcBorders>
              <w:top w:val="single" w:sz="4" w:space="0" w:color="auto"/>
              <w:left w:val="single" w:sz="4" w:space="0" w:color="auto"/>
              <w:bottom w:val="single" w:sz="4" w:space="0" w:color="auto"/>
              <w:right w:val="single" w:sz="4" w:space="0" w:color="auto"/>
            </w:tcBorders>
            <w:hideMark/>
          </w:tcPr>
          <w:p w14:paraId="32EBF406" w14:textId="77777777" w:rsidR="00292220" w:rsidRDefault="00292220" w:rsidP="00292220">
            <w:pPr>
              <w:spacing w:before="0" w:after="0"/>
              <w:rPr>
                <w:rFonts w:cs="Arial"/>
                <w:lang w:eastAsia="en-US"/>
              </w:rPr>
            </w:pPr>
            <w:r>
              <w:rPr>
                <w:rFonts w:cs="Arial"/>
                <w:lang w:eastAsia="en-US"/>
              </w:rPr>
              <w:t>Acting Director of Nursing and Quality</w:t>
            </w:r>
          </w:p>
          <w:p w14:paraId="20FD6A04" w14:textId="77777777" w:rsidR="00292220" w:rsidRDefault="00292220" w:rsidP="00292220">
            <w:pPr>
              <w:spacing w:before="0" w:after="0"/>
              <w:rPr>
                <w:rFonts w:cs="Arial"/>
                <w:lang w:eastAsia="en-US"/>
              </w:rPr>
            </w:pPr>
            <w:r>
              <w:rPr>
                <w:rFonts w:cs="Arial"/>
                <w:lang w:eastAsia="en-US"/>
              </w:rPr>
              <w:t>Caldicott Guardian</w:t>
            </w:r>
          </w:p>
        </w:tc>
        <w:tc>
          <w:tcPr>
            <w:tcW w:w="3289" w:type="dxa"/>
            <w:tcBorders>
              <w:top w:val="single" w:sz="4" w:space="0" w:color="auto"/>
              <w:left w:val="single" w:sz="4" w:space="0" w:color="auto"/>
              <w:bottom w:val="single" w:sz="4" w:space="0" w:color="auto"/>
              <w:right w:val="single" w:sz="4" w:space="0" w:color="auto"/>
            </w:tcBorders>
            <w:hideMark/>
          </w:tcPr>
          <w:p w14:paraId="34D8DB25" w14:textId="63529EEC" w:rsidR="00292220" w:rsidRDefault="00292220" w:rsidP="00292220">
            <w:pPr>
              <w:spacing w:before="0" w:after="0" w:line="240" w:lineRule="auto"/>
              <w:rPr>
                <w:rFonts w:cs="Arial"/>
                <w:lang w:eastAsia="en-US"/>
              </w:rPr>
            </w:pPr>
            <w:r>
              <w:rPr>
                <w:rFonts w:cs="Arial"/>
                <w:lang w:eastAsia="en-US"/>
              </w:rPr>
              <w:t xml:space="preserve">From 1 July 2021 </w:t>
            </w:r>
          </w:p>
        </w:tc>
      </w:tr>
      <w:tr w:rsidR="00682410" w14:paraId="120ED540" w14:textId="77777777" w:rsidTr="00292220">
        <w:trPr>
          <w:trHeight w:val="324"/>
        </w:trPr>
        <w:tc>
          <w:tcPr>
            <w:tcW w:w="9493" w:type="dxa"/>
            <w:gridSpan w:val="3"/>
            <w:tcBorders>
              <w:top w:val="single" w:sz="4" w:space="0" w:color="auto"/>
              <w:left w:val="single" w:sz="4" w:space="0" w:color="auto"/>
              <w:bottom w:val="single" w:sz="4" w:space="0" w:color="auto"/>
              <w:right w:val="single" w:sz="4" w:space="0" w:color="auto"/>
            </w:tcBorders>
            <w:hideMark/>
          </w:tcPr>
          <w:p w14:paraId="47869BAB" w14:textId="77777777" w:rsidR="00682410" w:rsidRDefault="00682410" w:rsidP="00196D2B">
            <w:pPr>
              <w:spacing w:before="0" w:after="0" w:line="240" w:lineRule="auto"/>
              <w:rPr>
                <w:rFonts w:cs="Arial"/>
                <w:b/>
                <w:bCs/>
                <w:lang w:eastAsia="en-US"/>
              </w:rPr>
            </w:pPr>
            <w:r>
              <w:rPr>
                <w:rFonts w:cs="Arial"/>
                <w:b/>
                <w:bCs/>
                <w:lang w:eastAsia="en-US"/>
              </w:rPr>
              <w:t>Asssociate Board Member</w:t>
            </w:r>
          </w:p>
        </w:tc>
      </w:tr>
      <w:tr w:rsidR="00682410" w14:paraId="3A0B520D" w14:textId="77777777" w:rsidTr="00292220">
        <w:trPr>
          <w:trHeight w:val="324"/>
        </w:trPr>
        <w:tc>
          <w:tcPr>
            <w:tcW w:w="2376" w:type="dxa"/>
            <w:tcBorders>
              <w:top w:val="single" w:sz="4" w:space="0" w:color="auto"/>
              <w:left w:val="single" w:sz="4" w:space="0" w:color="auto"/>
              <w:bottom w:val="single" w:sz="4" w:space="0" w:color="auto"/>
              <w:right w:val="single" w:sz="4" w:space="0" w:color="auto"/>
            </w:tcBorders>
            <w:hideMark/>
          </w:tcPr>
          <w:p w14:paraId="5E17C1D4" w14:textId="77777777" w:rsidR="00682410" w:rsidRDefault="00682410" w:rsidP="00196D2B">
            <w:pPr>
              <w:spacing w:before="0" w:after="0" w:line="240" w:lineRule="auto"/>
              <w:rPr>
                <w:rFonts w:cs="Arial"/>
                <w:lang w:eastAsia="en-US"/>
              </w:rPr>
            </w:pPr>
            <w:r>
              <w:rPr>
                <w:rFonts w:cs="Arial"/>
                <w:lang w:eastAsia="en-US"/>
              </w:rPr>
              <w:t>Julia Weldon</w:t>
            </w:r>
          </w:p>
        </w:tc>
        <w:tc>
          <w:tcPr>
            <w:tcW w:w="3828" w:type="dxa"/>
            <w:tcBorders>
              <w:top w:val="single" w:sz="4" w:space="0" w:color="auto"/>
              <w:left w:val="single" w:sz="4" w:space="0" w:color="auto"/>
              <w:bottom w:val="single" w:sz="4" w:space="0" w:color="auto"/>
              <w:right w:val="single" w:sz="4" w:space="0" w:color="auto"/>
            </w:tcBorders>
            <w:hideMark/>
          </w:tcPr>
          <w:p w14:paraId="5073CA17" w14:textId="77777777" w:rsidR="00682410" w:rsidRDefault="00682410" w:rsidP="00196D2B">
            <w:pPr>
              <w:tabs>
                <w:tab w:val="left" w:pos="1152"/>
              </w:tabs>
              <w:spacing w:before="0" w:after="0" w:line="240" w:lineRule="auto"/>
              <w:rPr>
                <w:rFonts w:cs="Arial"/>
                <w:lang w:eastAsia="en-US"/>
              </w:rPr>
            </w:pPr>
            <w:r>
              <w:rPr>
                <w:rFonts w:cs="Arial"/>
                <w:lang w:eastAsia="en-US"/>
              </w:rPr>
              <w:t xml:space="preserve">Director of Public Health and Adult  Social Care </w:t>
            </w:r>
          </w:p>
        </w:tc>
        <w:tc>
          <w:tcPr>
            <w:tcW w:w="3289" w:type="dxa"/>
            <w:tcBorders>
              <w:top w:val="single" w:sz="4" w:space="0" w:color="auto"/>
              <w:left w:val="single" w:sz="4" w:space="0" w:color="auto"/>
              <w:bottom w:val="single" w:sz="4" w:space="0" w:color="auto"/>
              <w:right w:val="single" w:sz="4" w:space="0" w:color="auto"/>
            </w:tcBorders>
          </w:tcPr>
          <w:p w14:paraId="051CB9AA" w14:textId="77777777" w:rsidR="00682410" w:rsidRDefault="00682410" w:rsidP="00196D2B">
            <w:pPr>
              <w:spacing w:before="0" w:after="0" w:line="240" w:lineRule="auto"/>
              <w:rPr>
                <w:rFonts w:cs="Arial"/>
                <w:lang w:eastAsia="en-US"/>
              </w:rPr>
            </w:pPr>
          </w:p>
        </w:tc>
      </w:tr>
    </w:tbl>
    <w:p w14:paraId="03F2D799" w14:textId="77777777" w:rsidR="00374149" w:rsidRDefault="00374149" w:rsidP="00374149">
      <w:pPr>
        <w:pStyle w:val="NoSpacing"/>
      </w:pPr>
      <w:bookmarkStart w:id="87" w:name="_Toc449018429"/>
      <w:bookmarkStart w:id="88" w:name="_Toc449014851"/>
    </w:p>
    <w:p w14:paraId="1405BD2F" w14:textId="107C19B4" w:rsidR="00374149" w:rsidRDefault="00374149" w:rsidP="00374149">
      <w:pPr>
        <w:pStyle w:val="NoSpacing"/>
      </w:pPr>
      <w:r>
        <w:t>CCG Committees</w:t>
      </w:r>
    </w:p>
    <w:p w14:paraId="5C355AF9" w14:textId="3B37782F" w:rsidR="00682410" w:rsidRDefault="00682410" w:rsidP="00682410">
      <w:pPr>
        <w:spacing w:before="0" w:after="0" w:line="240" w:lineRule="auto"/>
        <w:rPr>
          <w:rFonts w:cs="Arial"/>
        </w:rPr>
      </w:pPr>
      <w:r>
        <w:rPr>
          <w:rFonts w:cs="Arial"/>
        </w:rPr>
        <w:t>Six committees assist in the delivery of the statutory functions and key strategic objectives of the CCG.</w:t>
      </w:r>
    </w:p>
    <w:p w14:paraId="05EFEDFC" w14:textId="77777777" w:rsidR="00682410" w:rsidRDefault="00682410" w:rsidP="0062761B">
      <w:pPr>
        <w:numPr>
          <w:ilvl w:val="0"/>
          <w:numId w:val="19"/>
        </w:numPr>
        <w:spacing w:before="0" w:after="0" w:line="240" w:lineRule="auto"/>
        <w:contextualSpacing/>
        <w:rPr>
          <w:rFonts w:cs="Arial"/>
        </w:rPr>
      </w:pPr>
      <w:r>
        <w:rPr>
          <w:rFonts w:cs="Arial"/>
        </w:rPr>
        <w:t>Integrated Audit and Governance Committee</w:t>
      </w:r>
    </w:p>
    <w:p w14:paraId="608982C2" w14:textId="77777777" w:rsidR="00682410" w:rsidRDefault="00682410" w:rsidP="0062761B">
      <w:pPr>
        <w:numPr>
          <w:ilvl w:val="0"/>
          <w:numId w:val="19"/>
        </w:numPr>
        <w:spacing w:before="0" w:after="0" w:line="240" w:lineRule="auto"/>
        <w:contextualSpacing/>
        <w:rPr>
          <w:rFonts w:cs="Arial"/>
        </w:rPr>
      </w:pPr>
      <w:r>
        <w:rPr>
          <w:rFonts w:cs="Arial"/>
        </w:rPr>
        <w:t>Planning and Commissioning Committee</w:t>
      </w:r>
    </w:p>
    <w:p w14:paraId="166A3EBF" w14:textId="77777777" w:rsidR="00682410" w:rsidRDefault="00682410" w:rsidP="0062761B">
      <w:pPr>
        <w:numPr>
          <w:ilvl w:val="0"/>
          <w:numId w:val="19"/>
        </w:numPr>
        <w:spacing w:before="0" w:after="0" w:line="240" w:lineRule="auto"/>
        <w:contextualSpacing/>
        <w:rPr>
          <w:rFonts w:cs="Arial"/>
        </w:rPr>
      </w:pPr>
      <w:r>
        <w:rPr>
          <w:rFonts w:cs="Arial"/>
        </w:rPr>
        <w:t>Quality and Performance Committee</w:t>
      </w:r>
    </w:p>
    <w:p w14:paraId="04F5D8F1" w14:textId="77777777" w:rsidR="00682410" w:rsidRDefault="00682410" w:rsidP="0062761B">
      <w:pPr>
        <w:numPr>
          <w:ilvl w:val="0"/>
          <w:numId w:val="19"/>
        </w:numPr>
        <w:spacing w:before="0" w:after="0" w:line="240" w:lineRule="auto"/>
        <w:contextualSpacing/>
        <w:rPr>
          <w:rFonts w:cs="Arial"/>
        </w:rPr>
      </w:pPr>
      <w:r>
        <w:rPr>
          <w:rFonts w:cs="Arial"/>
        </w:rPr>
        <w:t>Primary Care Commissioning Committee</w:t>
      </w:r>
    </w:p>
    <w:p w14:paraId="669047D3" w14:textId="77777777" w:rsidR="00682410" w:rsidRDefault="00682410" w:rsidP="0062761B">
      <w:pPr>
        <w:numPr>
          <w:ilvl w:val="0"/>
          <w:numId w:val="19"/>
        </w:numPr>
        <w:spacing w:before="0" w:after="0" w:line="240" w:lineRule="auto"/>
        <w:contextualSpacing/>
        <w:rPr>
          <w:rFonts w:cs="Arial"/>
        </w:rPr>
      </w:pPr>
      <w:r>
        <w:rPr>
          <w:rFonts w:cs="Arial"/>
        </w:rPr>
        <w:t>Remuneration Committee</w:t>
      </w:r>
    </w:p>
    <w:p w14:paraId="48206549" w14:textId="77777777" w:rsidR="00682410" w:rsidRDefault="00682410" w:rsidP="0062761B">
      <w:pPr>
        <w:numPr>
          <w:ilvl w:val="0"/>
          <w:numId w:val="19"/>
        </w:numPr>
        <w:spacing w:before="0" w:after="0" w:line="240" w:lineRule="auto"/>
        <w:contextualSpacing/>
        <w:rPr>
          <w:rFonts w:cs="Arial"/>
        </w:rPr>
      </w:pPr>
      <w:r>
        <w:rPr>
          <w:rFonts w:cs="Arial"/>
        </w:rPr>
        <w:t>Integrated Commissioning Committees in Common</w:t>
      </w:r>
    </w:p>
    <w:p w14:paraId="1DDA701F" w14:textId="77777777" w:rsidR="00682410" w:rsidRDefault="00682410" w:rsidP="00682410">
      <w:pPr>
        <w:spacing w:before="0" w:after="0" w:line="240" w:lineRule="auto"/>
        <w:ind w:left="720"/>
        <w:contextualSpacing/>
        <w:rPr>
          <w:rFonts w:cs="Arial"/>
        </w:rPr>
      </w:pPr>
    </w:p>
    <w:p w14:paraId="600C1D7E" w14:textId="0F73FE75" w:rsidR="00682410" w:rsidRPr="00D326D4" w:rsidRDefault="00682410" w:rsidP="00682410">
      <w:pPr>
        <w:spacing w:before="0" w:after="0" w:line="240" w:lineRule="auto"/>
        <w:rPr>
          <w:rFonts w:cs="Arial"/>
        </w:rPr>
      </w:pPr>
      <w:r>
        <w:rPr>
          <w:rFonts w:cs="Arial"/>
        </w:rPr>
        <w:t xml:space="preserve">For </w:t>
      </w:r>
      <w:r w:rsidRPr="00D326D4">
        <w:rPr>
          <w:rFonts w:cs="Arial"/>
        </w:rPr>
        <w:t xml:space="preserve">full details of committee functions, membership and attendance for 2021-22 please see </w:t>
      </w:r>
      <w:bookmarkEnd w:id="87"/>
      <w:bookmarkEnd w:id="88"/>
      <w:r w:rsidR="005C3887" w:rsidRPr="00D326D4">
        <w:rPr>
          <w:rFonts w:cs="Arial"/>
        </w:rPr>
        <w:t xml:space="preserve">the Governance Statement pages </w:t>
      </w:r>
      <w:r w:rsidR="008B517E" w:rsidRPr="00D326D4">
        <w:rPr>
          <w:rFonts w:cs="Arial"/>
        </w:rPr>
        <w:t>59-67</w:t>
      </w:r>
      <w:r w:rsidRPr="00D326D4">
        <w:rPr>
          <w:rFonts w:cs="Arial"/>
        </w:rPr>
        <w:t>.</w:t>
      </w:r>
    </w:p>
    <w:p w14:paraId="4BD44882" w14:textId="14BB1684" w:rsidR="00682410" w:rsidRPr="00D326D4" w:rsidRDefault="00682410" w:rsidP="00682410">
      <w:pPr>
        <w:pStyle w:val="Heading3"/>
        <w:spacing w:line="240" w:lineRule="auto"/>
        <w:rPr>
          <w:rFonts w:cs="Arial"/>
          <w:sz w:val="22"/>
        </w:rPr>
      </w:pPr>
      <w:bookmarkStart w:id="89" w:name="_Toc103695043"/>
      <w:r w:rsidRPr="00D326D4">
        <w:t>Personal data related incidents</w:t>
      </w:r>
      <w:bookmarkEnd w:id="89"/>
      <w:r w:rsidRPr="00D326D4">
        <w:rPr>
          <w:rFonts w:cs="Arial"/>
          <w:sz w:val="22"/>
        </w:rPr>
        <w:t xml:space="preserve"> </w:t>
      </w:r>
    </w:p>
    <w:p w14:paraId="29EE85FC" w14:textId="77777777" w:rsidR="00682410" w:rsidRDefault="00682410" w:rsidP="00682410">
      <w:pPr>
        <w:spacing w:line="240" w:lineRule="auto"/>
        <w:rPr>
          <w:rFonts w:cs="Arial"/>
          <w:b/>
        </w:rPr>
      </w:pPr>
      <w:r w:rsidRPr="00D326D4">
        <w:rPr>
          <w:rFonts w:cs="Arial"/>
        </w:rPr>
        <w:t>The CCG recognises the importance of maintaining data in a safe</w:t>
      </w:r>
      <w:r>
        <w:rPr>
          <w:rFonts w:cs="Arial"/>
        </w:rPr>
        <w:t xml:space="preserve"> and secure environment. It uses the Serious Incidents Requiring Investigation (SIRI) tool to assess any matters involving potential data loss to the organisation. The tool requires the reporting of any data incident rated at level 2 or above via the information governance toolkit. </w:t>
      </w:r>
      <w:r>
        <w:rPr>
          <w:rFonts w:cs="Arial"/>
          <w:b/>
        </w:rPr>
        <w:t>The CCG has had no such incidents during 2021-22.</w:t>
      </w:r>
    </w:p>
    <w:p w14:paraId="718B4BF1" w14:textId="685B72D5" w:rsidR="00682DFD" w:rsidRPr="00A558A4" w:rsidRDefault="00682DFD" w:rsidP="00B66DE2">
      <w:pPr>
        <w:pStyle w:val="Heading3"/>
        <w:spacing w:line="240" w:lineRule="auto"/>
        <w:rPr>
          <w:rFonts w:cs="Arial"/>
          <w:sz w:val="22"/>
        </w:rPr>
      </w:pPr>
      <w:bookmarkStart w:id="90" w:name="_Toc103695044"/>
      <w:r w:rsidRPr="00A56EF6">
        <w:lastRenderedPageBreak/>
        <w:t>Modern Slavery Act</w:t>
      </w:r>
      <w:bookmarkEnd w:id="90"/>
      <w:r w:rsidRPr="00A558A4">
        <w:rPr>
          <w:rFonts w:cs="Arial"/>
          <w:sz w:val="22"/>
        </w:rPr>
        <w:t xml:space="preserve"> </w:t>
      </w:r>
    </w:p>
    <w:p w14:paraId="07ED5437" w14:textId="5E20C655" w:rsidR="009F1A38" w:rsidRPr="00A558A4" w:rsidRDefault="00F51CC2" w:rsidP="00B66DE2">
      <w:pPr>
        <w:spacing w:line="240" w:lineRule="auto"/>
        <w:rPr>
          <w:rFonts w:cs="Arial"/>
        </w:rPr>
      </w:pPr>
      <w:r w:rsidRPr="00A558A4">
        <w:rPr>
          <w:rFonts w:cs="Arial"/>
        </w:rPr>
        <w:t>NHS Hull CCG</w:t>
      </w:r>
      <w:r w:rsidR="00F03CD4" w:rsidRPr="00A558A4">
        <w:rPr>
          <w:rFonts w:cs="Arial"/>
        </w:rPr>
        <w:t xml:space="preserve"> fully supports the Government’s objectives to eradicate modern slavery and human trafficking. Our </w:t>
      </w:r>
      <w:r w:rsidR="00350B19" w:rsidRPr="00A558A4">
        <w:rPr>
          <w:rFonts w:cs="Arial"/>
        </w:rPr>
        <w:t xml:space="preserve">Slavery and </w:t>
      </w:r>
      <w:r w:rsidR="00F03CD4" w:rsidRPr="00A558A4">
        <w:rPr>
          <w:rFonts w:cs="Arial"/>
        </w:rPr>
        <w:t>Human Trafficking Statement for the fin</w:t>
      </w:r>
      <w:r w:rsidR="00181E9B" w:rsidRPr="00A558A4">
        <w:rPr>
          <w:rFonts w:cs="Arial"/>
        </w:rPr>
        <w:t xml:space="preserve">ancial year ending 31 March </w:t>
      </w:r>
      <w:r w:rsidR="00F62D4A">
        <w:rPr>
          <w:rFonts w:cs="Arial"/>
        </w:rPr>
        <w:t>2022</w:t>
      </w:r>
      <w:r w:rsidR="00F03CD4" w:rsidRPr="00A558A4">
        <w:rPr>
          <w:rFonts w:cs="Arial"/>
        </w:rPr>
        <w:t xml:space="preserve"> </w:t>
      </w:r>
      <w:r w:rsidR="00B72AF5" w:rsidRPr="00A558A4">
        <w:rPr>
          <w:rFonts w:cs="Arial"/>
        </w:rPr>
        <w:t xml:space="preserve">is </w:t>
      </w:r>
      <w:r w:rsidR="00F03CD4" w:rsidRPr="00A558A4">
        <w:rPr>
          <w:rFonts w:cs="Arial"/>
        </w:rPr>
        <w:t xml:space="preserve">published on </w:t>
      </w:r>
      <w:r w:rsidR="00934070" w:rsidRPr="00A558A4">
        <w:rPr>
          <w:rFonts w:cs="Arial"/>
        </w:rPr>
        <w:t xml:space="preserve">our website at </w:t>
      </w:r>
      <w:hyperlink r:id="rId44" w:history="1">
        <w:r w:rsidRPr="00A558A4">
          <w:rPr>
            <w:rStyle w:val="Hyperlink"/>
            <w:rFonts w:cs="Arial"/>
          </w:rPr>
          <w:t>www.hullccg.nhs.uk</w:t>
        </w:r>
      </w:hyperlink>
      <w:r w:rsidRPr="00A558A4">
        <w:rPr>
          <w:rFonts w:cs="Arial"/>
        </w:rPr>
        <w:t xml:space="preserve"> </w:t>
      </w:r>
    </w:p>
    <w:p w14:paraId="36C4789B" w14:textId="6C73CD8A" w:rsidR="009F1A38" w:rsidRPr="00326E18" w:rsidRDefault="009F1A38" w:rsidP="00B66DE2">
      <w:pPr>
        <w:pStyle w:val="NoSpacing"/>
        <w:rPr>
          <w:rFonts w:cs="Arial"/>
          <w:color w:val="auto"/>
          <w:sz w:val="22"/>
        </w:rPr>
      </w:pPr>
      <w:bookmarkStart w:id="91" w:name="_Toc449014821"/>
      <w:bookmarkStart w:id="92" w:name="_Toc449018423"/>
      <w:bookmarkStart w:id="93" w:name="_Toc481760960"/>
      <w:bookmarkStart w:id="94" w:name="_Toc512957162"/>
      <w:bookmarkStart w:id="95" w:name="_Toc103695045"/>
      <w:r w:rsidRPr="00A56EF6">
        <w:rPr>
          <w:rStyle w:val="Heading3Char"/>
          <w:b/>
        </w:rPr>
        <w:t>Access to Information</w:t>
      </w:r>
      <w:bookmarkEnd w:id="91"/>
      <w:bookmarkEnd w:id="92"/>
      <w:bookmarkEnd w:id="93"/>
      <w:bookmarkEnd w:id="94"/>
      <w:bookmarkEnd w:id="95"/>
      <w:r w:rsidR="00F278DD" w:rsidRPr="00A558A4">
        <w:rPr>
          <w:rFonts w:cs="Arial"/>
          <w:sz w:val="22"/>
        </w:rPr>
        <w:t xml:space="preserve"> </w:t>
      </w:r>
    </w:p>
    <w:p w14:paraId="7B05E3B4" w14:textId="6EB8713D" w:rsidR="006F29F7" w:rsidRDefault="006F29F7" w:rsidP="00B66DE2">
      <w:pPr>
        <w:rPr>
          <w:rFonts w:cs="Arial"/>
        </w:rPr>
      </w:pPr>
      <w:bookmarkStart w:id="96" w:name="_Toc449014823"/>
      <w:bookmarkStart w:id="97" w:name="_Toc449018424"/>
      <w:bookmarkStart w:id="98" w:name="_Toc481760961"/>
      <w:r>
        <w:rPr>
          <w:rFonts w:cs="Arial"/>
        </w:rPr>
        <w:t>During the period from 1 April 202</w:t>
      </w:r>
      <w:r w:rsidR="00F62D4A">
        <w:rPr>
          <w:rFonts w:cs="Arial"/>
        </w:rPr>
        <w:t>1</w:t>
      </w:r>
      <w:r>
        <w:rPr>
          <w:rFonts w:cs="Arial"/>
        </w:rPr>
        <w:t xml:space="preserve"> to 31 March 202</w:t>
      </w:r>
      <w:r w:rsidR="00F62D4A">
        <w:rPr>
          <w:rFonts w:cs="Arial"/>
        </w:rPr>
        <w:t>2</w:t>
      </w:r>
      <w:r>
        <w:rPr>
          <w:rFonts w:cs="Arial"/>
        </w:rPr>
        <w:t xml:space="preserve">, the CCG processed the following requests for information under the Freedom of Information Act 2000 (FOIA): </w:t>
      </w:r>
    </w:p>
    <w:tbl>
      <w:tblPr>
        <w:tblW w:w="4954" w:type="pct"/>
        <w:tblCellMar>
          <w:left w:w="0" w:type="dxa"/>
          <w:right w:w="0" w:type="dxa"/>
        </w:tblCellMar>
        <w:tblLook w:val="04A0" w:firstRow="1" w:lastRow="0" w:firstColumn="1" w:lastColumn="0" w:noHBand="0" w:noVBand="1"/>
      </w:tblPr>
      <w:tblGrid>
        <w:gridCol w:w="7738"/>
        <w:gridCol w:w="1792"/>
      </w:tblGrid>
      <w:tr w:rsidR="006F29F7" w:rsidRPr="00E75520" w14:paraId="02EB82C1" w14:textId="77777777" w:rsidTr="00730DF2">
        <w:trPr>
          <w:trHeight w:val="236"/>
        </w:trPr>
        <w:tc>
          <w:tcPr>
            <w:tcW w:w="4060" w:type="pct"/>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hideMark/>
          </w:tcPr>
          <w:p w14:paraId="2BFD79BC" w14:textId="77777777" w:rsidR="006F29F7" w:rsidRPr="00E75520" w:rsidRDefault="006F29F7" w:rsidP="00B66DE2">
            <w:pPr>
              <w:spacing w:before="0" w:after="0" w:line="240" w:lineRule="auto"/>
              <w:rPr>
                <w:rFonts w:cs="Arial"/>
                <w:sz w:val="20"/>
                <w:szCs w:val="20"/>
              </w:rPr>
            </w:pPr>
            <w:r w:rsidRPr="00E75520">
              <w:rPr>
                <w:rFonts w:cs="Arial"/>
                <w:sz w:val="20"/>
                <w:szCs w:val="20"/>
              </w:rPr>
              <w:t>FOI</w:t>
            </w:r>
          </w:p>
        </w:tc>
        <w:tc>
          <w:tcPr>
            <w:tcW w:w="940" w:type="pct"/>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hideMark/>
          </w:tcPr>
          <w:p w14:paraId="3633F930" w14:textId="7AB0F707" w:rsidR="006F29F7" w:rsidRPr="00E75520" w:rsidRDefault="00F62D4A" w:rsidP="00B66DE2">
            <w:pPr>
              <w:spacing w:before="0" w:after="0" w:line="240" w:lineRule="auto"/>
              <w:rPr>
                <w:rFonts w:cs="Arial"/>
                <w:sz w:val="20"/>
                <w:szCs w:val="20"/>
              </w:rPr>
            </w:pPr>
            <w:r>
              <w:rPr>
                <w:rFonts w:cs="Arial"/>
                <w:sz w:val="20"/>
                <w:szCs w:val="20"/>
              </w:rPr>
              <w:t>2021-22</w:t>
            </w:r>
          </w:p>
        </w:tc>
      </w:tr>
      <w:tr w:rsidR="006F29F7" w:rsidRPr="007A5EB1" w14:paraId="5C59A2AE" w14:textId="77777777" w:rsidTr="00730DF2">
        <w:trPr>
          <w:trHeight w:val="395"/>
        </w:trPr>
        <w:tc>
          <w:tcPr>
            <w:tcW w:w="4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03D133" w14:textId="77777777" w:rsidR="006F29F7" w:rsidRPr="007A5EB1" w:rsidRDefault="006F29F7" w:rsidP="00B66DE2">
            <w:pPr>
              <w:spacing w:before="0" w:after="0" w:line="240" w:lineRule="auto"/>
              <w:rPr>
                <w:rFonts w:cs="Arial"/>
                <w:sz w:val="20"/>
                <w:szCs w:val="20"/>
              </w:rPr>
            </w:pPr>
            <w:r w:rsidRPr="007A5EB1">
              <w:rPr>
                <w:rFonts w:cs="Arial"/>
                <w:sz w:val="20"/>
                <w:szCs w:val="20"/>
              </w:rPr>
              <w:t>Number of FOI requests processed</w:t>
            </w:r>
          </w:p>
        </w:tc>
        <w:tc>
          <w:tcPr>
            <w:tcW w:w="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D5603" w14:textId="6CEC2CA8" w:rsidR="006F29F7" w:rsidRPr="007A5EB1" w:rsidRDefault="00AE76F5" w:rsidP="00B66DE2">
            <w:pPr>
              <w:spacing w:before="0" w:after="0" w:line="240" w:lineRule="auto"/>
              <w:rPr>
                <w:rFonts w:cs="Arial"/>
                <w:sz w:val="20"/>
                <w:szCs w:val="20"/>
              </w:rPr>
            </w:pPr>
            <w:r>
              <w:rPr>
                <w:rFonts w:cs="Arial"/>
                <w:sz w:val="20"/>
                <w:szCs w:val="20"/>
              </w:rPr>
              <w:t>241</w:t>
            </w:r>
          </w:p>
        </w:tc>
      </w:tr>
      <w:tr w:rsidR="006F29F7" w:rsidRPr="007A5EB1" w14:paraId="582032AD" w14:textId="77777777" w:rsidTr="00730DF2">
        <w:trPr>
          <w:trHeight w:val="400"/>
        </w:trPr>
        <w:tc>
          <w:tcPr>
            <w:tcW w:w="4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C2D522" w14:textId="77777777" w:rsidR="006F29F7" w:rsidRPr="007A5EB1" w:rsidRDefault="006F29F7" w:rsidP="00B66DE2">
            <w:pPr>
              <w:spacing w:before="0" w:after="0" w:line="240" w:lineRule="auto"/>
              <w:rPr>
                <w:rFonts w:cs="Arial"/>
                <w:sz w:val="20"/>
                <w:szCs w:val="20"/>
              </w:rPr>
            </w:pPr>
            <w:r w:rsidRPr="007A5EB1">
              <w:rPr>
                <w:rFonts w:cs="Arial"/>
                <w:sz w:val="20"/>
                <w:szCs w:val="20"/>
              </w:rPr>
              <w:t>Percentage of requests responded to within 20 working days</w:t>
            </w:r>
          </w:p>
        </w:tc>
        <w:tc>
          <w:tcPr>
            <w:tcW w:w="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77715" w14:textId="70BA9127" w:rsidR="006F29F7" w:rsidRPr="007A5EB1" w:rsidRDefault="00AE76F5" w:rsidP="00B66DE2">
            <w:pPr>
              <w:spacing w:before="0" w:after="0" w:line="240" w:lineRule="auto"/>
              <w:rPr>
                <w:rFonts w:cs="Arial"/>
                <w:sz w:val="20"/>
                <w:szCs w:val="20"/>
              </w:rPr>
            </w:pPr>
            <w:r>
              <w:rPr>
                <w:rFonts w:cs="Arial"/>
                <w:sz w:val="20"/>
                <w:szCs w:val="20"/>
              </w:rPr>
              <w:t>100%</w:t>
            </w:r>
          </w:p>
        </w:tc>
      </w:tr>
      <w:tr w:rsidR="006F29F7" w:rsidRPr="007A5EB1" w14:paraId="36638ADB" w14:textId="77777777" w:rsidTr="00615F99">
        <w:trPr>
          <w:trHeight w:val="454"/>
        </w:trPr>
        <w:tc>
          <w:tcPr>
            <w:tcW w:w="40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4ECB7" w14:textId="77777777" w:rsidR="006F29F7" w:rsidRPr="007A5EB1" w:rsidRDefault="006F29F7" w:rsidP="00B66DE2">
            <w:pPr>
              <w:spacing w:before="0" w:after="0" w:line="240" w:lineRule="auto"/>
              <w:rPr>
                <w:rFonts w:cs="Arial"/>
                <w:sz w:val="20"/>
                <w:szCs w:val="20"/>
              </w:rPr>
            </w:pPr>
            <w:r w:rsidRPr="007A5EB1">
              <w:rPr>
                <w:rFonts w:cs="Arial"/>
                <w:sz w:val="20"/>
                <w:szCs w:val="20"/>
              </w:rPr>
              <w:t>Average time (in days) taken to respond to an FOI request</w:t>
            </w:r>
          </w:p>
        </w:tc>
        <w:tc>
          <w:tcPr>
            <w:tcW w:w="9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A0876" w14:textId="2A1F4F9C" w:rsidR="006F29F7" w:rsidRPr="007A5EB1" w:rsidRDefault="00AE76F5" w:rsidP="00AE76F5">
            <w:pPr>
              <w:spacing w:before="0" w:after="0" w:line="240" w:lineRule="auto"/>
              <w:rPr>
                <w:rFonts w:cs="Arial"/>
                <w:sz w:val="20"/>
                <w:szCs w:val="20"/>
              </w:rPr>
            </w:pPr>
            <w:r>
              <w:rPr>
                <w:rFonts w:cs="Arial"/>
                <w:sz w:val="20"/>
                <w:szCs w:val="20"/>
              </w:rPr>
              <w:t>14</w:t>
            </w:r>
          </w:p>
        </w:tc>
      </w:tr>
    </w:tbl>
    <w:p w14:paraId="10991D52" w14:textId="77777777" w:rsidR="00AE76F5" w:rsidRPr="00F120A5" w:rsidRDefault="00AE76F5" w:rsidP="00AE76F5">
      <w:pPr>
        <w:rPr>
          <w:rFonts w:cs="Arial"/>
        </w:rPr>
      </w:pPr>
      <w:r w:rsidRPr="00187F22">
        <w:rPr>
          <w:rFonts w:cs="Arial"/>
        </w:rPr>
        <w:t xml:space="preserve">The CCG provided the full information requested in </w:t>
      </w:r>
      <w:r>
        <w:rPr>
          <w:rFonts w:cs="Arial"/>
        </w:rPr>
        <w:t>86</w:t>
      </w:r>
      <w:r w:rsidRPr="00187F22">
        <w:rPr>
          <w:rFonts w:cs="Arial"/>
        </w:rPr>
        <w:t xml:space="preserve"> cases. The CCG did not provide all the information requested in </w:t>
      </w:r>
      <w:r>
        <w:rPr>
          <w:rFonts w:cs="Arial"/>
        </w:rPr>
        <w:t>43</w:t>
      </w:r>
      <w:r w:rsidRPr="00187F22">
        <w:rPr>
          <w:rFonts w:cs="Arial"/>
        </w:rPr>
        <w:t xml:space="preserve"> cases because an exemption was applied</w:t>
      </w:r>
      <w:r w:rsidRPr="00187F22">
        <w:rPr>
          <w:rFonts w:cs="Arial"/>
          <w:color w:val="1F497D"/>
        </w:rPr>
        <w:t xml:space="preserve"> </w:t>
      </w:r>
      <w:r w:rsidRPr="00187F22">
        <w:rPr>
          <w:rFonts w:cs="Arial"/>
        </w:rPr>
        <w:t xml:space="preserve">either to part of, or to the </w:t>
      </w:r>
      <w:r w:rsidRPr="00F120A5">
        <w:rPr>
          <w:rFonts w:cs="Arial"/>
        </w:rPr>
        <w:t>whole request. The exemptions applied were;</w:t>
      </w:r>
    </w:p>
    <w:p w14:paraId="5D069E8A" w14:textId="77777777" w:rsidR="00AE76F5" w:rsidRPr="00F120A5" w:rsidRDefault="00AE76F5" w:rsidP="00AE76F5">
      <w:pPr>
        <w:numPr>
          <w:ilvl w:val="0"/>
          <w:numId w:val="53"/>
        </w:numPr>
        <w:tabs>
          <w:tab w:val="clear" w:pos="2835"/>
          <w:tab w:val="clear" w:pos="5670"/>
          <w:tab w:val="clear" w:pos="9016"/>
          <w:tab w:val="left" w:pos="284"/>
        </w:tabs>
        <w:spacing w:before="0" w:after="0"/>
        <w:ind w:left="0" w:firstLine="0"/>
        <w:rPr>
          <w:rFonts w:cs="Arial"/>
        </w:rPr>
      </w:pPr>
      <w:r w:rsidRPr="00F120A5">
        <w:rPr>
          <w:rFonts w:cs="Arial"/>
        </w:rPr>
        <w:t>The cost of providing the information exceeded the limits set by the FOIA.</w:t>
      </w:r>
    </w:p>
    <w:p w14:paraId="61FD0679" w14:textId="77777777" w:rsidR="00AE76F5" w:rsidRPr="00F120A5" w:rsidRDefault="00AE76F5" w:rsidP="00AE76F5">
      <w:pPr>
        <w:numPr>
          <w:ilvl w:val="0"/>
          <w:numId w:val="53"/>
        </w:numPr>
        <w:tabs>
          <w:tab w:val="clear" w:pos="2835"/>
          <w:tab w:val="clear" w:pos="5670"/>
          <w:tab w:val="clear" w:pos="9016"/>
          <w:tab w:val="left" w:pos="284"/>
        </w:tabs>
        <w:spacing w:before="0" w:after="0"/>
        <w:ind w:left="0" w:firstLine="0"/>
        <w:rPr>
          <w:rFonts w:cs="Arial"/>
        </w:rPr>
      </w:pPr>
      <w:r w:rsidRPr="00F120A5">
        <w:rPr>
          <w:rFonts w:cs="Arial"/>
        </w:rPr>
        <w:t>The request was a repeat request and the information had already been provided.</w:t>
      </w:r>
    </w:p>
    <w:p w14:paraId="42EE30D7" w14:textId="77777777" w:rsidR="00AE76F5" w:rsidRDefault="00AE76F5" w:rsidP="00AE76F5">
      <w:pPr>
        <w:numPr>
          <w:ilvl w:val="0"/>
          <w:numId w:val="53"/>
        </w:numPr>
        <w:tabs>
          <w:tab w:val="clear" w:pos="2835"/>
          <w:tab w:val="clear" w:pos="5670"/>
          <w:tab w:val="clear" w:pos="9016"/>
          <w:tab w:val="left" w:pos="284"/>
        </w:tabs>
        <w:spacing w:before="0" w:after="0"/>
        <w:ind w:left="0" w:firstLine="0"/>
        <w:rPr>
          <w:rFonts w:cs="Arial"/>
        </w:rPr>
      </w:pPr>
      <w:r w:rsidRPr="00F120A5">
        <w:rPr>
          <w:rFonts w:cs="Arial"/>
        </w:rPr>
        <w:t>The information was accessible by other means.</w:t>
      </w:r>
    </w:p>
    <w:p w14:paraId="46D47CA0" w14:textId="77777777" w:rsidR="00AE76F5" w:rsidRPr="00D402DD" w:rsidRDefault="00AE76F5" w:rsidP="00AE76F5">
      <w:pPr>
        <w:numPr>
          <w:ilvl w:val="0"/>
          <w:numId w:val="53"/>
        </w:numPr>
        <w:tabs>
          <w:tab w:val="clear" w:pos="2835"/>
          <w:tab w:val="clear" w:pos="5670"/>
          <w:tab w:val="clear" w:pos="9016"/>
          <w:tab w:val="left" w:pos="284"/>
        </w:tabs>
        <w:spacing w:before="0" w:after="0"/>
        <w:ind w:left="0" w:firstLine="0"/>
        <w:rPr>
          <w:rFonts w:cs="Arial"/>
        </w:rPr>
      </w:pPr>
      <w:r w:rsidRPr="00D402DD">
        <w:rPr>
          <w:rFonts w:cs="Arial"/>
        </w:rPr>
        <w:t>The information was intended for future publication.</w:t>
      </w:r>
    </w:p>
    <w:p w14:paraId="60BDDBC4" w14:textId="44913C40" w:rsidR="00AE76F5" w:rsidRPr="00F120A5" w:rsidRDefault="00AE76F5" w:rsidP="00AE76F5">
      <w:pPr>
        <w:numPr>
          <w:ilvl w:val="0"/>
          <w:numId w:val="53"/>
        </w:numPr>
        <w:tabs>
          <w:tab w:val="clear" w:pos="2835"/>
          <w:tab w:val="clear" w:pos="5670"/>
          <w:tab w:val="clear" w:pos="9016"/>
          <w:tab w:val="left" w:pos="284"/>
        </w:tabs>
        <w:spacing w:before="0" w:after="0"/>
        <w:ind w:left="0" w:firstLine="0"/>
        <w:rPr>
          <w:rFonts w:cs="Arial"/>
        </w:rPr>
      </w:pPr>
      <w:r w:rsidRPr="00F120A5">
        <w:rPr>
          <w:rFonts w:cs="Arial"/>
        </w:rPr>
        <w:t xml:space="preserve">The information was exempt </w:t>
      </w:r>
      <w:r>
        <w:rPr>
          <w:rFonts w:cs="Arial"/>
        </w:rPr>
        <w:t xml:space="preserve">as compliance would prejudice </w:t>
      </w:r>
      <w:r w:rsidR="00F70526">
        <w:rPr>
          <w:rFonts w:cs="Arial"/>
        </w:rPr>
        <w:t>law e</w:t>
      </w:r>
      <w:r w:rsidRPr="00F120A5">
        <w:rPr>
          <w:rFonts w:cs="Arial"/>
        </w:rPr>
        <w:t xml:space="preserve">nforcement. </w:t>
      </w:r>
    </w:p>
    <w:p w14:paraId="462496EE" w14:textId="372972BB" w:rsidR="00AE76F5" w:rsidRPr="00AE76F5" w:rsidRDefault="00AE76F5" w:rsidP="00AE76F5">
      <w:pPr>
        <w:numPr>
          <w:ilvl w:val="0"/>
          <w:numId w:val="53"/>
        </w:numPr>
        <w:tabs>
          <w:tab w:val="clear" w:pos="2835"/>
          <w:tab w:val="clear" w:pos="5670"/>
          <w:tab w:val="clear" w:pos="9016"/>
          <w:tab w:val="left" w:pos="284"/>
        </w:tabs>
        <w:spacing w:before="0" w:after="0"/>
        <w:ind w:left="0" w:firstLine="0"/>
        <w:rPr>
          <w:rFonts w:cs="Arial"/>
        </w:rPr>
      </w:pPr>
      <w:r w:rsidRPr="00F120A5">
        <w:rPr>
          <w:rFonts w:cs="Arial"/>
        </w:rPr>
        <w:t xml:space="preserve">Information requested related to personal data </w:t>
      </w:r>
      <w:r>
        <w:rPr>
          <w:rFonts w:cs="Arial"/>
        </w:rPr>
        <w:t xml:space="preserve">and compliance </w:t>
      </w:r>
      <w:r w:rsidRPr="00F120A5">
        <w:rPr>
          <w:rFonts w:cs="Arial"/>
        </w:rPr>
        <w:t xml:space="preserve">would breach </w:t>
      </w:r>
      <w:r>
        <w:rPr>
          <w:rFonts w:cs="Arial"/>
        </w:rPr>
        <w:t>the princip</w:t>
      </w:r>
      <w:r w:rsidR="00F70526">
        <w:rPr>
          <w:rFonts w:cs="Arial"/>
        </w:rPr>
        <w:t>le</w:t>
      </w:r>
      <w:r>
        <w:rPr>
          <w:rFonts w:cs="Arial"/>
        </w:rPr>
        <w:t>s in UK GDPR.</w:t>
      </w:r>
      <w:r w:rsidRPr="00F120A5">
        <w:rPr>
          <w:rFonts w:cs="Arial"/>
        </w:rPr>
        <w:t xml:space="preserve"> </w:t>
      </w:r>
    </w:p>
    <w:p w14:paraId="04BF0826" w14:textId="77777777" w:rsidR="00AE76F5" w:rsidRDefault="00AE76F5" w:rsidP="00AE76F5">
      <w:pPr>
        <w:tabs>
          <w:tab w:val="left" w:pos="900"/>
        </w:tabs>
        <w:rPr>
          <w:rFonts w:cs="Arial"/>
        </w:rPr>
      </w:pPr>
      <w:bookmarkStart w:id="99" w:name="_Hlk71033681"/>
      <w:r w:rsidRPr="00187F22">
        <w:rPr>
          <w:rFonts w:cs="Arial"/>
        </w:rPr>
        <w:t xml:space="preserve">In </w:t>
      </w:r>
      <w:r>
        <w:rPr>
          <w:rFonts w:cs="Arial"/>
        </w:rPr>
        <w:t>112</w:t>
      </w:r>
      <w:r w:rsidRPr="00187F22">
        <w:rPr>
          <w:rFonts w:cs="Arial"/>
        </w:rPr>
        <w:t xml:space="preserve"> cases, the CCG was unable to provide all the information requested, as it was either not held in full, or only partially held.  Where the CCG did not hold the information, the applicant was redirected, where possible, to other organisation(s); that may hold the information</w:t>
      </w:r>
      <w:r w:rsidRPr="007C635E">
        <w:rPr>
          <w:rFonts w:cs="Arial"/>
        </w:rPr>
        <w:t>.</w:t>
      </w:r>
      <w:r>
        <w:rPr>
          <w:rFonts w:cs="Arial"/>
        </w:rPr>
        <w:t xml:space="preserve">  </w:t>
      </w:r>
    </w:p>
    <w:bookmarkEnd w:id="99"/>
    <w:p w14:paraId="2FA84B8F" w14:textId="77777777" w:rsidR="00AE76F5" w:rsidRPr="00774EAB" w:rsidRDefault="00AE76F5" w:rsidP="00AE76F5">
      <w:pPr>
        <w:rPr>
          <w:rFonts w:cs="Arial"/>
          <w:shd w:val="clear" w:color="auto" w:fill="FFFFFF"/>
        </w:rPr>
      </w:pPr>
      <w:r w:rsidRPr="00F120A5">
        <w:rPr>
          <w:rFonts w:cs="Arial"/>
        </w:rPr>
        <w:t>The CCG receive</w:t>
      </w:r>
      <w:r>
        <w:rPr>
          <w:rFonts w:cs="Arial"/>
        </w:rPr>
        <w:t xml:space="preserve">d one </w:t>
      </w:r>
      <w:r w:rsidRPr="00F120A5">
        <w:rPr>
          <w:rFonts w:cs="Arial"/>
        </w:rPr>
        <w:t>request for an internal review of an FOI response provided during the year</w:t>
      </w:r>
      <w:r>
        <w:rPr>
          <w:rFonts w:cs="Arial"/>
        </w:rPr>
        <w:t xml:space="preserve">, </w:t>
      </w:r>
      <w:r w:rsidRPr="00774EAB">
        <w:rPr>
          <w:rFonts w:cs="Arial"/>
          <w:shd w:val="clear" w:color="auto" w:fill="FFFFFF"/>
        </w:rPr>
        <w:t>regarding Personal Health Budgets. The review concluded the information held by the CCG had been appropriately provided and the correct exemptions were applied and explained.</w:t>
      </w:r>
    </w:p>
    <w:p w14:paraId="46212090" w14:textId="77777777" w:rsidR="00F70526" w:rsidRDefault="00F70526" w:rsidP="00F70526">
      <w:pPr>
        <w:rPr>
          <w:rFonts w:eastAsiaTheme="minorHAnsi" w:cs="Arial"/>
          <w:noProof w:val="0"/>
        </w:rPr>
      </w:pPr>
      <w:r>
        <w:rPr>
          <w:rFonts w:cs="Arial"/>
        </w:rPr>
        <w:t xml:space="preserve">The Section 45 Code of Practice under FOIA recommends that public authorities with over 100 Full Time Equivalent employees publish FOIA compliance statistics as part of their publication schemes.  As a matter of best practice the CCG publishes FOIA reports on a quarterly basis at the link below: </w:t>
      </w:r>
      <w:hyperlink r:id="rId45" w:history="1">
        <w:r>
          <w:rPr>
            <w:rStyle w:val="Hyperlink"/>
            <w:rFonts w:cs="Arial"/>
          </w:rPr>
          <w:t>https://www.hullccg.nhs.uk/freedom-of-information-and-sharing-information/freedom-of-information/</w:t>
        </w:r>
      </w:hyperlink>
      <w:r>
        <w:rPr>
          <w:rFonts w:cs="Arial"/>
          <w:color w:val="FF0000"/>
        </w:rPr>
        <w:t xml:space="preserve"> </w:t>
      </w:r>
    </w:p>
    <w:p w14:paraId="7FEB1CFC" w14:textId="77777777" w:rsidR="00F70526" w:rsidRDefault="00F70526" w:rsidP="00F70526">
      <w:pPr>
        <w:rPr>
          <w:rFonts w:cs="Arial"/>
        </w:rPr>
      </w:pPr>
      <w:r>
        <w:rPr>
          <w:rFonts w:cs="Arial"/>
        </w:rPr>
        <w:t xml:space="preserve">Our publication scheme contains documents that are routinely published; this is available on our website: </w:t>
      </w:r>
      <w:hyperlink r:id="rId46" w:history="1">
        <w:r>
          <w:rPr>
            <w:rStyle w:val="Hyperlink"/>
            <w:rFonts w:cs="Arial"/>
          </w:rPr>
          <w:t>https://www.hullccg.nhs.uk/freedom-of-information-and-sharing-information/publication-scheme/</w:t>
        </w:r>
      </w:hyperlink>
      <w:r>
        <w:rPr>
          <w:rFonts w:cs="Arial"/>
        </w:rPr>
        <w:t xml:space="preserve"> </w:t>
      </w:r>
    </w:p>
    <w:p w14:paraId="772FB70C" w14:textId="0E0125A5" w:rsidR="009F1A38" w:rsidRPr="007A5EB1" w:rsidRDefault="009F1A38" w:rsidP="00B66DE2">
      <w:pPr>
        <w:pStyle w:val="Heading3"/>
        <w:spacing w:line="240" w:lineRule="auto"/>
        <w:rPr>
          <w:rFonts w:cs="Arial"/>
          <w:sz w:val="22"/>
        </w:rPr>
      </w:pPr>
      <w:bookmarkStart w:id="100" w:name="_Toc103695046"/>
      <w:r w:rsidRPr="007A5EB1">
        <w:t>Handling complaints</w:t>
      </w:r>
      <w:bookmarkEnd w:id="96"/>
      <w:bookmarkEnd w:id="97"/>
      <w:bookmarkEnd w:id="98"/>
      <w:bookmarkEnd w:id="100"/>
      <w:r w:rsidRPr="007A5EB1">
        <w:rPr>
          <w:rFonts w:cs="Arial"/>
          <w:sz w:val="22"/>
        </w:rPr>
        <w:t xml:space="preserve"> </w:t>
      </w:r>
    </w:p>
    <w:p w14:paraId="005C1438" w14:textId="77777777" w:rsidR="00BC1FA8" w:rsidRDefault="00BC1FA8" w:rsidP="00BC1FA8">
      <w:pPr>
        <w:rPr>
          <w:rFonts w:cs="Arial"/>
        </w:rPr>
      </w:pPr>
      <w:r>
        <w:rPr>
          <w:rFonts w:cs="Arial"/>
        </w:rPr>
        <w:t>There may be occasions when experiences of local health services falls short of patient and service user expectations. All local providers of NHS services have well established complaints procedures which enable such concerns to be investigated and responded to and further information is available directly from the relevant organisation.</w:t>
      </w:r>
    </w:p>
    <w:p w14:paraId="67804D48" w14:textId="77777777" w:rsidR="00BC1FA8" w:rsidRDefault="00BC1FA8" w:rsidP="00BC1FA8">
      <w:pPr>
        <w:rPr>
          <w:rFonts w:cs="Arial"/>
        </w:rPr>
      </w:pPr>
      <w:r>
        <w:rPr>
          <w:rFonts w:cs="Arial"/>
        </w:rPr>
        <w:lastRenderedPageBreak/>
        <w:t>The CCG’s complaints process aims to provide a full explanation and resolve all concerns promptly and with the minimum of bureaucracy. It is keen to learn from complaints, wherever possible, in order to improve services, patient care and staff awareness. The CCG complaints policy is regularly reviewed and is consistent with latest guidance and recommendations.</w:t>
      </w:r>
    </w:p>
    <w:p w14:paraId="4021B20D" w14:textId="07AE6AFE" w:rsidR="00BC1FA8" w:rsidRDefault="00BC1FA8" w:rsidP="00BC1FA8">
      <w:pPr>
        <w:rPr>
          <w:rFonts w:cs="Arial"/>
        </w:rPr>
      </w:pPr>
      <w:r>
        <w:rPr>
          <w:rFonts w:cs="Arial"/>
        </w:rPr>
        <w:t xml:space="preserve">During 2021-22 the CCG did not receive any formal complaints.  The organistation participated in a joint formal investigation </w:t>
      </w:r>
      <w:r w:rsidR="00FC40C0">
        <w:rPr>
          <w:rFonts w:cs="Arial"/>
        </w:rPr>
        <w:t xml:space="preserve">with the local authority </w:t>
      </w:r>
      <w:r>
        <w:rPr>
          <w:rFonts w:cs="Arial"/>
        </w:rPr>
        <w:t xml:space="preserve">from the </w:t>
      </w:r>
      <w:r w:rsidRPr="00FC40C0">
        <w:rPr>
          <w:rStyle w:val="Emphasis"/>
          <w:rFonts w:cs="Arial"/>
          <w:i w:val="0"/>
          <w:iCs w:val="0"/>
          <w:shd w:val="clear" w:color="auto" w:fill="FFFFFF"/>
        </w:rPr>
        <w:t>Parliamentary and Health Service Ombudsman</w:t>
      </w:r>
      <w:r w:rsidRPr="00FC40C0">
        <w:rPr>
          <w:rFonts w:cs="Arial"/>
        </w:rPr>
        <w:t xml:space="preserve"> </w:t>
      </w:r>
      <w:r w:rsidR="00FC40C0">
        <w:rPr>
          <w:rFonts w:cs="Arial"/>
        </w:rPr>
        <w:t xml:space="preserve">(PHSO) </w:t>
      </w:r>
      <w:r>
        <w:rPr>
          <w:rFonts w:cs="Arial"/>
        </w:rPr>
        <w:t>around the provision of a direct payment/P</w:t>
      </w:r>
      <w:r w:rsidR="00FC40C0">
        <w:rPr>
          <w:rFonts w:cs="Arial"/>
        </w:rPr>
        <w:t>ersonal Health Budget</w:t>
      </w:r>
      <w:r>
        <w:rPr>
          <w:rFonts w:cs="Arial"/>
        </w:rPr>
        <w:t xml:space="preserve">.  The joint recommendation from this investigation this was </w:t>
      </w:r>
      <w:r w:rsidR="00FC40C0">
        <w:rPr>
          <w:rFonts w:cs="Arial"/>
        </w:rPr>
        <w:t xml:space="preserve">for </w:t>
      </w:r>
      <w:r>
        <w:rPr>
          <w:rFonts w:cs="Arial"/>
        </w:rPr>
        <w:t xml:space="preserve">a joint working protocol which has been implemented.  </w:t>
      </w:r>
    </w:p>
    <w:p w14:paraId="67B87E5A" w14:textId="77777777" w:rsidR="00BC1FA8" w:rsidRDefault="00BC1FA8" w:rsidP="00BC1FA8">
      <w:pPr>
        <w:rPr>
          <w:rFonts w:cs="Arial"/>
          <w:i/>
          <w:iCs/>
          <w:color w:val="1F497D"/>
          <w:sz w:val="20"/>
          <w:szCs w:val="20"/>
        </w:rPr>
      </w:pPr>
      <w:r>
        <w:rPr>
          <w:rFonts w:cs="Arial"/>
        </w:rPr>
        <w:t>The CCG’s Complaints Policy is due for review in September 2022.</w:t>
      </w:r>
      <w:r>
        <w:rPr>
          <w:rFonts w:cs="Arial"/>
          <w:i/>
          <w:iCs/>
          <w:color w:val="1F497D"/>
          <w:sz w:val="20"/>
          <w:szCs w:val="20"/>
        </w:rPr>
        <w:t xml:space="preserve"> </w:t>
      </w:r>
      <w:r>
        <w:rPr>
          <w:rFonts w:cs="Arial"/>
        </w:rPr>
        <w:t xml:space="preserve">For further information regarding the CCG complaints process please visit the CCG website at </w:t>
      </w:r>
      <w:hyperlink r:id="rId47" w:history="1">
        <w:r>
          <w:rPr>
            <w:rStyle w:val="Hyperlink"/>
            <w:rFonts w:cs="Arial"/>
          </w:rPr>
          <w:t>www.hullccg.nhs.uk</w:t>
        </w:r>
      </w:hyperlink>
      <w:r>
        <w:rPr>
          <w:rFonts w:cs="Arial"/>
          <w:u w:val="single"/>
        </w:rPr>
        <w:t> </w:t>
      </w:r>
      <w:r>
        <w:rPr>
          <w:rFonts w:cs="Arial"/>
        </w:rPr>
        <w:t xml:space="preserve"> </w:t>
      </w:r>
    </w:p>
    <w:p w14:paraId="75A3E327" w14:textId="17514E04" w:rsidR="00730DF2" w:rsidRPr="007A5EB1" w:rsidRDefault="00730DF2" w:rsidP="00730DF2">
      <w:pPr>
        <w:pStyle w:val="Heading3"/>
        <w:rPr>
          <w:rFonts w:eastAsiaTheme="minorHAnsi"/>
          <w:noProof w:val="0"/>
        </w:rPr>
      </w:pPr>
      <w:bookmarkStart w:id="101" w:name="_Toc103695047"/>
      <w:r w:rsidRPr="007A5EB1">
        <w:t>Raising concerns – whistleblowing arrangements</w:t>
      </w:r>
      <w:bookmarkEnd w:id="101"/>
      <w:r w:rsidR="00EA0D00">
        <w:t xml:space="preserve"> </w:t>
      </w:r>
    </w:p>
    <w:p w14:paraId="0CD840CD" w14:textId="5F9305B2" w:rsidR="00730DF2" w:rsidRDefault="00730DF2" w:rsidP="00730DF2">
      <w:pPr>
        <w:rPr>
          <w:rFonts w:cs="Arial"/>
        </w:rPr>
      </w:pPr>
      <w:r w:rsidRPr="007A5EB1">
        <w:rPr>
          <w:rFonts w:cs="Arial"/>
        </w:rPr>
        <w:t xml:space="preserve">The CCG has a Whistleblowing policy and procedure in place at </w:t>
      </w:r>
      <w:hyperlink r:id="rId48" w:history="1">
        <w:r w:rsidRPr="007A5EB1">
          <w:rPr>
            <w:rStyle w:val="Hyperlink"/>
            <w:rFonts w:cs="Arial"/>
          </w:rPr>
          <w:t>www.hullccg.nhs.uk</w:t>
        </w:r>
      </w:hyperlink>
      <w:r w:rsidRPr="007A5EB1">
        <w:rPr>
          <w:rFonts w:cs="Arial"/>
        </w:rPr>
        <w:t xml:space="preserve"> for staff and external parties to raise concerns without fear or reprisal or victimisation which demonstrates the CCG’s commitment and support to those who come forward. Concerns may relate to unlawful conduct, financial malpractice, malpractice related to patients, employees, the public or the environment. Where concerns have been raised the CCG has carried out an investigation following due process outlined in the Policy and reported the outcomes as appropriate.</w:t>
      </w:r>
      <w:r>
        <w:rPr>
          <w:rFonts w:cs="Arial"/>
        </w:rPr>
        <w:t xml:space="preserve"> </w:t>
      </w:r>
    </w:p>
    <w:p w14:paraId="2985F0AB" w14:textId="252AB3DD" w:rsidR="00EA0D00" w:rsidRPr="00EA0D00" w:rsidRDefault="00EA0D00" w:rsidP="00EA0D00">
      <w:pPr>
        <w:pStyle w:val="Heading3"/>
        <w:rPr>
          <w:color w:val="FF0000"/>
        </w:rPr>
      </w:pPr>
      <w:bookmarkStart w:id="102" w:name="_Toc103695048"/>
      <w:r>
        <w:t>Emergency Preparedness, Resilience and Response</w:t>
      </w:r>
      <w:bookmarkEnd w:id="102"/>
      <w:r>
        <w:t xml:space="preserve"> </w:t>
      </w:r>
    </w:p>
    <w:p w14:paraId="3A921301" w14:textId="0C4A5F5E" w:rsidR="00EA0D00" w:rsidRDefault="00EA0D00" w:rsidP="00EA0D00">
      <w:pPr>
        <w:spacing w:after="0"/>
        <w:rPr>
          <w:rFonts w:cstheme="minorHAnsi"/>
        </w:rPr>
      </w:pPr>
      <w:r>
        <w:rPr>
          <w:rFonts w:cstheme="minorHAnsi"/>
        </w:rPr>
        <w:t>The CCG continues to have a responsibility to:</w:t>
      </w:r>
    </w:p>
    <w:p w14:paraId="10EFEC27" w14:textId="77777777" w:rsidR="00EA0D00" w:rsidRDefault="00EA0D00" w:rsidP="0062761B">
      <w:pPr>
        <w:numPr>
          <w:ilvl w:val="0"/>
          <w:numId w:val="8"/>
        </w:numPr>
        <w:spacing w:before="0" w:after="0"/>
        <w:ind w:left="360"/>
        <w:rPr>
          <w:rFonts w:cstheme="minorHAnsi"/>
        </w:rPr>
      </w:pPr>
      <w:r>
        <w:rPr>
          <w:rFonts w:cstheme="minorHAnsi"/>
        </w:rPr>
        <w:t xml:space="preserve">Ensure it is able to respond appropriately if there is an emergency that affects the City of Hull (or wider); such as floods, cyber-attacks, terror threats, pandemic Flu etc. In order to do this the CCG has a number of policies and processes which help everyone within the CCG and in partner organisations; such as Fire and Rescue Service, Police, other health service providers; to understand what the CCG’s role is. </w:t>
      </w:r>
    </w:p>
    <w:p w14:paraId="5F433F06" w14:textId="77777777" w:rsidR="00EA0D00" w:rsidRDefault="00EA0D00" w:rsidP="00EA0D00">
      <w:pPr>
        <w:spacing w:before="0" w:after="0"/>
        <w:ind w:left="360"/>
        <w:rPr>
          <w:rFonts w:cstheme="minorHAnsi"/>
        </w:rPr>
      </w:pPr>
    </w:p>
    <w:p w14:paraId="31D5C57D" w14:textId="77777777" w:rsidR="00EA0D00" w:rsidRDefault="00EA0D00" w:rsidP="0062761B">
      <w:pPr>
        <w:numPr>
          <w:ilvl w:val="0"/>
          <w:numId w:val="8"/>
        </w:numPr>
        <w:spacing w:before="0" w:after="0"/>
        <w:ind w:left="360"/>
        <w:rPr>
          <w:rFonts w:cstheme="minorHAnsi"/>
        </w:rPr>
      </w:pPr>
      <w:r>
        <w:rPr>
          <w:rFonts w:cstheme="minorHAnsi"/>
        </w:rPr>
        <w:t xml:space="preserve">Ensure that it can continue working as an organisation (business continuity) as well as responding appropriately to any emergency situations. </w:t>
      </w:r>
    </w:p>
    <w:p w14:paraId="71060CFF" w14:textId="77777777" w:rsidR="00EA0D00" w:rsidRDefault="00EA0D00" w:rsidP="00EA0D00">
      <w:pPr>
        <w:spacing w:before="0" w:after="0"/>
        <w:rPr>
          <w:rFonts w:cstheme="minorHAnsi"/>
        </w:rPr>
      </w:pPr>
    </w:p>
    <w:p w14:paraId="102D8282" w14:textId="77777777" w:rsidR="00EA0D00" w:rsidRDefault="00EA0D00" w:rsidP="00EA0D00">
      <w:pPr>
        <w:spacing w:before="0" w:after="0"/>
        <w:rPr>
          <w:rFonts w:cstheme="minorHAnsi"/>
        </w:rPr>
      </w:pPr>
      <w:r>
        <w:rPr>
          <w:rFonts w:cstheme="minorHAnsi"/>
        </w:rPr>
        <w:t xml:space="preserve">This process is called Emergency Preparedness, Resilience and Response (EPRR). </w:t>
      </w:r>
    </w:p>
    <w:p w14:paraId="3CF4700C" w14:textId="77777777" w:rsidR="00EA0D00" w:rsidRDefault="00EA0D00" w:rsidP="00EA0D00">
      <w:pPr>
        <w:rPr>
          <w:rFonts w:cstheme="minorHAnsi"/>
        </w:rPr>
      </w:pPr>
      <w:r>
        <w:rPr>
          <w:rFonts w:cstheme="minorHAnsi"/>
        </w:rPr>
        <w:t xml:space="preserve">This year the CCG’s response to the pandemic has continued to support working arrangements to protect its staff from infection risk whilst continuing to function as a system leader both for the city of Hull and in partnership across the Humber geography. This leadership role helped ensure that the wider health and care community was supported to continue to deliver essential services to our local population, as well maintaining services and pathways that arose from the pandemic. </w:t>
      </w:r>
    </w:p>
    <w:p w14:paraId="087B4664" w14:textId="01602D2D" w:rsidR="00EA0D00" w:rsidRDefault="00EA0D00" w:rsidP="00EA0D00">
      <w:pPr>
        <w:rPr>
          <w:rFonts w:cstheme="minorHAnsi"/>
        </w:rPr>
      </w:pPr>
      <w:r>
        <w:rPr>
          <w:rFonts w:cstheme="minorHAnsi"/>
        </w:rPr>
        <w:t>Every year the CCG has to review its systems and processes as part of a national exercise to review the whole NHS’ readiness to respond to emergencies. This year this review was streamlined to ensure that compliance with key standards had been maintained and any action plans put in place in for 202</w:t>
      </w:r>
      <w:r w:rsidR="001C185C">
        <w:rPr>
          <w:rFonts w:cstheme="minorHAnsi"/>
        </w:rPr>
        <w:t>1-</w:t>
      </w:r>
      <w:r>
        <w:rPr>
          <w:rFonts w:cstheme="minorHAnsi"/>
        </w:rPr>
        <w:t>22 had been delivered. The CCG’s Chief Operating Officer (A</w:t>
      </w:r>
      <w:r w:rsidR="008E5724">
        <w:rPr>
          <w:rFonts w:cstheme="minorHAnsi"/>
        </w:rPr>
        <w:t>ccountable Emergency Officer</w:t>
      </w:r>
      <w:r>
        <w:rPr>
          <w:rFonts w:cstheme="minorHAnsi"/>
        </w:rPr>
        <w:t xml:space="preserve">) had to provide written confirmation that the CCG remained </w:t>
      </w:r>
      <w:r>
        <w:rPr>
          <w:rFonts w:cstheme="minorHAnsi"/>
          <w:b/>
        </w:rPr>
        <w:t>substantially compliant.</w:t>
      </w:r>
      <w:r>
        <w:rPr>
          <w:rFonts w:cstheme="minorHAnsi"/>
        </w:rPr>
        <w:t xml:space="preserve"> </w:t>
      </w:r>
    </w:p>
    <w:p w14:paraId="78529AFC" w14:textId="060A4065" w:rsidR="00EA0D00" w:rsidRDefault="00EA0D00" w:rsidP="00EA0D00">
      <w:pPr>
        <w:spacing w:before="0" w:after="0"/>
        <w:rPr>
          <w:rFonts w:cstheme="minorHAnsi"/>
        </w:rPr>
      </w:pPr>
      <w:r>
        <w:rPr>
          <w:rFonts w:cstheme="minorHAnsi"/>
        </w:rPr>
        <w:t>The nature of the pandemic means that the CCG has been able to demonstrate compliance with the required exercises including:</w:t>
      </w:r>
    </w:p>
    <w:p w14:paraId="1410A7F7" w14:textId="77777777" w:rsidR="00EA0D00" w:rsidRDefault="00EA0D00" w:rsidP="0062761B">
      <w:pPr>
        <w:numPr>
          <w:ilvl w:val="0"/>
          <w:numId w:val="13"/>
        </w:numPr>
        <w:tabs>
          <w:tab w:val="right" w:pos="2127"/>
        </w:tabs>
        <w:spacing w:before="0" w:after="0"/>
        <w:contextualSpacing/>
        <w:rPr>
          <w:rFonts w:cstheme="minorHAnsi"/>
        </w:rPr>
      </w:pPr>
      <w:r>
        <w:rPr>
          <w:rFonts w:cstheme="minorHAnsi"/>
        </w:rPr>
        <w:t>A communications exercise (every 6 months)</w:t>
      </w:r>
    </w:p>
    <w:p w14:paraId="5E08704B" w14:textId="77777777" w:rsidR="00EA0D00" w:rsidRDefault="00EA0D00" w:rsidP="0062761B">
      <w:pPr>
        <w:numPr>
          <w:ilvl w:val="0"/>
          <w:numId w:val="13"/>
        </w:numPr>
        <w:tabs>
          <w:tab w:val="right" w:pos="2127"/>
        </w:tabs>
        <w:spacing w:before="0" w:after="0"/>
        <w:contextualSpacing/>
        <w:rPr>
          <w:rFonts w:cstheme="minorHAnsi"/>
        </w:rPr>
      </w:pPr>
      <w:r>
        <w:rPr>
          <w:rFonts w:cstheme="minorHAnsi"/>
        </w:rPr>
        <w:t>A table top (paper) exercise to test aspects of the CCG’s response plan (every year)</w:t>
      </w:r>
    </w:p>
    <w:p w14:paraId="04C8C49E" w14:textId="77777777" w:rsidR="00EA0D00" w:rsidRDefault="00EA0D00" w:rsidP="0062761B">
      <w:pPr>
        <w:numPr>
          <w:ilvl w:val="0"/>
          <w:numId w:val="13"/>
        </w:numPr>
        <w:tabs>
          <w:tab w:val="right" w:pos="2127"/>
        </w:tabs>
        <w:spacing w:before="0" w:after="0"/>
        <w:contextualSpacing/>
        <w:rPr>
          <w:rFonts w:cstheme="minorHAnsi"/>
        </w:rPr>
      </w:pPr>
      <w:r>
        <w:rPr>
          <w:rFonts w:cstheme="minorHAnsi"/>
        </w:rPr>
        <w:lastRenderedPageBreak/>
        <w:t>A ‘live’ exercise to test the CCG’s response (every 3 years)</w:t>
      </w:r>
    </w:p>
    <w:p w14:paraId="252B8CEF" w14:textId="77777777" w:rsidR="00EA0D00" w:rsidRDefault="00EA0D00" w:rsidP="00EA0D00">
      <w:pPr>
        <w:tabs>
          <w:tab w:val="right" w:pos="2127"/>
        </w:tabs>
        <w:spacing w:before="0" w:after="0"/>
        <w:ind w:left="1429"/>
        <w:contextualSpacing/>
        <w:rPr>
          <w:rFonts w:cstheme="minorHAnsi"/>
        </w:rPr>
      </w:pPr>
    </w:p>
    <w:p w14:paraId="12CA74C2" w14:textId="77777777" w:rsidR="00EA0D00" w:rsidRDefault="00EA0D00" w:rsidP="00EA0D00">
      <w:pPr>
        <w:spacing w:before="0"/>
      </w:pPr>
      <w:r>
        <w:rPr>
          <w:rFonts w:cstheme="minorHAnsi"/>
        </w:rPr>
        <w:t xml:space="preserve">In addition to the pandemic the CCG also worked with partner organisations in response to threatened and actual flooding across the Humber and we have continued to work with partners around EU departure following the formal exit of the UK from Europe. </w:t>
      </w:r>
    </w:p>
    <w:p w14:paraId="1E321DDF" w14:textId="7242F8E7" w:rsidR="00F62D4A" w:rsidRPr="00F62D4A" w:rsidRDefault="00F4589E" w:rsidP="00F62D4A">
      <w:pPr>
        <w:pStyle w:val="Heading3"/>
        <w:spacing w:after="240"/>
        <w:rPr>
          <w:rFonts w:cs="Arial"/>
          <w:sz w:val="22"/>
        </w:rPr>
      </w:pPr>
      <w:bookmarkStart w:id="103" w:name="_Toc103695049"/>
      <w:r w:rsidRPr="00A56EF6">
        <w:t>Statement of Disclosure to Auditors</w:t>
      </w:r>
      <w:bookmarkEnd w:id="103"/>
      <w:r w:rsidR="00D04D25" w:rsidRPr="00A558A4">
        <w:rPr>
          <w:rFonts w:cs="Arial"/>
          <w:sz w:val="22"/>
        </w:rPr>
        <w:t xml:space="preserve"> </w:t>
      </w:r>
    </w:p>
    <w:p w14:paraId="03B0B9D9" w14:textId="77777777" w:rsidR="00F62D4A" w:rsidRPr="00F62D4A" w:rsidRDefault="00F62D4A" w:rsidP="00F62D4A">
      <w:pPr>
        <w:spacing w:before="240" w:after="240"/>
        <w:rPr>
          <w:rFonts w:cs="Arial"/>
        </w:rPr>
      </w:pPr>
      <w:r w:rsidRPr="00F62D4A">
        <w:rPr>
          <w:rFonts w:cs="Arial"/>
        </w:rPr>
        <w:t xml:space="preserve">Each individual who is a member of the CCG at the time the Members’ Report is approved confirms: </w:t>
      </w:r>
    </w:p>
    <w:p w14:paraId="2DD67866" w14:textId="77777777" w:rsidR="00F62D4A" w:rsidRPr="00F62D4A" w:rsidRDefault="00F62D4A" w:rsidP="0062761B">
      <w:pPr>
        <w:pStyle w:val="ListParagraph"/>
        <w:numPr>
          <w:ilvl w:val="0"/>
          <w:numId w:val="6"/>
        </w:numPr>
        <w:tabs>
          <w:tab w:val="clear" w:pos="2835"/>
          <w:tab w:val="clear" w:pos="5670"/>
          <w:tab w:val="clear" w:pos="9016"/>
        </w:tabs>
        <w:spacing w:before="240" w:after="240"/>
        <w:ind w:left="1134" w:hanging="567"/>
        <w:contextualSpacing w:val="0"/>
        <w:rPr>
          <w:rFonts w:cs="Arial"/>
        </w:rPr>
      </w:pPr>
      <w:r w:rsidRPr="00F62D4A">
        <w:rPr>
          <w:rFonts w:cs="Arial"/>
        </w:rPr>
        <w:t xml:space="preserve">so far as the member is aware, there is no relevant audit information of which the CCG’s auditor is unaware that would be relevant for the purposes of their audit report </w:t>
      </w:r>
    </w:p>
    <w:p w14:paraId="17D5AE3C" w14:textId="77777777" w:rsidR="00F62D4A" w:rsidRPr="00F62D4A" w:rsidRDefault="00F62D4A" w:rsidP="0062761B">
      <w:pPr>
        <w:pStyle w:val="ListParagraph"/>
        <w:numPr>
          <w:ilvl w:val="0"/>
          <w:numId w:val="6"/>
        </w:numPr>
        <w:tabs>
          <w:tab w:val="clear" w:pos="2835"/>
          <w:tab w:val="clear" w:pos="5670"/>
          <w:tab w:val="clear" w:pos="9016"/>
        </w:tabs>
        <w:spacing w:before="240" w:after="240"/>
        <w:ind w:left="1134" w:hanging="567"/>
        <w:contextualSpacing w:val="0"/>
        <w:rPr>
          <w:rFonts w:cs="Arial"/>
        </w:rPr>
      </w:pPr>
      <w:r w:rsidRPr="00F62D4A">
        <w:rPr>
          <w:rFonts w:cs="Arial"/>
        </w:rPr>
        <w:t xml:space="preserve">the member has taken all the steps that they ought to have taken in order to make him or herself aware of any relevant audit information and to establish that the CCG’s auditor is aware of it. </w:t>
      </w:r>
    </w:p>
    <w:p w14:paraId="05DC2580" w14:textId="77777777" w:rsidR="00682DFD" w:rsidRPr="00A558A4" w:rsidRDefault="00682DFD" w:rsidP="00B66DE2">
      <w:pPr>
        <w:spacing w:line="240" w:lineRule="auto"/>
        <w:rPr>
          <w:rFonts w:cs="Arial"/>
        </w:rPr>
      </w:pPr>
      <w:r w:rsidRPr="00A558A4">
        <w:rPr>
          <w:rFonts w:cs="Arial"/>
        </w:rPr>
        <w:br w:type="page"/>
      </w:r>
    </w:p>
    <w:p w14:paraId="699741D1" w14:textId="692E5B8C" w:rsidR="00CB2D56" w:rsidRPr="00326E18" w:rsidRDefault="00CB2D56" w:rsidP="00B66DE2">
      <w:pPr>
        <w:pStyle w:val="Heading3"/>
        <w:rPr>
          <w:color w:val="auto"/>
        </w:rPr>
      </w:pPr>
      <w:bookmarkStart w:id="104" w:name="_Toc468966568"/>
      <w:bookmarkStart w:id="105" w:name="_Toc103695050"/>
      <w:r w:rsidRPr="00DD0A7F">
        <w:rPr>
          <w:rStyle w:val="Heading2Char"/>
          <w:b/>
        </w:rPr>
        <w:lastRenderedPageBreak/>
        <w:t>Statement of Accountable Officer’s Responsibilities</w:t>
      </w:r>
      <w:bookmarkEnd w:id="104"/>
      <w:bookmarkEnd w:id="105"/>
      <w:r w:rsidRPr="00A558A4">
        <w:t xml:space="preserve"> </w:t>
      </w:r>
    </w:p>
    <w:p w14:paraId="2F3CC271" w14:textId="34ED53E5" w:rsidR="00F62D4A" w:rsidRPr="00F62D4A" w:rsidRDefault="00F62D4A" w:rsidP="00F62D4A">
      <w:pPr>
        <w:spacing w:after="120"/>
        <w:rPr>
          <w:rFonts w:eastAsia="Times New Roman" w:cs="Arial"/>
        </w:rPr>
      </w:pPr>
      <w:bookmarkStart w:id="106" w:name="_Toc6399031"/>
      <w:bookmarkStart w:id="107" w:name="_Toc481760964"/>
      <w:bookmarkStart w:id="108" w:name="_Toc512957165"/>
      <w:r w:rsidRPr="00F62D4A">
        <w:rPr>
          <w:rFonts w:eastAsia="Times New Roman" w:cs="Arial"/>
        </w:rPr>
        <w:t xml:space="preserve">The National Health Service Act 2006 (as amended) states that each Clinical Commissioning Group shall have an Accountable Officer and that Officer shall be appointed by the NHS Commissioning Board (NHS England).  NHS England has appointed </w:t>
      </w:r>
      <w:r>
        <w:rPr>
          <w:rFonts w:eastAsia="Times New Roman" w:cs="Arial"/>
        </w:rPr>
        <w:t>Emma Latimer</w:t>
      </w:r>
      <w:r w:rsidRPr="00F62D4A">
        <w:rPr>
          <w:rFonts w:eastAsia="Times New Roman" w:cs="Arial"/>
        </w:rPr>
        <w:t xml:space="preserve"> to be the Accountable Officer of </w:t>
      </w:r>
      <w:r>
        <w:rPr>
          <w:rFonts w:eastAsia="Times New Roman" w:cs="Arial"/>
        </w:rPr>
        <w:t>NHS Hull Clinical Commissioning Group.</w:t>
      </w:r>
    </w:p>
    <w:p w14:paraId="48FC2BD0" w14:textId="77777777" w:rsidR="00F62D4A" w:rsidRPr="00F62D4A" w:rsidRDefault="00F62D4A" w:rsidP="00F62D4A">
      <w:pPr>
        <w:spacing w:after="120"/>
        <w:rPr>
          <w:rFonts w:eastAsia="Times New Roman" w:cs="Arial"/>
        </w:rPr>
      </w:pPr>
      <w:r w:rsidRPr="00F62D4A">
        <w:rPr>
          <w:rFonts w:eastAsia="Times New Roman" w:cs="Arial"/>
        </w:rPr>
        <w:t xml:space="preserve">The responsibilities of an Accountable Officer are set out under the National Health Service Act 2006 (as amended), Managing Public Money and in the Clinical Commissioning Group Accountable Officer Appointment Letter.  They include responsibilities for: </w:t>
      </w:r>
    </w:p>
    <w:p w14:paraId="0D299E56" w14:textId="77777777" w:rsidR="00F62D4A" w:rsidRPr="00F62D4A" w:rsidRDefault="00F62D4A" w:rsidP="00F62D4A">
      <w:pPr>
        <w:pStyle w:val="ListParagraph"/>
        <w:numPr>
          <w:ilvl w:val="0"/>
          <w:numId w:val="4"/>
        </w:numPr>
        <w:tabs>
          <w:tab w:val="clear" w:pos="2835"/>
          <w:tab w:val="clear" w:pos="5670"/>
          <w:tab w:val="clear" w:pos="9016"/>
        </w:tabs>
        <w:spacing w:after="120"/>
        <w:rPr>
          <w:rFonts w:eastAsia="Times New Roman" w:cs="Arial"/>
        </w:rPr>
      </w:pPr>
      <w:r w:rsidRPr="00F62D4A">
        <w:rPr>
          <w:rFonts w:eastAsia="Times New Roman" w:cs="Arial"/>
        </w:rPr>
        <w:t xml:space="preserve">The propriety and regularity of the public finances for which the Accountable Officer is answerable, </w:t>
      </w:r>
    </w:p>
    <w:p w14:paraId="10ABFF92" w14:textId="77777777" w:rsidR="00F62D4A" w:rsidRPr="00F62D4A" w:rsidRDefault="00F62D4A" w:rsidP="00F62D4A">
      <w:pPr>
        <w:pStyle w:val="ListParagraph"/>
        <w:numPr>
          <w:ilvl w:val="0"/>
          <w:numId w:val="4"/>
        </w:numPr>
        <w:tabs>
          <w:tab w:val="clear" w:pos="2835"/>
          <w:tab w:val="clear" w:pos="5670"/>
          <w:tab w:val="clear" w:pos="9016"/>
        </w:tabs>
        <w:spacing w:after="120"/>
        <w:rPr>
          <w:rFonts w:eastAsia="Times New Roman" w:cs="Arial"/>
        </w:rPr>
      </w:pPr>
      <w:r w:rsidRPr="00F62D4A">
        <w:rPr>
          <w:rFonts w:eastAsia="Times New Roman" w:cs="Arial"/>
        </w:rPr>
        <w:t xml:space="preserve">For keeping proper accounting records (which disclose with reasonable accuracy at any time the financial position of the Clinical Commissioning Group and enable them to ensure that the accounts comply with the requirements of the Accounts Direction), </w:t>
      </w:r>
    </w:p>
    <w:p w14:paraId="31782B9A" w14:textId="77777777" w:rsidR="00F62D4A" w:rsidRPr="00F62D4A" w:rsidRDefault="00F62D4A" w:rsidP="00F62D4A">
      <w:pPr>
        <w:pStyle w:val="ListParagraph"/>
        <w:numPr>
          <w:ilvl w:val="0"/>
          <w:numId w:val="4"/>
        </w:numPr>
        <w:tabs>
          <w:tab w:val="clear" w:pos="2835"/>
          <w:tab w:val="clear" w:pos="5670"/>
          <w:tab w:val="clear" w:pos="9016"/>
        </w:tabs>
        <w:spacing w:after="120"/>
        <w:rPr>
          <w:rFonts w:eastAsia="Times New Roman" w:cs="Arial"/>
        </w:rPr>
      </w:pPr>
      <w:r w:rsidRPr="00F62D4A">
        <w:rPr>
          <w:rFonts w:eastAsia="Times New Roman" w:cs="Arial"/>
        </w:rPr>
        <w:t>For safeguarding the Clinical Commissioning Group’s assets (and hence for taking reasonable steps for the prevention and detection of fraud and other irregularities).</w:t>
      </w:r>
    </w:p>
    <w:p w14:paraId="6A2D892F" w14:textId="77777777" w:rsidR="00F62D4A" w:rsidRPr="00F62D4A" w:rsidRDefault="00F62D4A" w:rsidP="00F62D4A">
      <w:pPr>
        <w:pStyle w:val="ListParagraph"/>
        <w:numPr>
          <w:ilvl w:val="0"/>
          <w:numId w:val="4"/>
        </w:numPr>
        <w:tabs>
          <w:tab w:val="clear" w:pos="2835"/>
          <w:tab w:val="clear" w:pos="5670"/>
          <w:tab w:val="clear" w:pos="9016"/>
        </w:tabs>
        <w:spacing w:after="120"/>
        <w:rPr>
          <w:rFonts w:eastAsia="Times New Roman" w:cs="Arial"/>
        </w:rPr>
      </w:pPr>
      <w:r w:rsidRPr="00F62D4A">
        <w:rPr>
          <w:rFonts w:eastAsia="Times New Roman" w:cs="Arial"/>
        </w:rPr>
        <w:t>The relevant responsibilities of accounting officers under Managing Public Money,</w:t>
      </w:r>
    </w:p>
    <w:p w14:paraId="6FF4D2E5" w14:textId="77777777" w:rsidR="00F62D4A" w:rsidRPr="00F62D4A" w:rsidRDefault="00F62D4A" w:rsidP="00F62D4A">
      <w:pPr>
        <w:pStyle w:val="ListParagraph"/>
        <w:numPr>
          <w:ilvl w:val="0"/>
          <w:numId w:val="4"/>
        </w:numPr>
        <w:tabs>
          <w:tab w:val="clear" w:pos="2835"/>
          <w:tab w:val="clear" w:pos="5670"/>
          <w:tab w:val="clear" w:pos="9016"/>
        </w:tabs>
        <w:spacing w:after="120"/>
        <w:rPr>
          <w:rFonts w:eastAsia="Times New Roman" w:cs="Arial"/>
        </w:rPr>
      </w:pPr>
      <w:r w:rsidRPr="00F62D4A">
        <w:rPr>
          <w:rFonts w:eastAsia="Times New Roman" w:cs="Arial"/>
        </w:rPr>
        <w:t>Ensuring the CCG exercises its functions effectively, efficiently and economically (in accordance with Section 14Q of the National Health Service Act 2006 (as amended)) and with a view to securing continuous improvement in the quality of services (in accordance with Section14R</w:t>
      </w:r>
      <w:r w:rsidRPr="00F62D4A">
        <w:t xml:space="preserve"> </w:t>
      </w:r>
      <w:r w:rsidRPr="00F62D4A">
        <w:rPr>
          <w:rFonts w:eastAsia="Times New Roman" w:cs="Arial"/>
        </w:rPr>
        <w:t>of the National Health Service Act 2006 (as amended)),</w:t>
      </w:r>
    </w:p>
    <w:p w14:paraId="1E4BA0F1" w14:textId="77777777" w:rsidR="00F62D4A" w:rsidRPr="00F62D4A" w:rsidRDefault="00F62D4A" w:rsidP="00F62D4A">
      <w:pPr>
        <w:pStyle w:val="ListParagraph"/>
        <w:numPr>
          <w:ilvl w:val="0"/>
          <w:numId w:val="4"/>
        </w:numPr>
        <w:tabs>
          <w:tab w:val="clear" w:pos="2835"/>
          <w:tab w:val="clear" w:pos="5670"/>
          <w:tab w:val="clear" w:pos="9016"/>
        </w:tabs>
        <w:spacing w:after="120"/>
        <w:rPr>
          <w:rFonts w:eastAsia="Times New Roman" w:cs="Arial"/>
        </w:rPr>
      </w:pPr>
      <w:r w:rsidRPr="00F62D4A">
        <w:rPr>
          <w:rFonts w:eastAsia="Times New Roman" w:cs="Arial"/>
        </w:rPr>
        <w:t>Ensuring that the CCG complies with its financial duties under Sections 223H to 223J of the National Health Service Act 2006 (as amended).</w:t>
      </w:r>
    </w:p>
    <w:p w14:paraId="5669F9DE" w14:textId="77777777" w:rsidR="00F62D4A" w:rsidRPr="00F62D4A" w:rsidRDefault="00F62D4A" w:rsidP="00F62D4A">
      <w:pPr>
        <w:spacing w:after="120"/>
        <w:rPr>
          <w:rFonts w:eastAsia="Times New Roman" w:cs="Arial"/>
        </w:rPr>
      </w:pPr>
      <w:r w:rsidRPr="00F62D4A">
        <w:rPr>
          <w:rFonts w:eastAsia="Times New Roman" w:cs="Arial"/>
        </w:rPr>
        <w:t>Under the National Health Service Act 2006 (as amended), NHS England has directed each Clinical Commissioning Group to prepare for each financial year a statement of accounts in the form and on the basis set out in the Accounts Direction. The accounts are prepared on an accruals basis and must give a true and fair view of the state of affairs of the Clinical Commissioning Group and of its income and expenditure, Statement of Financial Position and cash flows for the financial year.</w:t>
      </w:r>
    </w:p>
    <w:p w14:paraId="3AA39BF4" w14:textId="77777777" w:rsidR="00F62D4A" w:rsidRPr="00F62D4A" w:rsidRDefault="00F62D4A" w:rsidP="00F62D4A">
      <w:pPr>
        <w:spacing w:after="120"/>
        <w:rPr>
          <w:rFonts w:eastAsia="Times New Roman" w:cs="Arial"/>
        </w:rPr>
      </w:pPr>
      <w:r w:rsidRPr="00F62D4A">
        <w:rPr>
          <w:rFonts w:eastAsia="Times New Roman" w:cs="Arial"/>
        </w:rPr>
        <w:t>In preparing the accounts, the Accountable Officer is required to comply with the requirements of the Government Financial Reporting Manual and in particular to:</w:t>
      </w:r>
    </w:p>
    <w:p w14:paraId="31A2C578" w14:textId="77777777" w:rsidR="00F62D4A" w:rsidRPr="00F62D4A" w:rsidRDefault="00F62D4A" w:rsidP="00F62D4A">
      <w:pPr>
        <w:pStyle w:val="ListParagraph"/>
        <w:numPr>
          <w:ilvl w:val="0"/>
          <w:numId w:val="2"/>
        </w:numPr>
        <w:tabs>
          <w:tab w:val="clear" w:pos="2835"/>
          <w:tab w:val="clear" w:pos="5670"/>
          <w:tab w:val="clear" w:pos="9016"/>
        </w:tabs>
        <w:spacing w:after="120"/>
        <w:ind w:left="1134" w:hanging="567"/>
        <w:rPr>
          <w:rFonts w:eastAsia="SimSun" w:cs="Times New Roman"/>
        </w:rPr>
      </w:pPr>
      <w:r w:rsidRPr="00F62D4A">
        <w:rPr>
          <w:rFonts w:eastAsia="SimSun" w:cs="Times New Roman"/>
        </w:rPr>
        <w:t>Observe the Accounts Direction issued by NHS England, including the relevant accounting and disclosure requirements, and apply suitable accounting policies on a consistent basis;</w:t>
      </w:r>
    </w:p>
    <w:p w14:paraId="4C7E60AA" w14:textId="77777777" w:rsidR="00F62D4A" w:rsidRPr="00F62D4A" w:rsidRDefault="00F62D4A" w:rsidP="00F62D4A">
      <w:pPr>
        <w:pStyle w:val="ListParagraph"/>
        <w:numPr>
          <w:ilvl w:val="0"/>
          <w:numId w:val="2"/>
        </w:numPr>
        <w:tabs>
          <w:tab w:val="clear" w:pos="2835"/>
          <w:tab w:val="clear" w:pos="5670"/>
          <w:tab w:val="clear" w:pos="9016"/>
        </w:tabs>
        <w:spacing w:after="120"/>
        <w:ind w:left="1134" w:hanging="567"/>
        <w:rPr>
          <w:rFonts w:eastAsia="SimSun" w:cs="Times New Roman"/>
        </w:rPr>
      </w:pPr>
      <w:r w:rsidRPr="00F62D4A">
        <w:rPr>
          <w:rFonts w:eastAsia="SimSun" w:cs="Times New Roman"/>
        </w:rPr>
        <w:t>Make judgements and estimates on a reasonable basis;</w:t>
      </w:r>
    </w:p>
    <w:p w14:paraId="274F2BF5" w14:textId="77777777" w:rsidR="00F62D4A" w:rsidRPr="00F62D4A" w:rsidRDefault="00F62D4A" w:rsidP="00F62D4A">
      <w:pPr>
        <w:pStyle w:val="ListParagraph"/>
        <w:numPr>
          <w:ilvl w:val="0"/>
          <w:numId w:val="2"/>
        </w:numPr>
        <w:tabs>
          <w:tab w:val="clear" w:pos="2835"/>
          <w:tab w:val="clear" w:pos="5670"/>
          <w:tab w:val="clear" w:pos="9016"/>
        </w:tabs>
        <w:spacing w:after="120"/>
        <w:ind w:left="1134" w:hanging="567"/>
        <w:rPr>
          <w:rFonts w:eastAsia="SimSun" w:cs="Times New Roman"/>
        </w:rPr>
      </w:pPr>
      <w:r w:rsidRPr="00F62D4A">
        <w:rPr>
          <w:rFonts w:eastAsia="SimSun" w:cs="Times New Roman"/>
        </w:rPr>
        <w:t xml:space="preserve">State whether applicable accounting standards as set out in the </w:t>
      </w:r>
      <w:r w:rsidRPr="00F62D4A">
        <w:rPr>
          <w:rFonts w:eastAsia="Times New Roman" w:cs="Arial"/>
        </w:rPr>
        <w:t>Government Financial Reporting Manual have been followed</w:t>
      </w:r>
      <w:r w:rsidRPr="00F62D4A">
        <w:rPr>
          <w:rFonts w:eastAsia="SimSun" w:cs="Times New Roman"/>
        </w:rPr>
        <w:t>, and disclose and explain any material departures in the accounts; and,</w:t>
      </w:r>
    </w:p>
    <w:p w14:paraId="23561372" w14:textId="77777777" w:rsidR="00F62D4A" w:rsidRPr="00F62D4A" w:rsidRDefault="00F62D4A" w:rsidP="00F62D4A">
      <w:pPr>
        <w:pStyle w:val="ListParagraph"/>
        <w:numPr>
          <w:ilvl w:val="0"/>
          <w:numId w:val="2"/>
        </w:numPr>
        <w:tabs>
          <w:tab w:val="clear" w:pos="2835"/>
          <w:tab w:val="clear" w:pos="5670"/>
          <w:tab w:val="clear" w:pos="9016"/>
        </w:tabs>
        <w:spacing w:after="120"/>
        <w:ind w:left="1134" w:hanging="567"/>
        <w:rPr>
          <w:rFonts w:eastAsia="SimSun" w:cs="Times New Roman"/>
        </w:rPr>
      </w:pPr>
      <w:r w:rsidRPr="00F62D4A">
        <w:rPr>
          <w:rFonts w:eastAsia="SimSun" w:cs="Times New Roman"/>
        </w:rPr>
        <w:t>Prepare the accounts on a going concern basis; and</w:t>
      </w:r>
    </w:p>
    <w:p w14:paraId="3834D428" w14:textId="77777777" w:rsidR="00F62D4A" w:rsidRPr="00F62D4A" w:rsidRDefault="00F62D4A" w:rsidP="00F62D4A">
      <w:pPr>
        <w:pStyle w:val="ListParagraph"/>
        <w:numPr>
          <w:ilvl w:val="0"/>
          <w:numId w:val="2"/>
        </w:numPr>
        <w:tabs>
          <w:tab w:val="clear" w:pos="2835"/>
          <w:tab w:val="clear" w:pos="5670"/>
          <w:tab w:val="clear" w:pos="9016"/>
        </w:tabs>
        <w:spacing w:after="120"/>
        <w:ind w:left="1134" w:hanging="567"/>
        <w:rPr>
          <w:rFonts w:eastAsia="SimSun" w:cs="Times New Roman"/>
        </w:rPr>
      </w:pPr>
      <w:r w:rsidRPr="00F62D4A">
        <w:rPr>
          <w:rFonts w:eastAsia="SimSun" w:cs="Times New Roman"/>
        </w:rPr>
        <w:t>Confirm that the Annual Report and Accounts as a whole is fair, balanced and understandable and take personal responsibility for the Annual Report and Accounts and the judgements required for determining that it is fair, balanced and understandable.</w:t>
      </w:r>
    </w:p>
    <w:p w14:paraId="5DBBD0E8" w14:textId="0D308FFB" w:rsidR="00F62D4A" w:rsidRPr="00F62D4A" w:rsidRDefault="00F62D4A" w:rsidP="00F62D4A">
      <w:pPr>
        <w:autoSpaceDE w:val="0"/>
        <w:autoSpaceDN w:val="0"/>
        <w:adjustRightInd w:val="0"/>
        <w:spacing w:after="120"/>
        <w:rPr>
          <w:rFonts w:cs="Arial"/>
        </w:rPr>
      </w:pPr>
      <w:r w:rsidRPr="00F62D4A">
        <w:rPr>
          <w:rFonts w:cs="Arial"/>
        </w:rPr>
        <w:br/>
        <w:t xml:space="preserve">As the Accountable Officer, I have taken all the steps that I ought to have taken to make myself aware of any relevant audit information and to establish that </w:t>
      </w:r>
      <w:r>
        <w:rPr>
          <w:rFonts w:cs="Arial"/>
        </w:rPr>
        <w:t>NHS Hull CCG’s</w:t>
      </w:r>
      <w:r w:rsidRPr="00F62D4A">
        <w:rPr>
          <w:rFonts w:cs="Arial"/>
        </w:rPr>
        <w:t xml:space="preserve"> auditors are aware of that information. So far as I am aware, there is no relevant audit information of which the auditors are unaware.</w:t>
      </w:r>
    </w:p>
    <w:p w14:paraId="48CE0B6F" w14:textId="77777777" w:rsidR="009868D1" w:rsidRPr="0073306A" w:rsidRDefault="009868D1" w:rsidP="009868D1">
      <w:pPr>
        <w:keepNext/>
        <w:keepLines/>
        <w:spacing w:before="200"/>
        <w:outlineLvl w:val="1"/>
        <w:rPr>
          <w:rFonts w:eastAsia="Arial" w:cstheme="majorBidi"/>
          <w:b/>
          <w:bCs/>
          <w:color w:val="4F81BD" w:themeColor="accent1"/>
          <w:sz w:val="28"/>
          <w:szCs w:val="28"/>
        </w:rPr>
      </w:pPr>
      <w:bookmarkStart w:id="109" w:name="_Toc512957164"/>
      <w:bookmarkStart w:id="110" w:name="_Toc103695051"/>
      <w:bookmarkEnd w:id="106"/>
      <w:r w:rsidRPr="0073306A">
        <w:rPr>
          <w:rFonts w:eastAsia="Arial" w:cstheme="majorBidi"/>
          <w:b/>
          <w:bCs/>
          <w:color w:val="4F81BD" w:themeColor="accent1"/>
          <w:sz w:val="28"/>
          <w:szCs w:val="28"/>
        </w:rPr>
        <w:lastRenderedPageBreak/>
        <w:t>Governance Statement</w:t>
      </w:r>
      <w:bookmarkEnd w:id="109"/>
      <w:bookmarkEnd w:id="110"/>
      <w:r w:rsidRPr="0073306A">
        <w:rPr>
          <w:rFonts w:eastAsia="Arial" w:cstheme="majorBidi"/>
          <w:b/>
          <w:bCs/>
          <w:color w:val="4F81BD" w:themeColor="accent1"/>
          <w:sz w:val="28"/>
          <w:szCs w:val="28"/>
        </w:rPr>
        <w:t xml:space="preserve"> </w:t>
      </w:r>
    </w:p>
    <w:p w14:paraId="23998308" w14:textId="77777777" w:rsidR="009868D1" w:rsidRPr="00A3700D" w:rsidRDefault="009868D1" w:rsidP="009868D1">
      <w:pPr>
        <w:keepNext/>
        <w:keepLines/>
        <w:outlineLvl w:val="3"/>
        <w:rPr>
          <w:rFonts w:eastAsiaTheme="majorEastAsia" w:cs="Arial"/>
          <w:b/>
          <w:bCs/>
          <w:iCs/>
        </w:rPr>
      </w:pPr>
      <w:bookmarkStart w:id="111" w:name="_Toc437807149"/>
      <w:bookmarkStart w:id="112" w:name="_Toc442862147"/>
      <w:bookmarkStart w:id="113" w:name="_Toc450193735"/>
      <w:bookmarkStart w:id="114" w:name="_Toc453089793"/>
      <w:bookmarkStart w:id="115" w:name="_Toc453595547"/>
      <w:bookmarkStart w:id="116" w:name="_Toc454180210"/>
      <w:bookmarkStart w:id="117" w:name="HOIA"/>
      <w:r w:rsidRPr="00A3700D">
        <w:rPr>
          <w:rFonts w:eastAsiaTheme="majorEastAsia" w:cs="Arial"/>
          <w:b/>
          <w:bCs/>
          <w:iCs/>
        </w:rPr>
        <w:t>Introduction and context</w:t>
      </w:r>
      <w:bookmarkEnd w:id="111"/>
    </w:p>
    <w:p w14:paraId="53449E59" w14:textId="77777777" w:rsidR="009868D1" w:rsidRPr="00A3700D" w:rsidRDefault="009868D1" w:rsidP="009868D1">
      <w:pPr>
        <w:rPr>
          <w:rFonts w:eastAsia="Times New Roman" w:cs="Arial"/>
        </w:rPr>
      </w:pPr>
      <w:r w:rsidRPr="00A3700D">
        <w:rPr>
          <w:rFonts w:eastAsia="Times New Roman" w:cs="Arial"/>
        </w:rPr>
        <w:t>NHS Hull Clinical Commissioning Group (CCG) is a body corporate established by NHS England on 1 April 2013 under the National Health Service Act 2006 (as amended).</w:t>
      </w:r>
    </w:p>
    <w:p w14:paraId="465058B6" w14:textId="02F829AB" w:rsidR="009868D1" w:rsidRPr="00A3700D" w:rsidRDefault="009868D1" w:rsidP="009868D1">
      <w:pPr>
        <w:rPr>
          <w:rFonts w:eastAsia="Times New Roman" w:cs="Arial"/>
        </w:rPr>
      </w:pPr>
      <w:r w:rsidRPr="00A3700D">
        <w:rPr>
          <w:rFonts w:eastAsia="Times New Roman" w:cs="Arial"/>
        </w:rPr>
        <w:t xml:space="preserve">The CCG’s statutory functions are set out under the National Health Service Act 2006 (as amended).  The CCG’s general function is arranging the provision of services for persons for the purposes of the health service in England.  The CCG is, in particular, required to arrange for the provision of certain health services to such extent as it considers necessary to meet the reasonable requirements of its local population.  </w:t>
      </w:r>
    </w:p>
    <w:p w14:paraId="1B634411" w14:textId="2F6F9734" w:rsidR="009868D1" w:rsidRPr="009868D1" w:rsidRDefault="009868D1" w:rsidP="009868D1">
      <w:pPr>
        <w:rPr>
          <w:rFonts w:eastAsia="Times New Roman" w:cs="Arial"/>
          <w:b/>
        </w:rPr>
      </w:pPr>
      <w:r w:rsidRPr="00A3700D">
        <w:rPr>
          <w:rFonts w:eastAsia="Times New Roman" w:cs="Arial"/>
          <w:b/>
        </w:rPr>
        <w:t xml:space="preserve">As </w:t>
      </w:r>
      <w:r w:rsidRPr="00D00D65">
        <w:rPr>
          <w:rFonts w:eastAsia="Times New Roman" w:cs="Arial"/>
          <w:b/>
          <w:shd w:val="clear" w:color="auto" w:fill="FFFFFF" w:themeFill="background1"/>
        </w:rPr>
        <w:t>at 1 April 202</w:t>
      </w:r>
      <w:r w:rsidR="005C3887">
        <w:rPr>
          <w:rFonts w:eastAsia="Times New Roman" w:cs="Arial"/>
          <w:b/>
          <w:shd w:val="clear" w:color="auto" w:fill="FFFFFF" w:themeFill="background1"/>
        </w:rPr>
        <w:t>1</w:t>
      </w:r>
      <w:r w:rsidRPr="00D00D65">
        <w:rPr>
          <w:rFonts w:eastAsia="Times New Roman" w:cs="Arial"/>
          <w:b/>
          <w:shd w:val="clear" w:color="auto" w:fill="FFFFFF" w:themeFill="background1"/>
        </w:rPr>
        <w:t>, the</w:t>
      </w:r>
      <w:r w:rsidRPr="00A3700D">
        <w:rPr>
          <w:rFonts w:eastAsia="Times New Roman" w:cs="Arial"/>
          <w:b/>
        </w:rPr>
        <w:t xml:space="preserve"> CCG is not subject to any directions from NHS England issued under Section 14Z21 of the National Health Service Act 2006. </w:t>
      </w:r>
      <w:bookmarkStart w:id="118" w:name="_Toc437807150"/>
    </w:p>
    <w:p w14:paraId="4A36FF91" w14:textId="77777777" w:rsidR="009868D1" w:rsidRPr="0073306A" w:rsidRDefault="009868D1" w:rsidP="009868D1">
      <w:pPr>
        <w:tabs>
          <w:tab w:val="left" w:pos="0"/>
        </w:tabs>
        <w:ind w:left="567" w:hanging="567"/>
        <w:rPr>
          <w:rFonts w:eastAsia="SimSun" w:cs="Arial"/>
          <w:b/>
          <w:i/>
        </w:rPr>
      </w:pPr>
      <w:r w:rsidRPr="0073306A">
        <w:rPr>
          <w:rFonts w:eastAsia="SimSun" w:cs="Arial"/>
          <w:b/>
        </w:rPr>
        <w:t>Scope of responsibility</w:t>
      </w:r>
      <w:bookmarkEnd w:id="118"/>
    </w:p>
    <w:p w14:paraId="3730EA9C" w14:textId="48CA2AEA" w:rsidR="009868D1" w:rsidRPr="0073306A" w:rsidRDefault="009868D1" w:rsidP="009868D1">
      <w:pPr>
        <w:rPr>
          <w:rFonts w:eastAsia="Times New Roman" w:cs="Arial"/>
        </w:rPr>
      </w:pPr>
      <w:r w:rsidRPr="0073306A">
        <w:rPr>
          <w:rFonts w:eastAsia="Times New Roman" w:cs="Arial"/>
        </w:rPr>
        <w:t xml:space="preserve">As Accountable Officer, I have responsibility for maintaining a sound system of internal control that supports the achievement of the </w:t>
      </w:r>
      <w:r>
        <w:rPr>
          <w:rFonts w:eastAsia="Times New Roman" w:cs="Arial"/>
        </w:rPr>
        <w:t>CCG</w:t>
      </w:r>
      <w:r w:rsidRPr="0073306A">
        <w:rPr>
          <w:rFonts w:eastAsia="Times New Roman" w:cs="Arial"/>
        </w:rPr>
        <w:t xml:space="preserve">’s policies, aims and objectives, whilst safeguarding the public funds and assets for which I am personally responsible, in accordance with the responsibilities assigned to me in Managing Public Money. I also acknowledge my responsibilities as set out under the National Health Service Act 2006 (as amended) and in my </w:t>
      </w:r>
      <w:r>
        <w:rPr>
          <w:rFonts w:eastAsia="Times New Roman" w:cs="Arial"/>
        </w:rPr>
        <w:t>CCG</w:t>
      </w:r>
      <w:r w:rsidRPr="0073306A">
        <w:rPr>
          <w:rFonts w:eastAsia="Times New Roman" w:cs="Arial"/>
        </w:rPr>
        <w:t xml:space="preserve"> Accountable Officer Appointment Letter.</w:t>
      </w:r>
    </w:p>
    <w:p w14:paraId="617F2EB5" w14:textId="0EDD299E" w:rsidR="009868D1" w:rsidRPr="0073306A" w:rsidRDefault="009868D1" w:rsidP="009868D1">
      <w:pPr>
        <w:rPr>
          <w:rFonts w:eastAsia="Times New Roman" w:cs="Arial"/>
        </w:rPr>
      </w:pPr>
      <w:r w:rsidRPr="0073306A">
        <w:rPr>
          <w:rFonts w:eastAsia="Times New Roman" w:cs="Arial"/>
        </w:rPr>
        <w:t xml:space="preserve">I am responsible for ensuring that the </w:t>
      </w:r>
      <w:r>
        <w:rPr>
          <w:rFonts w:eastAsia="Times New Roman" w:cs="Arial"/>
        </w:rPr>
        <w:t>CCG</w:t>
      </w:r>
      <w:r w:rsidRPr="0073306A">
        <w:rPr>
          <w:rFonts w:eastAsia="Times New Roman" w:cs="Arial"/>
        </w:rPr>
        <w:t xml:space="preserve"> is administered prudently and economically and that resources are applied efficiently and effectively, safeguarding financial propriety and regularity. I also have responsibility for reviewing the effectiveness of the system of internal control within the </w:t>
      </w:r>
      <w:r>
        <w:rPr>
          <w:rFonts w:eastAsia="Times New Roman" w:cs="Arial"/>
        </w:rPr>
        <w:t>CCG</w:t>
      </w:r>
      <w:r w:rsidRPr="0073306A">
        <w:rPr>
          <w:rFonts w:eastAsia="Times New Roman" w:cs="Arial"/>
        </w:rPr>
        <w:t xml:space="preserve"> as set out in this governance statement.</w:t>
      </w:r>
    </w:p>
    <w:p w14:paraId="672FB8BB" w14:textId="77777777" w:rsidR="009868D1" w:rsidRPr="00A3700D" w:rsidRDefault="009868D1" w:rsidP="009868D1">
      <w:pPr>
        <w:keepNext/>
        <w:keepLines/>
        <w:outlineLvl w:val="3"/>
        <w:rPr>
          <w:rFonts w:eastAsiaTheme="majorEastAsia" w:cs="Arial"/>
          <w:b/>
          <w:bCs/>
          <w:iCs/>
        </w:rPr>
      </w:pPr>
      <w:r w:rsidRPr="00A3700D">
        <w:rPr>
          <w:rFonts w:eastAsiaTheme="majorEastAsia" w:cs="Arial"/>
          <w:b/>
          <w:bCs/>
          <w:iCs/>
        </w:rPr>
        <w:t>Governance arrangements and effectiveness</w:t>
      </w:r>
    </w:p>
    <w:p w14:paraId="16DF19E2" w14:textId="55925C0D" w:rsidR="009868D1" w:rsidRPr="00A3700D" w:rsidRDefault="009868D1" w:rsidP="009868D1">
      <w:pPr>
        <w:keepNext/>
        <w:keepLines/>
        <w:outlineLvl w:val="3"/>
        <w:rPr>
          <w:rFonts w:eastAsia="Times New Roman" w:cs="Arial"/>
        </w:rPr>
      </w:pPr>
      <w:r w:rsidRPr="00A3700D">
        <w:rPr>
          <w:rFonts w:eastAsia="Times New Roman" w:cs="Arial"/>
        </w:rPr>
        <w:t>The main function of the Governing Body (known as the CCG Board) is to ensure that the Group has made appropriate arrangements for ensuring that it exercises its functions effectively, efficiently and economically and complies with such generally accepted principles of good governance as are relevant to it.</w:t>
      </w:r>
    </w:p>
    <w:p w14:paraId="358F74CF" w14:textId="6AE24DC4" w:rsidR="009868D1" w:rsidRPr="00A3700D" w:rsidRDefault="009868D1" w:rsidP="009868D1">
      <w:pPr>
        <w:rPr>
          <w:rFonts w:eastAsia="Times New Roman" w:cs="Arial"/>
        </w:rPr>
      </w:pPr>
      <w:r w:rsidRPr="00A3700D">
        <w:rPr>
          <w:rFonts w:eastAsia="Times New Roman" w:cs="Arial"/>
        </w:rPr>
        <w:t>The CCG maintains a constitution and associated standing orders, prime financial policies and scheme of delegation, all of which have been approved by the CCG’s membership and certified as compliant with the requirements of NHS England.</w:t>
      </w:r>
    </w:p>
    <w:p w14:paraId="000240F0" w14:textId="06CE3964" w:rsidR="009868D1" w:rsidRPr="00A3700D" w:rsidRDefault="009868D1" w:rsidP="009868D1">
      <w:pPr>
        <w:rPr>
          <w:rFonts w:eastAsia="Times New Roman" w:cs="Arial"/>
        </w:rPr>
      </w:pPr>
      <w:r w:rsidRPr="00A3700D">
        <w:rPr>
          <w:rFonts w:eastAsia="Times New Roman" w:cs="Arial"/>
        </w:rPr>
        <w:t xml:space="preserve">Taken together these documents enable the maintenance of a robust system of internal control. The CCG remains accountable for all of its functions, including any which it has delegated. </w:t>
      </w:r>
    </w:p>
    <w:p w14:paraId="1F4DF65B" w14:textId="307C5512" w:rsidR="009868D1" w:rsidRPr="00A3700D" w:rsidRDefault="009868D1" w:rsidP="009868D1">
      <w:pPr>
        <w:rPr>
          <w:rFonts w:eastAsia="Times New Roman" w:cs="Arial"/>
        </w:rPr>
      </w:pPr>
      <w:r w:rsidRPr="00A3700D">
        <w:rPr>
          <w:rFonts w:eastAsia="Times New Roman" w:cs="Arial"/>
        </w:rPr>
        <w:t>The scheme of delegation defines those decisions that are reserved to the Council of Members and those that are the responsibility of its Governing Body (and its committees), CCG Committees, individual officers and other employees.</w:t>
      </w:r>
    </w:p>
    <w:p w14:paraId="0CF0D1C3" w14:textId="77777777" w:rsidR="009868D1" w:rsidRPr="00A3700D" w:rsidRDefault="009868D1" w:rsidP="009868D1">
      <w:pPr>
        <w:rPr>
          <w:rFonts w:eastAsia="Times New Roman" w:cs="Arial"/>
        </w:rPr>
      </w:pPr>
      <w:r w:rsidRPr="00A3700D">
        <w:rPr>
          <w:rFonts w:eastAsia="Times New Roman" w:cs="Arial"/>
        </w:rPr>
        <w:t>The Council of Members comprises representatives of the 32 member practices and has overall authority on the CCG’s business. It receives performance updates at each of its meetings as to the progress of the CCG against its strategic objectives.</w:t>
      </w:r>
    </w:p>
    <w:p w14:paraId="1297C2CD" w14:textId="2CD85FAB" w:rsidR="009868D1" w:rsidRPr="00A3700D" w:rsidRDefault="009868D1" w:rsidP="009868D1">
      <w:pPr>
        <w:rPr>
          <w:rFonts w:eastAsia="Times New Roman" w:cs="Arial"/>
        </w:rPr>
      </w:pPr>
      <w:r w:rsidRPr="00A3700D">
        <w:rPr>
          <w:rFonts w:eastAsia="Times New Roman" w:cs="Arial"/>
        </w:rPr>
        <w:t xml:space="preserve">The Governing Body has responsibility for leading the development of the CCG’s vision and strategy, as well as providing assurance to the Council of Members with regards to the </w:t>
      </w:r>
      <w:r w:rsidRPr="00A3700D">
        <w:rPr>
          <w:rFonts w:eastAsia="Times New Roman" w:cs="Arial"/>
        </w:rPr>
        <w:lastRenderedPageBreak/>
        <w:t>achievement of the CCG’s objectives. It has established six committees to assist it in the delivery of the statutory functions and key strategic objectives of the CCG. It receives regular opinion reports from each of its committees, as well as their minutes. These, together with a wide range of other updates, enable the Governing Body to assess performance against these objectives and direct further action where necessary.</w:t>
      </w:r>
    </w:p>
    <w:p w14:paraId="5022EB74" w14:textId="03DAEB95" w:rsidR="009868D1" w:rsidRDefault="009868D1" w:rsidP="009868D1">
      <w:pPr>
        <w:rPr>
          <w:rFonts w:eastAsia="Times New Roman" w:cs="Arial"/>
        </w:rPr>
      </w:pPr>
      <w:r w:rsidRPr="00A3700D">
        <w:rPr>
          <w:rFonts w:eastAsia="Times New Roman" w:cs="Arial"/>
        </w:rPr>
        <w:t xml:space="preserve">The Integrated Audit and Governance Committee provides the Governing Body with an evaluation of the sources of assurance available to the CCG. Significant matters are escalated through the risk and control framework and reviewed by the committee. The Governing Body is represented on all the committees so as to ensure that it remains sighted on all key risks and activities across the CCG. </w:t>
      </w:r>
    </w:p>
    <w:p w14:paraId="7ACDB5DC" w14:textId="008C590C" w:rsidR="009868D1" w:rsidRDefault="009868D1" w:rsidP="009868D1">
      <w:pPr>
        <w:rPr>
          <w:rFonts w:eastAsia="Times New Roman" w:cs="Arial"/>
        </w:rPr>
      </w:pPr>
      <w:r w:rsidRPr="00A3700D">
        <w:rPr>
          <w:rFonts w:eastAsia="Times New Roman" w:cs="Arial"/>
        </w:rPr>
        <w:t>An Operational Delivery Group has been maintained by the CCG throughout the year to agree priorities and monitor progress against a programme of work to deliver the CCG’s commissioning strategy and operational plan.</w:t>
      </w:r>
    </w:p>
    <w:p w14:paraId="21E6FBE4" w14:textId="2340D164" w:rsidR="009868D1" w:rsidRDefault="009868D1" w:rsidP="009868D1">
      <w:pPr>
        <w:rPr>
          <w:rFonts w:eastAsia="Times New Roman" w:cs="Arial"/>
        </w:rPr>
      </w:pPr>
      <w:r w:rsidRPr="00A3700D">
        <w:rPr>
          <w:rFonts w:eastAsia="Times New Roman" w:cs="Arial"/>
        </w:rPr>
        <w:t xml:space="preserve">The CCG adopted virtual meeting arrangements for all of its formal meetings as part of its </w:t>
      </w:r>
      <w:r>
        <w:rPr>
          <w:rFonts w:eastAsia="Times New Roman" w:cs="Arial"/>
        </w:rPr>
        <w:t xml:space="preserve">ongoing </w:t>
      </w:r>
      <w:r w:rsidRPr="00A3700D">
        <w:rPr>
          <w:rFonts w:eastAsia="Times New Roman" w:cs="Arial"/>
        </w:rPr>
        <w:t xml:space="preserve">business continuity response to COVID-19 major incident.These alternative operatuional arrangements maintained the resilience of these essential functions, with the significant majority of meetings remaining quorate. </w:t>
      </w:r>
    </w:p>
    <w:p w14:paraId="5BD9CE34" w14:textId="2DCF715A" w:rsidR="009868D1" w:rsidRDefault="009868D1" w:rsidP="009868D1">
      <w:pPr>
        <w:rPr>
          <w:rFonts w:eastAsia="Times New Roman" w:cs="Arial"/>
        </w:rPr>
      </w:pPr>
      <w:r w:rsidRPr="00A3700D">
        <w:rPr>
          <w:rFonts w:eastAsia="Times New Roman" w:cs="Arial"/>
        </w:rPr>
        <w:t>The CCG governance framework for 2021-22 is summarised in the diagram below:</w:t>
      </w:r>
    </w:p>
    <w:p w14:paraId="0A3C5B72" w14:textId="77777777" w:rsidR="00D22211" w:rsidRPr="003D48F9" w:rsidRDefault="00D22211" w:rsidP="009868D1">
      <w:pPr>
        <w:rPr>
          <w:rFonts w:eastAsia="Times New Roman" w:cs="Arial"/>
        </w:rPr>
      </w:pPr>
    </w:p>
    <w:p w14:paraId="4DC8884B" w14:textId="77777777" w:rsidR="009868D1" w:rsidRDefault="009868D1" w:rsidP="009868D1">
      <w:pPr>
        <w:spacing w:after="120"/>
        <w:rPr>
          <w:rFonts w:eastAsia="Times New Roman" w:cs="Arial"/>
          <w:b/>
        </w:rPr>
      </w:pPr>
      <w:r>
        <w:drawing>
          <wp:inline distT="0" distB="0" distL="0" distR="0" wp14:anchorId="3B10B6F6" wp14:editId="3754084E">
            <wp:extent cx="6406040" cy="4436534"/>
            <wp:effectExtent l="0" t="0" r="0" b="2540"/>
            <wp:docPr id="9" name="Picture 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alendar&#10;&#10;Description automatically generated"/>
                    <pic:cNvPicPr/>
                  </pic:nvPicPr>
                  <pic:blipFill>
                    <a:blip r:embed="rId49"/>
                    <a:stretch>
                      <a:fillRect/>
                    </a:stretch>
                  </pic:blipFill>
                  <pic:spPr>
                    <a:xfrm>
                      <a:off x="0" y="0"/>
                      <a:ext cx="6426241" cy="4450524"/>
                    </a:xfrm>
                    <a:prstGeom prst="rect">
                      <a:avLst/>
                    </a:prstGeom>
                  </pic:spPr>
                </pic:pic>
              </a:graphicData>
            </a:graphic>
          </wp:inline>
        </w:drawing>
      </w:r>
    </w:p>
    <w:p w14:paraId="09E0AB6F" w14:textId="77777777" w:rsidR="009868D1" w:rsidRDefault="009868D1" w:rsidP="009868D1">
      <w:pPr>
        <w:spacing w:after="120"/>
        <w:rPr>
          <w:rFonts w:eastAsia="Times New Roman" w:cs="Arial"/>
          <w:b/>
        </w:rPr>
      </w:pPr>
    </w:p>
    <w:p w14:paraId="1B30F143" w14:textId="77777777" w:rsidR="009868D1" w:rsidRDefault="009868D1" w:rsidP="009868D1">
      <w:pPr>
        <w:spacing w:after="120"/>
        <w:rPr>
          <w:rFonts w:eastAsia="Times New Roman" w:cs="Arial"/>
          <w:b/>
        </w:rPr>
      </w:pPr>
    </w:p>
    <w:p w14:paraId="21217233" w14:textId="78A98A70" w:rsidR="009868D1" w:rsidRPr="00FC03DC" w:rsidRDefault="009868D1" w:rsidP="009868D1">
      <w:pPr>
        <w:spacing w:after="120"/>
        <w:rPr>
          <w:rFonts w:eastAsia="Times New Roman" w:cs="Arial"/>
        </w:rPr>
      </w:pPr>
      <w:r w:rsidRPr="00FC03DC">
        <w:rPr>
          <w:rFonts w:eastAsia="Times New Roman" w:cs="Arial"/>
          <w:b/>
        </w:rPr>
        <w:lastRenderedPageBreak/>
        <w:t>Membership and Activity Summary for Council of Members, Governing Body and their Committees</w:t>
      </w:r>
    </w:p>
    <w:p w14:paraId="1B26D6E9" w14:textId="77777777" w:rsidR="009868D1" w:rsidRPr="00FC03DC" w:rsidRDefault="009868D1" w:rsidP="009868D1">
      <w:pPr>
        <w:rPr>
          <w:rFonts w:eastAsia="Times New Roman" w:cs="Arial"/>
          <w:b/>
          <w:bCs/>
        </w:rPr>
      </w:pPr>
      <w:r w:rsidRPr="00FC03DC">
        <w:rPr>
          <w:rFonts w:eastAsia="Times New Roman" w:cs="Arial"/>
          <w:b/>
          <w:bCs/>
        </w:rPr>
        <w:t>Council of Members</w:t>
      </w:r>
    </w:p>
    <w:p w14:paraId="36FA0428" w14:textId="0B1D669B" w:rsidR="009868D1" w:rsidRPr="00FC03DC" w:rsidRDefault="009868D1" w:rsidP="009868D1">
      <w:pPr>
        <w:rPr>
          <w:rFonts w:cs="Arial"/>
        </w:rPr>
      </w:pPr>
      <w:r w:rsidRPr="00FC03DC">
        <w:rPr>
          <w:rFonts w:cs="Arial"/>
        </w:rPr>
        <w:t>The Council of Members has final authority for all Clinical Commissioning Group (CCG) business and established the vision, values and overall strategic direction for the organisation. It has reserved powers with respect to authorisation of the CCG constitution, commissioning strategy and election / ratification of key appointments to the CCG Governing Body.</w:t>
      </w:r>
    </w:p>
    <w:p w14:paraId="74F1D076" w14:textId="74688956" w:rsidR="009868D1" w:rsidRPr="00A73A9E" w:rsidRDefault="009868D1" w:rsidP="00A73A9E">
      <w:pPr>
        <w:rPr>
          <w:rFonts w:eastAsia="Times New Roman" w:cs="Arial"/>
        </w:rPr>
      </w:pPr>
      <w:r w:rsidRPr="00FC03DC">
        <w:rPr>
          <w:rFonts w:cs="Arial"/>
        </w:rPr>
        <w:t>During 2021-22, the Council met on six occasions. It ratified Interim Governing Body Arrangements and approved an annual work plan. It discussed and considered a wide range of agenda items and governance arrangements related to the establishment of the Integrated Care System (ICS) / Place and Humber Coast and Vale (HCV) and the CCG transition.</w:t>
      </w:r>
      <w:r w:rsidR="00A73A9E" w:rsidRPr="00A73A9E">
        <w:rPr>
          <w:rFonts w:eastAsia="Times New Roman" w:cs="Arial"/>
        </w:rPr>
        <w:t xml:space="preserve"> </w:t>
      </w:r>
      <w:r w:rsidR="00A73A9E" w:rsidRPr="00FC03DC">
        <w:rPr>
          <w:rFonts w:eastAsia="Times New Roman" w:cs="Arial"/>
        </w:rPr>
        <w:t xml:space="preserve">Attendance at the Council of Members during the year was as </w:t>
      </w:r>
      <w:r w:rsidR="00A73A9E" w:rsidRPr="00A73A9E">
        <w:rPr>
          <w:rFonts w:eastAsia="Times New Roman" w:cs="Arial"/>
        </w:rPr>
        <w:t>follows:</w:t>
      </w:r>
      <w:r w:rsidR="00A73A9E" w:rsidRPr="00FC03DC">
        <w:rPr>
          <w:rFonts w:eastAsia="Times New Roman" w:cs="Arial"/>
        </w:rPr>
        <w:t xml:space="preserve"> </w:t>
      </w:r>
    </w:p>
    <w:p w14:paraId="7489A2CD" w14:textId="5F37864F" w:rsidR="00A73A9E" w:rsidRPr="00FC03DC" w:rsidRDefault="00A73A9E" w:rsidP="009868D1">
      <w:pPr>
        <w:autoSpaceDE w:val="0"/>
        <w:autoSpaceDN w:val="0"/>
        <w:rPr>
          <w:rFonts w:cs="Arial"/>
        </w:rPr>
      </w:pPr>
      <w:r w:rsidRPr="0010768B">
        <w:drawing>
          <wp:inline distT="0" distB="0" distL="0" distR="0" wp14:anchorId="70287E01" wp14:editId="5C76EF7D">
            <wp:extent cx="5731510" cy="612394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31510" cy="6123940"/>
                    </a:xfrm>
                    <a:prstGeom prst="rect">
                      <a:avLst/>
                    </a:prstGeom>
                    <a:noFill/>
                    <a:ln>
                      <a:noFill/>
                    </a:ln>
                  </pic:spPr>
                </pic:pic>
              </a:graphicData>
            </a:graphic>
          </wp:inline>
        </w:drawing>
      </w:r>
    </w:p>
    <w:p w14:paraId="29FBF9D7" w14:textId="77777777" w:rsidR="00C50A0C" w:rsidRDefault="009868D1" w:rsidP="009868D1">
      <w:pPr>
        <w:autoSpaceDE w:val="0"/>
        <w:autoSpaceDN w:val="0"/>
        <w:rPr>
          <w:rFonts w:cs="Arial"/>
        </w:rPr>
      </w:pPr>
      <w:r w:rsidRPr="00FC03DC">
        <w:rPr>
          <w:rFonts w:cs="Arial"/>
        </w:rPr>
        <w:t xml:space="preserve">It considered a wide range of agenda items pertaining to its responsibilities including papers relating to strategic service level commissioning intentions as well as quality, performance and </w:t>
      </w:r>
      <w:r w:rsidRPr="00FC03DC">
        <w:rPr>
          <w:rFonts w:cs="Arial"/>
        </w:rPr>
        <w:lastRenderedPageBreak/>
        <w:t xml:space="preserve">finance. In addition, it discussed Primary Care Collaboratives / the Clinical Leadership Model / Operational Plan and Primary Secondary Care Interface. It also engaged in the development of local strategies such as the </w:t>
      </w:r>
      <w:r>
        <w:rPr>
          <w:rFonts w:cs="Arial"/>
        </w:rPr>
        <w:t>Hull Childrens Partnership</w:t>
      </w:r>
      <w:r w:rsidRPr="00FC03DC">
        <w:rPr>
          <w:rFonts w:cs="Arial"/>
        </w:rPr>
        <w:t xml:space="preserve"> and Health and Wellbeing Strategy.</w:t>
      </w:r>
      <w:r>
        <w:rPr>
          <w:rFonts w:cs="Arial"/>
        </w:rPr>
        <w:t xml:space="preserve"> </w:t>
      </w:r>
    </w:p>
    <w:p w14:paraId="4FBDFCD3" w14:textId="6E1507D1" w:rsidR="009868D1" w:rsidRPr="00A73A9E" w:rsidRDefault="009868D1" w:rsidP="00A73A9E">
      <w:pPr>
        <w:autoSpaceDE w:val="0"/>
        <w:autoSpaceDN w:val="0"/>
        <w:rPr>
          <w:rFonts w:cs="Arial"/>
        </w:rPr>
      </w:pPr>
      <w:r w:rsidRPr="00FC03DC">
        <w:rPr>
          <w:rFonts w:cs="Arial"/>
        </w:rPr>
        <w:t xml:space="preserve">It </w:t>
      </w:r>
      <w:r>
        <w:rPr>
          <w:rFonts w:cs="Arial"/>
        </w:rPr>
        <w:t xml:space="preserve">also </w:t>
      </w:r>
      <w:r w:rsidRPr="00FC03DC">
        <w:rPr>
          <w:rFonts w:cs="Arial"/>
        </w:rPr>
        <w:t>maintained oversight of the response to the COVID pandemic.</w:t>
      </w:r>
    </w:p>
    <w:p w14:paraId="46991221" w14:textId="77777777" w:rsidR="009868D1" w:rsidRPr="00035E01" w:rsidRDefault="009868D1" w:rsidP="009868D1">
      <w:pPr>
        <w:rPr>
          <w:rFonts w:eastAsia="Times New Roman" w:cs="Arial"/>
        </w:rPr>
      </w:pPr>
      <w:r w:rsidRPr="00035E01">
        <w:rPr>
          <w:rFonts w:eastAsia="Times New Roman" w:cs="Arial"/>
          <w:b/>
        </w:rPr>
        <w:t>Governing Body</w:t>
      </w:r>
    </w:p>
    <w:p w14:paraId="79594FE8" w14:textId="77777777" w:rsidR="009868D1" w:rsidRPr="00035E01" w:rsidRDefault="009868D1" w:rsidP="00A73A9E">
      <w:pPr>
        <w:spacing w:after="0"/>
        <w:rPr>
          <w:rFonts w:eastAsia="Times New Roman" w:cs="Arial"/>
        </w:rPr>
      </w:pPr>
      <w:r w:rsidRPr="00035E01">
        <w:rPr>
          <w:rFonts w:eastAsia="Times New Roman" w:cs="Arial"/>
        </w:rPr>
        <w:t>The Governing Body has its functions conferred on it by sections 14L(2) and (3) of the 2006 Health and Social Care Act, inserted by section 25 of the 2012 Health and Social Care Act. In particular, it has responsibility for:</w:t>
      </w:r>
    </w:p>
    <w:p w14:paraId="725B61E7" w14:textId="77777777" w:rsidR="009868D1" w:rsidRPr="00035E01" w:rsidRDefault="009868D1" w:rsidP="0062761B">
      <w:pPr>
        <w:numPr>
          <w:ilvl w:val="0"/>
          <w:numId w:val="41"/>
        </w:numPr>
        <w:spacing w:before="0" w:after="0"/>
        <w:rPr>
          <w:rFonts w:eastAsia="Times New Roman" w:cs="Arial"/>
        </w:rPr>
      </w:pPr>
      <w:r w:rsidRPr="00035E01">
        <w:rPr>
          <w:rFonts w:eastAsia="Times New Roman" w:cs="Arial"/>
        </w:rPr>
        <w:t>ensuring that the CCG has appropriate arrangements in place to exercise its functions effectively, efficiently and economically and in accordance with the principles of good governance (its main function);</w:t>
      </w:r>
    </w:p>
    <w:p w14:paraId="36C7C70A" w14:textId="77777777" w:rsidR="009868D1" w:rsidRPr="00035E01" w:rsidRDefault="009868D1" w:rsidP="0062761B">
      <w:pPr>
        <w:numPr>
          <w:ilvl w:val="0"/>
          <w:numId w:val="41"/>
        </w:numPr>
        <w:spacing w:before="0" w:after="0"/>
        <w:rPr>
          <w:rFonts w:eastAsia="Times New Roman" w:cs="Arial"/>
        </w:rPr>
      </w:pPr>
      <w:r w:rsidRPr="00035E01">
        <w:rPr>
          <w:rFonts w:eastAsia="Times New Roman" w:cs="Arial"/>
        </w:rPr>
        <w:t>determining the remuneration, fees and other allowances payable to employees or other persons providing services to the CCG and the allowances payable under any pension scheme it may establish under paragraph 11(4) of Schedule 1A of the 2006 Act, inserted by Schedule 2 of the 2012 Act; and</w:t>
      </w:r>
    </w:p>
    <w:p w14:paraId="0AF28064" w14:textId="41C1FCBA" w:rsidR="009868D1" w:rsidRDefault="009868D1" w:rsidP="00A73A9E">
      <w:pPr>
        <w:numPr>
          <w:ilvl w:val="0"/>
          <w:numId w:val="41"/>
        </w:numPr>
        <w:spacing w:before="0" w:after="0"/>
        <w:rPr>
          <w:rFonts w:eastAsia="Times New Roman" w:cs="Arial"/>
        </w:rPr>
      </w:pPr>
      <w:r w:rsidRPr="00035E01">
        <w:rPr>
          <w:rFonts w:eastAsia="Times New Roman" w:cs="Arial"/>
        </w:rPr>
        <w:t>those matters delegated to it within the CCG’s constitution.</w:t>
      </w:r>
    </w:p>
    <w:p w14:paraId="4A09425F" w14:textId="77777777" w:rsidR="00A73A9E" w:rsidRPr="00A73A9E" w:rsidRDefault="00A73A9E" w:rsidP="00A73A9E">
      <w:pPr>
        <w:spacing w:before="0" w:after="0"/>
        <w:ind w:left="720"/>
        <w:rPr>
          <w:rFonts w:eastAsia="Times New Roman" w:cs="Arial"/>
        </w:rPr>
      </w:pPr>
    </w:p>
    <w:p w14:paraId="6128B7C8" w14:textId="05213599" w:rsidR="009868D1" w:rsidRDefault="009868D1" w:rsidP="001A6C1E">
      <w:pPr>
        <w:spacing w:before="0"/>
        <w:rPr>
          <w:rFonts w:eastAsia="Times New Roman" w:cs="Arial"/>
        </w:rPr>
      </w:pPr>
      <w:r w:rsidRPr="00035E01">
        <w:rPr>
          <w:rFonts w:eastAsia="Times New Roman" w:cs="Arial"/>
        </w:rPr>
        <w:t>The CCG Governing Body has met seven times during the year and was quorate on each occasion. Its agendas have incorporated a comprehensive range of reports to support delivery of its key functions, including the 2021</w:t>
      </w:r>
      <w:r w:rsidR="00886E22">
        <w:rPr>
          <w:rFonts w:eastAsia="Times New Roman" w:cs="Arial"/>
        </w:rPr>
        <w:t>-</w:t>
      </w:r>
      <w:r w:rsidRPr="00035E01">
        <w:rPr>
          <w:rFonts w:eastAsia="Times New Roman" w:cs="Arial"/>
        </w:rPr>
        <w:t xml:space="preserve">22 Operational Plan, Performance and Quality Reports (incorporating contracts, finance and quality), the Humber, Coast and Vale Integrated Care System Programme and the CCG’s actions in the light of the NHS Long Term Plan. </w:t>
      </w:r>
      <w:r>
        <w:rPr>
          <w:rFonts w:eastAsia="Times New Roman" w:cs="Arial"/>
        </w:rPr>
        <w:t xml:space="preserve">This included </w:t>
      </w:r>
      <w:r w:rsidRPr="00035E01">
        <w:rPr>
          <w:rFonts w:cs="Arial"/>
        </w:rPr>
        <w:t>interim governance arrangements</w:t>
      </w:r>
      <w:r>
        <w:rPr>
          <w:rFonts w:cs="Arial"/>
        </w:rPr>
        <w:t xml:space="preserve"> for the CCG, as a statutory body, as</w:t>
      </w:r>
      <w:r w:rsidRPr="00035E01">
        <w:rPr>
          <w:rFonts w:cs="Arial"/>
        </w:rPr>
        <w:t xml:space="preserve"> the HCV ICS </w:t>
      </w:r>
      <w:r>
        <w:rPr>
          <w:rFonts w:cs="Arial"/>
        </w:rPr>
        <w:t>has</w:t>
      </w:r>
      <w:r w:rsidRPr="00035E01">
        <w:rPr>
          <w:rFonts w:cs="Arial"/>
        </w:rPr>
        <w:t xml:space="preserve"> matured</w:t>
      </w:r>
      <w:r>
        <w:rPr>
          <w:rFonts w:cs="Arial"/>
        </w:rPr>
        <w:t xml:space="preserve"> and</w:t>
      </w:r>
      <w:r w:rsidRPr="00035E01">
        <w:rPr>
          <w:rFonts w:cs="Arial"/>
        </w:rPr>
        <w:t xml:space="preserve"> entered shadow arrangements</w:t>
      </w:r>
      <w:r>
        <w:rPr>
          <w:rFonts w:cs="Arial"/>
        </w:rPr>
        <w:t>.</w:t>
      </w:r>
      <w:r w:rsidR="00A73A9E">
        <w:rPr>
          <w:rFonts w:eastAsia="Times New Roman" w:cs="Arial"/>
        </w:rPr>
        <w:t xml:space="preserve"> </w:t>
      </w:r>
      <w:r w:rsidRPr="00035E01">
        <w:rPr>
          <w:rFonts w:eastAsia="Times New Roman" w:cs="Arial"/>
        </w:rPr>
        <w:t>It also maintained strategic oversight of the organisation’s major incident response to the COVID-19 pandemic.</w:t>
      </w:r>
      <w:r w:rsidR="00A73A9E">
        <w:rPr>
          <w:rFonts w:eastAsia="Times New Roman" w:cs="Arial"/>
        </w:rPr>
        <w:t xml:space="preserve"> </w:t>
      </w:r>
      <w:r w:rsidR="00A73A9E" w:rsidRPr="00171654">
        <w:rPr>
          <w:rFonts w:eastAsia="Times New Roman" w:cs="Arial"/>
        </w:rPr>
        <w:t>Attendance at the Governing Body during the year was as follows:</w:t>
      </w:r>
    </w:p>
    <w:p w14:paraId="1C133316" w14:textId="115DDBCF" w:rsidR="00A73A9E" w:rsidRDefault="00292220" w:rsidP="009868D1">
      <w:pPr>
        <w:rPr>
          <w:rFonts w:eastAsia="Times New Roman" w:cs="Arial"/>
        </w:rPr>
      </w:pPr>
      <w:r w:rsidRPr="0060525F">
        <w:drawing>
          <wp:inline distT="0" distB="0" distL="0" distR="0" wp14:anchorId="58C6522A" wp14:editId="4B4AF76A">
            <wp:extent cx="5731510" cy="3996055"/>
            <wp:effectExtent l="0" t="0" r="254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31510" cy="3996055"/>
                    </a:xfrm>
                    <a:prstGeom prst="rect">
                      <a:avLst/>
                    </a:prstGeom>
                    <a:noFill/>
                    <a:ln>
                      <a:noFill/>
                    </a:ln>
                  </pic:spPr>
                </pic:pic>
              </a:graphicData>
            </a:graphic>
          </wp:inline>
        </w:drawing>
      </w:r>
    </w:p>
    <w:p w14:paraId="5850CD9B" w14:textId="53D35698" w:rsidR="009868D1" w:rsidRPr="001A6C1E" w:rsidRDefault="009868D1" w:rsidP="009868D1">
      <w:pPr>
        <w:rPr>
          <w:rFonts w:eastAsia="Times New Roman" w:cs="Arial"/>
          <w:color w:val="FF0000"/>
        </w:rPr>
      </w:pPr>
      <w:r w:rsidRPr="00035E01">
        <w:rPr>
          <w:rFonts w:eastAsia="Times New Roman" w:cs="Arial"/>
        </w:rPr>
        <w:lastRenderedPageBreak/>
        <w:t xml:space="preserve">The Governing Body has continued to evaluate its effectiveness, including development sessions, throughout the year and initiate changes which build and strengthen its functionality. </w:t>
      </w:r>
      <w:r>
        <w:rPr>
          <w:rFonts w:eastAsia="Times New Roman" w:cs="Arial"/>
        </w:rPr>
        <w:t>It</w:t>
      </w:r>
      <w:r w:rsidRPr="0073306A">
        <w:rPr>
          <w:rFonts w:eastAsia="Times New Roman" w:cs="Arial"/>
        </w:rPr>
        <w:t xml:space="preserve"> has committed to the previously approved organisational development strategy, which includes a comprehensive programme of development as a team and consideration of the CCG strategic objectives</w:t>
      </w:r>
      <w:r>
        <w:rPr>
          <w:rFonts w:eastAsia="Times New Roman" w:cs="Arial"/>
        </w:rPr>
        <w:t>, the risks to their achievement and mitigations.</w:t>
      </w:r>
      <w:r w:rsidR="00A73A9E">
        <w:rPr>
          <w:rFonts w:eastAsia="Times New Roman" w:cs="Arial"/>
          <w:color w:val="FF0000"/>
        </w:rPr>
        <w:t xml:space="preserve"> </w:t>
      </w:r>
    </w:p>
    <w:p w14:paraId="2EEC923E" w14:textId="77777777" w:rsidR="009868D1" w:rsidRPr="00171654" w:rsidRDefault="009868D1" w:rsidP="009868D1">
      <w:pPr>
        <w:rPr>
          <w:rFonts w:eastAsia="Times New Roman" w:cs="Arial"/>
          <w:b/>
          <w:bCs/>
          <w:iCs/>
        </w:rPr>
      </w:pPr>
      <w:r w:rsidRPr="00171654">
        <w:rPr>
          <w:rFonts w:eastAsia="Times New Roman" w:cs="Arial"/>
          <w:b/>
          <w:bCs/>
          <w:iCs/>
        </w:rPr>
        <w:t>Integrated Audit and Governance Committee</w:t>
      </w:r>
    </w:p>
    <w:p w14:paraId="29D28E47" w14:textId="03614E66" w:rsidR="009868D1" w:rsidRPr="00171654" w:rsidRDefault="009868D1" w:rsidP="009868D1">
      <w:pPr>
        <w:rPr>
          <w:rFonts w:eastAsia="Times New Roman" w:cs="Arial"/>
          <w:bCs/>
          <w:iCs/>
        </w:rPr>
      </w:pPr>
      <w:r w:rsidRPr="00171654">
        <w:rPr>
          <w:rFonts w:eastAsia="Times New Roman" w:cs="Arial"/>
          <w:bCs/>
          <w:iCs/>
        </w:rPr>
        <w:t>The Integrated Audit and Governance Committee is responsible for providing assurance to the CCG Governing Body on the processes operating within the organisation for risk, control and governance. It assesses the adequacy of assurances that are available with respect to financial, corporate, clinical and information governance.  The committee is able to direct further scrutiny, both internally and externally where appropriate, for those functions or areas where it believes insufficient assurance is being provided to the CCG Governing Body.</w:t>
      </w:r>
    </w:p>
    <w:p w14:paraId="0DA8FB22" w14:textId="77777777" w:rsidR="009868D1" w:rsidRPr="00171654" w:rsidRDefault="009868D1" w:rsidP="009868D1">
      <w:pPr>
        <w:rPr>
          <w:rFonts w:eastAsia="Times New Roman" w:cs="Arial"/>
          <w:bCs/>
          <w:iCs/>
        </w:rPr>
      </w:pPr>
      <w:r w:rsidRPr="00171654">
        <w:rPr>
          <w:rFonts w:eastAsia="Times New Roman" w:cs="Arial"/>
          <w:bCs/>
          <w:iCs/>
        </w:rPr>
        <w:t>During 2021-22, the committee met eight times during the year and was quorate on each occasion. The committee’s activities included:</w:t>
      </w:r>
    </w:p>
    <w:p w14:paraId="26B709D1" w14:textId="77777777" w:rsidR="009868D1" w:rsidRPr="00171654" w:rsidRDefault="009868D1" w:rsidP="009868D1">
      <w:pPr>
        <w:ind w:left="720" w:hanging="720"/>
        <w:rPr>
          <w:rFonts w:eastAsia="Times New Roman" w:cs="Arial"/>
          <w:bCs/>
          <w:iCs/>
        </w:rPr>
      </w:pPr>
      <w:r w:rsidRPr="00171654">
        <w:rPr>
          <w:rFonts w:eastAsia="Times New Roman" w:cs="Arial"/>
          <w:bCs/>
          <w:iCs/>
        </w:rPr>
        <w:t>•</w:t>
      </w:r>
      <w:r w:rsidRPr="00171654">
        <w:rPr>
          <w:rFonts w:eastAsia="Times New Roman" w:cs="Arial"/>
          <w:bCs/>
          <w:iCs/>
        </w:rPr>
        <w:tab/>
        <w:t>receiving and reviewing the board assurance framework and risk register at each meeting of the committee throughout the year;</w:t>
      </w:r>
    </w:p>
    <w:p w14:paraId="57004ED2" w14:textId="77777777" w:rsidR="009868D1" w:rsidRPr="00171654" w:rsidRDefault="009868D1" w:rsidP="009868D1">
      <w:pPr>
        <w:ind w:left="720" w:hanging="720"/>
        <w:rPr>
          <w:rFonts w:eastAsia="Times New Roman" w:cs="Arial"/>
          <w:bCs/>
          <w:iCs/>
        </w:rPr>
      </w:pPr>
      <w:r w:rsidRPr="00171654">
        <w:rPr>
          <w:rFonts w:eastAsia="Times New Roman" w:cs="Arial"/>
          <w:bCs/>
          <w:iCs/>
        </w:rPr>
        <w:t>•</w:t>
      </w:r>
      <w:r w:rsidRPr="00171654">
        <w:rPr>
          <w:rFonts w:eastAsia="Times New Roman" w:cs="Arial"/>
          <w:bCs/>
          <w:iCs/>
        </w:rPr>
        <w:tab/>
        <w:t>considering reports and opinions from a variety of internal and external sources including external audit, NHS Counter Fraud Authority, internal audit and the other committees of the Governing Body;</w:t>
      </w:r>
    </w:p>
    <w:p w14:paraId="41DCBB76" w14:textId="77777777" w:rsidR="009868D1" w:rsidRPr="00171654" w:rsidRDefault="009868D1" w:rsidP="0062761B">
      <w:pPr>
        <w:pStyle w:val="ListParagraph"/>
        <w:numPr>
          <w:ilvl w:val="0"/>
          <w:numId w:val="45"/>
        </w:numPr>
        <w:tabs>
          <w:tab w:val="clear" w:pos="2835"/>
          <w:tab w:val="clear" w:pos="5670"/>
          <w:tab w:val="clear" w:pos="9016"/>
        </w:tabs>
        <w:spacing w:before="0" w:after="0"/>
        <w:ind w:hanging="720"/>
        <w:rPr>
          <w:rFonts w:eastAsia="Times New Roman" w:cs="Arial"/>
          <w:bCs/>
          <w:iCs/>
        </w:rPr>
      </w:pPr>
      <w:r w:rsidRPr="00171654">
        <w:rPr>
          <w:rFonts w:eastAsia="Times New Roman" w:cs="Arial"/>
          <w:bCs/>
          <w:iCs/>
        </w:rPr>
        <w:t>scrutiny of CCG financial performance</w:t>
      </w:r>
    </w:p>
    <w:p w14:paraId="4C106A4B" w14:textId="77777777" w:rsidR="009868D1" w:rsidRPr="00171654" w:rsidRDefault="009868D1" w:rsidP="009868D1">
      <w:pPr>
        <w:ind w:left="720" w:hanging="720"/>
        <w:rPr>
          <w:rFonts w:eastAsia="Times New Roman" w:cs="Arial"/>
          <w:bCs/>
          <w:iCs/>
        </w:rPr>
      </w:pPr>
      <w:r w:rsidRPr="00171654">
        <w:rPr>
          <w:rFonts w:eastAsia="Times New Roman" w:cs="Arial"/>
          <w:bCs/>
          <w:iCs/>
        </w:rPr>
        <w:t>•</w:t>
      </w:r>
      <w:r w:rsidRPr="00171654">
        <w:rPr>
          <w:rFonts w:eastAsia="Times New Roman" w:cs="Arial"/>
          <w:bCs/>
          <w:iCs/>
        </w:rPr>
        <w:tab/>
        <w:t>receiving and scrutinising reports on tender waivers, declarations of interest and gifts and hospitality;</w:t>
      </w:r>
    </w:p>
    <w:p w14:paraId="2CCAA394" w14:textId="77777777" w:rsidR="009868D1" w:rsidRPr="00171654" w:rsidRDefault="009868D1" w:rsidP="009868D1">
      <w:pPr>
        <w:ind w:left="720" w:hanging="720"/>
        <w:rPr>
          <w:rFonts w:eastAsia="Times New Roman" w:cs="Arial"/>
          <w:bCs/>
          <w:iCs/>
        </w:rPr>
      </w:pPr>
      <w:r w:rsidRPr="00171654">
        <w:rPr>
          <w:rFonts w:eastAsia="Times New Roman" w:cs="Arial"/>
          <w:bCs/>
          <w:iCs/>
        </w:rPr>
        <w:t>•</w:t>
      </w:r>
      <w:r w:rsidRPr="00171654">
        <w:rPr>
          <w:rFonts w:eastAsia="Times New Roman" w:cs="Arial"/>
          <w:bCs/>
          <w:iCs/>
        </w:rPr>
        <w:tab/>
        <w:t>reviewing the annual accounts and annual governance statement and made recommendations to the Governing Body; and,</w:t>
      </w:r>
    </w:p>
    <w:p w14:paraId="07D7E5D8" w14:textId="59B27CED" w:rsidR="009868D1" w:rsidRPr="00171654" w:rsidRDefault="009868D1" w:rsidP="00C50A0C">
      <w:pPr>
        <w:ind w:left="720" w:hanging="720"/>
        <w:rPr>
          <w:rFonts w:eastAsia="Times New Roman" w:cs="Arial"/>
          <w:bCs/>
          <w:iCs/>
        </w:rPr>
      </w:pPr>
      <w:r w:rsidRPr="00171654">
        <w:rPr>
          <w:rFonts w:eastAsia="Times New Roman" w:cs="Arial"/>
          <w:bCs/>
          <w:iCs/>
        </w:rPr>
        <w:t>•</w:t>
      </w:r>
      <w:r w:rsidRPr="00171654">
        <w:rPr>
          <w:rFonts w:eastAsia="Times New Roman" w:cs="Arial"/>
          <w:bCs/>
          <w:iCs/>
        </w:rPr>
        <w:tab/>
        <w:t>through its work programme provided assurance to the Governing Body that the system of internal control is being implemented effectively.</w:t>
      </w:r>
    </w:p>
    <w:p w14:paraId="0099457F" w14:textId="77777777" w:rsidR="009868D1" w:rsidRPr="00171654" w:rsidRDefault="009868D1" w:rsidP="009868D1">
      <w:pPr>
        <w:rPr>
          <w:rFonts w:eastAsia="Times New Roman" w:cs="Arial"/>
          <w:bCs/>
          <w:iCs/>
        </w:rPr>
      </w:pPr>
      <w:r w:rsidRPr="00171654">
        <w:rPr>
          <w:rFonts w:eastAsia="Times New Roman" w:cs="Arial"/>
          <w:bCs/>
          <w:iCs/>
        </w:rPr>
        <w:t>Attendance at the committee during the year was as follows</w:t>
      </w:r>
    </w:p>
    <w:p w14:paraId="467ED72A" w14:textId="7604AA4C" w:rsidR="009868D1" w:rsidRPr="00E139EA" w:rsidRDefault="009868D1" w:rsidP="009868D1">
      <w:pPr>
        <w:rPr>
          <w:rFonts w:eastAsia="Times New Roman" w:cs="Arial"/>
          <w:b/>
          <w:color w:val="FF0000"/>
          <w:sz w:val="40"/>
          <w:szCs w:val="40"/>
        </w:rPr>
      </w:pPr>
      <w:r w:rsidRPr="002A124A">
        <w:drawing>
          <wp:inline distT="0" distB="0" distL="0" distR="0" wp14:anchorId="536CC3F6" wp14:editId="0EA69ACC">
            <wp:extent cx="5731510" cy="196913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31510" cy="1969135"/>
                    </a:xfrm>
                    <a:prstGeom prst="rect">
                      <a:avLst/>
                    </a:prstGeom>
                    <a:noFill/>
                    <a:ln>
                      <a:noFill/>
                    </a:ln>
                  </pic:spPr>
                </pic:pic>
              </a:graphicData>
            </a:graphic>
          </wp:inline>
        </w:drawing>
      </w:r>
    </w:p>
    <w:p w14:paraId="4452BD1A" w14:textId="77777777" w:rsidR="001A6C1E" w:rsidRDefault="001A6C1E" w:rsidP="009868D1">
      <w:pPr>
        <w:rPr>
          <w:rFonts w:eastAsia="Times New Roman" w:cs="Arial"/>
          <w:b/>
          <w:bCs/>
          <w:iCs/>
        </w:rPr>
      </w:pPr>
    </w:p>
    <w:p w14:paraId="294312FD" w14:textId="77777777" w:rsidR="001A6C1E" w:rsidRDefault="001A6C1E" w:rsidP="009868D1">
      <w:pPr>
        <w:rPr>
          <w:rFonts w:eastAsia="Times New Roman" w:cs="Arial"/>
          <w:b/>
          <w:bCs/>
          <w:iCs/>
        </w:rPr>
      </w:pPr>
    </w:p>
    <w:p w14:paraId="0B114CBA" w14:textId="352D6331" w:rsidR="009868D1" w:rsidRPr="00171654" w:rsidRDefault="009868D1" w:rsidP="009868D1">
      <w:pPr>
        <w:rPr>
          <w:rFonts w:eastAsia="Times New Roman" w:cs="Arial"/>
          <w:b/>
          <w:bCs/>
          <w:iCs/>
        </w:rPr>
      </w:pPr>
      <w:r w:rsidRPr="00171654">
        <w:rPr>
          <w:rFonts w:eastAsia="Times New Roman" w:cs="Arial"/>
          <w:b/>
          <w:bCs/>
          <w:iCs/>
        </w:rPr>
        <w:t>Planning and Commissioning Committee</w:t>
      </w:r>
    </w:p>
    <w:p w14:paraId="27B09825" w14:textId="2C061FF8" w:rsidR="009868D1" w:rsidRPr="00171654" w:rsidRDefault="009868D1" w:rsidP="009868D1">
      <w:pPr>
        <w:rPr>
          <w:rFonts w:eastAsia="Times New Roman" w:cs="Arial"/>
          <w:bCs/>
          <w:iCs/>
        </w:rPr>
      </w:pPr>
      <w:r w:rsidRPr="00171654">
        <w:rPr>
          <w:rFonts w:eastAsia="Times New Roman" w:cs="Arial"/>
          <w:bCs/>
          <w:iCs/>
        </w:rPr>
        <w:lastRenderedPageBreak/>
        <w:t>The Planning and Commissioning Committee is responsible for ensuring that the planning, commissioning and procurement of commissioning-related business is in line with the CCG organisational objectives. In particular, the committee is responsible for coordinating and reviewing commissioning plans prior to recommending them to the Governing Body setting out key commissioning priorities for the year which will deliver planned quality, innovation, productivity and prevention (QIPP) benefits.</w:t>
      </w:r>
    </w:p>
    <w:p w14:paraId="3CC9994F" w14:textId="77777777" w:rsidR="009868D1" w:rsidRPr="00171654" w:rsidRDefault="009868D1" w:rsidP="009868D1">
      <w:pPr>
        <w:rPr>
          <w:rFonts w:eastAsia="Times New Roman" w:cs="Arial"/>
          <w:bCs/>
          <w:iCs/>
        </w:rPr>
      </w:pPr>
      <w:r w:rsidRPr="00171654">
        <w:rPr>
          <w:rFonts w:eastAsia="Times New Roman" w:cs="Arial"/>
          <w:bCs/>
          <w:iCs/>
        </w:rPr>
        <w:t>In addition the Committee:</w:t>
      </w:r>
    </w:p>
    <w:p w14:paraId="1D0B4BAF" w14:textId="77777777" w:rsidR="009868D1" w:rsidRPr="00171654" w:rsidRDefault="009868D1" w:rsidP="0062761B">
      <w:pPr>
        <w:numPr>
          <w:ilvl w:val="0"/>
          <w:numId w:val="44"/>
        </w:numPr>
        <w:tabs>
          <w:tab w:val="clear" w:pos="2835"/>
          <w:tab w:val="clear" w:pos="5670"/>
          <w:tab w:val="clear" w:pos="9016"/>
        </w:tabs>
        <w:spacing w:before="0" w:after="0"/>
        <w:ind w:left="284" w:hanging="284"/>
        <w:contextualSpacing/>
        <w:rPr>
          <w:rFonts w:eastAsia="Times New Roman" w:cs="Arial"/>
          <w:bCs/>
          <w:iCs/>
        </w:rPr>
      </w:pPr>
      <w:r w:rsidRPr="00171654">
        <w:rPr>
          <w:rFonts w:eastAsia="Times New Roman" w:cs="Arial"/>
          <w:bCs/>
          <w:iCs/>
        </w:rPr>
        <w:t>Monitors the delivery of the agreed plans / service developments through regular updates and exception reporting across all service areas</w:t>
      </w:r>
    </w:p>
    <w:p w14:paraId="55634633" w14:textId="77777777" w:rsidR="009868D1" w:rsidRPr="00171654" w:rsidRDefault="009868D1" w:rsidP="0062761B">
      <w:pPr>
        <w:numPr>
          <w:ilvl w:val="0"/>
          <w:numId w:val="44"/>
        </w:numPr>
        <w:tabs>
          <w:tab w:val="clear" w:pos="2835"/>
          <w:tab w:val="clear" w:pos="5670"/>
          <w:tab w:val="clear" w:pos="9016"/>
        </w:tabs>
        <w:spacing w:before="0" w:after="0"/>
        <w:ind w:left="284" w:hanging="284"/>
        <w:contextualSpacing/>
        <w:rPr>
          <w:rFonts w:eastAsia="Times New Roman" w:cs="Arial"/>
          <w:bCs/>
          <w:iCs/>
        </w:rPr>
      </w:pPr>
      <w:r w:rsidRPr="00171654">
        <w:rPr>
          <w:rFonts w:eastAsia="Times New Roman" w:cs="Arial"/>
          <w:bCs/>
          <w:iCs/>
        </w:rPr>
        <w:t xml:space="preserve">Reviews and oversees the implementation of NICE and other sources of guidance/guidelines that impact upon the CCG’s commissioning functions </w:t>
      </w:r>
    </w:p>
    <w:p w14:paraId="5C88F342" w14:textId="77777777" w:rsidR="009868D1" w:rsidRPr="00171654" w:rsidRDefault="009868D1" w:rsidP="0062761B">
      <w:pPr>
        <w:numPr>
          <w:ilvl w:val="0"/>
          <w:numId w:val="44"/>
        </w:numPr>
        <w:tabs>
          <w:tab w:val="clear" w:pos="2835"/>
          <w:tab w:val="clear" w:pos="5670"/>
          <w:tab w:val="clear" w:pos="9016"/>
        </w:tabs>
        <w:spacing w:before="0" w:after="0"/>
        <w:ind w:left="284" w:hanging="284"/>
        <w:contextualSpacing/>
        <w:rPr>
          <w:rFonts w:eastAsia="Times New Roman" w:cs="Arial"/>
          <w:bCs/>
          <w:iCs/>
        </w:rPr>
      </w:pPr>
      <w:r w:rsidRPr="00171654">
        <w:rPr>
          <w:rFonts w:eastAsia="Times New Roman" w:cs="Arial"/>
          <w:bCs/>
          <w:iCs/>
        </w:rPr>
        <w:t>Oversees and supports the aspects of joint working with partner CCGs across both the Humber geographical area and the whole Integrated Care System</w:t>
      </w:r>
    </w:p>
    <w:p w14:paraId="6547969E" w14:textId="4F4AE815" w:rsidR="009868D1" w:rsidRPr="001A6C1E" w:rsidRDefault="009868D1" w:rsidP="001A6C1E">
      <w:pPr>
        <w:numPr>
          <w:ilvl w:val="0"/>
          <w:numId w:val="44"/>
        </w:numPr>
        <w:tabs>
          <w:tab w:val="clear" w:pos="2835"/>
          <w:tab w:val="clear" w:pos="5670"/>
          <w:tab w:val="clear" w:pos="9016"/>
        </w:tabs>
        <w:spacing w:before="0" w:after="0"/>
        <w:ind w:left="284" w:hanging="284"/>
        <w:contextualSpacing/>
        <w:rPr>
          <w:rFonts w:eastAsia="Times New Roman" w:cs="Arial"/>
          <w:bCs/>
          <w:iCs/>
        </w:rPr>
      </w:pPr>
      <w:r w:rsidRPr="00171654">
        <w:rPr>
          <w:rFonts w:eastAsia="Times New Roman" w:cs="Arial"/>
          <w:bCs/>
          <w:iCs/>
        </w:rPr>
        <w:t>Reviews and approves service specifications and commissioning policies ensuring that financial governance has been maintained through the two formal sub-meetings of the Committee, as follows:</w:t>
      </w:r>
    </w:p>
    <w:p w14:paraId="2FC47F64" w14:textId="62BA6CD9" w:rsidR="009868D1" w:rsidRPr="00E139EA" w:rsidRDefault="009868D1" w:rsidP="0062761B">
      <w:pPr>
        <w:numPr>
          <w:ilvl w:val="1"/>
          <w:numId w:val="44"/>
        </w:numPr>
        <w:tabs>
          <w:tab w:val="clear" w:pos="2835"/>
          <w:tab w:val="clear" w:pos="5670"/>
          <w:tab w:val="clear" w:pos="9016"/>
        </w:tabs>
        <w:spacing w:before="0" w:after="0"/>
        <w:ind w:left="709"/>
        <w:contextualSpacing/>
        <w:rPr>
          <w:rFonts w:eastAsia="Times New Roman" w:cs="Arial"/>
          <w:bCs/>
          <w:iCs/>
        </w:rPr>
      </w:pPr>
      <w:r w:rsidRPr="00171654">
        <w:rPr>
          <w:rFonts w:eastAsia="Times New Roman" w:cs="Arial"/>
          <w:bCs/>
          <w:iCs/>
        </w:rPr>
        <w:t>Pathway Review Group – a joint meeting across Hull and the East Riding that supports collaborative working on clinical pathways across providers and commissioners;</w:t>
      </w:r>
    </w:p>
    <w:p w14:paraId="2057DB6C" w14:textId="77777777" w:rsidR="009868D1" w:rsidRPr="00171654" w:rsidRDefault="009868D1" w:rsidP="0062761B">
      <w:pPr>
        <w:numPr>
          <w:ilvl w:val="1"/>
          <w:numId w:val="44"/>
        </w:numPr>
        <w:tabs>
          <w:tab w:val="clear" w:pos="2835"/>
          <w:tab w:val="clear" w:pos="5670"/>
          <w:tab w:val="clear" w:pos="9016"/>
        </w:tabs>
        <w:spacing w:before="0" w:after="0"/>
        <w:ind w:left="709"/>
        <w:contextualSpacing/>
        <w:rPr>
          <w:rFonts w:eastAsia="Times New Roman" w:cs="Arial"/>
          <w:bCs/>
          <w:iCs/>
        </w:rPr>
      </w:pPr>
      <w:r w:rsidRPr="00171654">
        <w:rPr>
          <w:rFonts w:eastAsia="Times New Roman" w:cs="Arial"/>
          <w:bCs/>
          <w:iCs/>
        </w:rPr>
        <w:t>Procurement Panel – which ensures that the CCG follows relevant procurement legislation.</w:t>
      </w:r>
    </w:p>
    <w:p w14:paraId="65898BA2" w14:textId="77777777" w:rsidR="009868D1" w:rsidRPr="00171654" w:rsidRDefault="009868D1" w:rsidP="009868D1">
      <w:pPr>
        <w:contextualSpacing/>
        <w:rPr>
          <w:rFonts w:eastAsia="Times New Roman" w:cs="Arial"/>
          <w:bCs/>
          <w:iCs/>
        </w:rPr>
      </w:pPr>
    </w:p>
    <w:p w14:paraId="77A750F0" w14:textId="24EEB5DF" w:rsidR="009868D1" w:rsidRDefault="009868D1" w:rsidP="009868D1">
      <w:pPr>
        <w:rPr>
          <w:rFonts w:eastAsia="Times New Roman" w:cs="Arial"/>
          <w:bCs/>
          <w:iCs/>
        </w:rPr>
      </w:pPr>
      <w:r w:rsidRPr="00171654">
        <w:rPr>
          <w:rFonts w:eastAsia="Times New Roman" w:cs="Arial"/>
          <w:bCs/>
          <w:iCs/>
        </w:rPr>
        <w:t>The Committee Chair provides updates to the CCG Governing Body as to the work undertaken by the Committee and the sources of confidence available in relation to the areas of responsibility of the committee.</w:t>
      </w:r>
      <w:r>
        <w:rPr>
          <w:rFonts w:eastAsia="Times New Roman" w:cs="Arial"/>
          <w:bCs/>
          <w:iCs/>
        </w:rPr>
        <w:t xml:space="preserve"> </w:t>
      </w:r>
      <w:r w:rsidRPr="00171654">
        <w:rPr>
          <w:rFonts w:eastAsia="Times New Roman" w:cs="Arial"/>
          <w:bCs/>
          <w:iCs/>
        </w:rPr>
        <w:t xml:space="preserve">The committee met eight times during the year and was quorate </w:t>
      </w:r>
      <w:r>
        <w:rPr>
          <w:rFonts w:eastAsia="Times New Roman" w:cs="Arial"/>
          <w:bCs/>
          <w:iCs/>
        </w:rPr>
        <w:t>each time</w:t>
      </w:r>
      <w:r w:rsidRPr="00171654">
        <w:rPr>
          <w:rFonts w:eastAsia="Times New Roman" w:cs="Arial"/>
          <w:bCs/>
          <w:iCs/>
        </w:rPr>
        <w:t>.</w:t>
      </w:r>
    </w:p>
    <w:p w14:paraId="68D90A4F" w14:textId="77777777" w:rsidR="009868D1" w:rsidRPr="00171654" w:rsidRDefault="009868D1" w:rsidP="009868D1">
      <w:pPr>
        <w:rPr>
          <w:rFonts w:eastAsia="Times New Roman" w:cs="Arial"/>
          <w:bCs/>
          <w:iCs/>
        </w:rPr>
      </w:pPr>
      <w:r w:rsidRPr="00171654">
        <w:rPr>
          <w:rFonts w:eastAsia="Times New Roman" w:cs="Arial"/>
          <w:bCs/>
          <w:iCs/>
        </w:rPr>
        <w:t>The committee’s activities included:</w:t>
      </w:r>
    </w:p>
    <w:p w14:paraId="696D741B" w14:textId="77777777" w:rsidR="009868D1" w:rsidRPr="00171654" w:rsidRDefault="009868D1" w:rsidP="009868D1">
      <w:pPr>
        <w:ind w:left="720" w:hanging="720"/>
        <w:rPr>
          <w:rFonts w:eastAsia="Times New Roman" w:cs="Arial"/>
          <w:bCs/>
          <w:iCs/>
        </w:rPr>
      </w:pPr>
      <w:r w:rsidRPr="00171654">
        <w:rPr>
          <w:rFonts w:eastAsia="Times New Roman" w:cs="Arial"/>
          <w:bCs/>
          <w:iCs/>
        </w:rPr>
        <w:t>•</w:t>
      </w:r>
      <w:r w:rsidRPr="00171654">
        <w:rPr>
          <w:rFonts w:eastAsia="Times New Roman" w:cs="Arial"/>
          <w:bCs/>
          <w:iCs/>
        </w:rPr>
        <w:tab/>
        <w:t>overseeing the development of the CCG commissioning plans and the alignment to the ICS commissioning plan;</w:t>
      </w:r>
    </w:p>
    <w:p w14:paraId="270C0FDE" w14:textId="77777777" w:rsidR="009868D1" w:rsidRPr="00171654" w:rsidRDefault="009868D1" w:rsidP="009868D1">
      <w:pPr>
        <w:ind w:left="720" w:hanging="720"/>
        <w:rPr>
          <w:rFonts w:eastAsia="Times New Roman" w:cs="Arial"/>
          <w:bCs/>
          <w:iCs/>
        </w:rPr>
      </w:pPr>
      <w:r w:rsidRPr="00171654">
        <w:rPr>
          <w:rFonts w:eastAsia="Times New Roman" w:cs="Arial"/>
          <w:bCs/>
          <w:iCs/>
        </w:rPr>
        <w:t>•</w:t>
      </w:r>
      <w:r w:rsidRPr="00171654">
        <w:rPr>
          <w:rFonts w:eastAsia="Times New Roman" w:cs="Arial"/>
          <w:bCs/>
          <w:iCs/>
        </w:rPr>
        <w:tab/>
        <w:t>receiving and reviewing a wide range of clinical commissioning policies, including those relating to prescribing;</w:t>
      </w:r>
    </w:p>
    <w:p w14:paraId="14C98C3F" w14:textId="77777777" w:rsidR="009868D1" w:rsidRPr="00171654" w:rsidRDefault="009868D1" w:rsidP="009868D1">
      <w:pPr>
        <w:ind w:left="720" w:hanging="720"/>
        <w:rPr>
          <w:rFonts w:eastAsia="Times New Roman" w:cs="Arial"/>
          <w:bCs/>
          <w:iCs/>
        </w:rPr>
      </w:pPr>
      <w:r w:rsidRPr="00171654">
        <w:rPr>
          <w:rFonts w:eastAsia="Times New Roman" w:cs="Arial"/>
          <w:bCs/>
          <w:iCs/>
        </w:rPr>
        <w:t>•</w:t>
      </w:r>
      <w:r w:rsidRPr="00171654">
        <w:rPr>
          <w:rFonts w:eastAsia="Times New Roman" w:cs="Arial"/>
          <w:bCs/>
          <w:iCs/>
        </w:rPr>
        <w:tab/>
        <w:t>reviewing policies in relation to evidence-based interventions, overseeing the work of the Individual Funding Request (Exceptional Treatments) Panel including review of the Individual Funding Request (Exceptional Treatments) Annual Report</w:t>
      </w:r>
    </w:p>
    <w:p w14:paraId="13160323" w14:textId="77777777" w:rsidR="009868D1" w:rsidRPr="00171654" w:rsidRDefault="009868D1" w:rsidP="0062761B">
      <w:pPr>
        <w:numPr>
          <w:ilvl w:val="0"/>
          <w:numId w:val="42"/>
        </w:numPr>
        <w:spacing w:before="0" w:after="0"/>
        <w:ind w:hanging="720"/>
        <w:rPr>
          <w:rFonts w:eastAsia="Times New Roman" w:cs="Arial"/>
          <w:bCs/>
          <w:iCs/>
        </w:rPr>
      </w:pPr>
      <w:r w:rsidRPr="00171654">
        <w:rPr>
          <w:rFonts w:eastAsia="Times New Roman" w:cs="Arial"/>
          <w:bCs/>
          <w:iCs/>
        </w:rPr>
        <w:t>review and approval of public health programmes, with specific focus on those that would be delivered in partnership with the CCG; and</w:t>
      </w:r>
    </w:p>
    <w:p w14:paraId="16EFCCDA" w14:textId="547B0479" w:rsidR="009868D1" w:rsidRDefault="009868D1" w:rsidP="0062761B">
      <w:pPr>
        <w:numPr>
          <w:ilvl w:val="0"/>
          <w:numId w:val="42"/>
        </w:numPr>
        <w:spacing w:before="0" w:after="0"/>
        <w:ind w:hanging="720"/>
        <w:rPr>
          <w:rFonts w:eastAsia="Times New Roman" w:cs="Arial"/>
          <w:bCs/>
          <w:iCs/>
        </w:rPr>
      </w:pPr>
      <w:r w:rsidRPr="00171654">
        <w:rPr>
          <w:rFonts w:eastAsia="Times New Roman" w:cs="Arial"/>
          <w:bCs/>
          <w:iCs/>
        </w:rPr>
        <w:t>review of the progress and delivery of main work programmes.</w:t>
      </w:r>
    </w:p>
    <w:p w14:paraId="0E676D1A" w14:textId="77777777" w:rsidR="00E139EA" w:rsidRPr="00E139EA" w:rsidRDefault="00E139EA" w:rsidP="00E139EA">
      <w:pPr>
        <w:spacing w:before="0" w:after="0"/>
        <w:ind w:left="720"/>
        <w:rPr>
          <w:rFonts w:eastAsia="Times New Roman" w:cs="Arial"/>
          <w:bCs/>
          <w:iCs/>
        </w:rPr>
      </w:pPr>
    </w:p>
    <w:p w14:paraId="08927CEC" w14:textId="6D3F833F" w:rsidR="009868D1" w:rsidRPr="00171654" w:rsidRDefault="009868D1" w:rsidP="009868D1">
      <w:pPr>
        <w:rPr>
          <w:rFonts w:eastAsia="Times New Roman" w:cs="Arial"/>
          <w:bCs/>
          <w:iCs/>
        </w:rPr>
      </w:pPr>
      <w:r w:rsidRPr="00171654">
        <w:rPr>
          <w:rFonts w:eastAsia="Times New Roman" w:cs="Arial"/>
        </w:rPr>
        <w:t xml:space="preserve">Attendance at the </w:t>
      </w:r>
      <w:r w:rsidRPr="00171654">
        <w:rPr>
          <w:rFonts w:eastAsia="Times New Roman" w:cs="Arial"/>
          <w:bCs/>
          <w:iCs/>
        </w:rPr>
        <w:t xml:space="preserve">Planning and Commissioning Committee </w:t>
      </w:r>
      <w:r w:rsidRPr="00171654">
        <w:rPr>
          <w:rFonts w:eastAsia="Times New Roman" w:cs="Arial"/>
        </w:rPr>
        <w:t>during the year was as follows</w:t>
      </w:r>
      <w:r w:rsidR="005813FF">
        <w:rPr>
          <w:rFonts w:eastAsia="Times New Roman" w:cs="Arial"/>
        </w:rPr>
        <w:t xml:space="preserve"> overleaf</w:t>
      </w:r>
      <w:r w:rsidRPr="00171654">
        <w:rPr>
          <w:rFonts w:eastAsia="Times New Roman" w:cs="Arial"/>
        </w:rPr>
        <w:t>:</w:t>
      </w:r>
    </w:p>
    <w:p w14:paraId="03FC42A5" w14:textId="0D3C32A1" w:rsidR="009868D1" w:rsidRPr="001A6C1E" w:rsidRDefault="009868D1" w:rsidP="009868D1">
      <w:pPr>
        <w:rPr>
          <w:rFonts w:eastAsia="Times New Roman" w:cs="Arial"/>
          <w:b/>
          <w:color w:val="FF0000"/>
          <w:sz w:val="40"/>
          <w:szCs w:val="40"/>
        </w:rPr>
      </w:pPr>
      <w:r w:rsidRPr="002A124A">
        <w:lastRenderedPageBreak/>
        <w:drawing>
          <wp:inline distT="0" distB="0" distL="0" distR="0" wp14:anchorId="288D4333" wp14:editId="4E57D31E">
            <wp:extent cx="5731510" cy="415544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31510" cy="4155440"/>
                    </a:xfrm>
                    <a:prstGeom prst="rect">
                      <a:avLst/>
                    </a:prstGeom>
                    <a:noFill/>
                    <a:ln>
                      <a:noFill/>
                    </a:ln>
                  </pic:spPr>
                </pic:pic>
              </a:graphicData>
            </a:graphic>
          </wp:inline>
        </w:drawing>
      </w:r>
    </w:p>
    <w:p w14:paraId="7F95671D" w14:textId="77777777" w:rsidR="009868D1" w:rsidRPr="00EC2A08" w:rsidRDefault="009868D1" w:rsidP="009868D1">
      <w:pPr>
        <w:rPr>
          <w:rFonts w:cs="Arial"/>
          <w:b/>
          <w:bCs/>
        </w:rPr>
      </w:pPr>
      <w:r w:rsidRPr="00EC2A08">
        <w:rPr>
          <w:rFonts w:cs="Arial"/>
          <w:b/>
          <w:bCs/>
        </w:rPr>
        <w:t>Quality and Performance Committee</w:t>
      </w:r>
    </w:p>
    <w:p w14:paraId="56381779" w14:textId="65E20BFB" w:rsidR="009868D1" w:rsidRPr="00E139EA" w:rsidRDefault="009868D1" w:rsidP="00E139EA">
      <w:pPr>
        <w:rPr>
          <w:rFonts w:eastAsia="Times New Roman"/>
        </w:rPr>
      </w:pPr>
      <w:r w:rsidRPr="00EC2A08">
        <w:rPr>
          <w:rFonts w:eastAsia="Times New Roman" w:cs="Arial"/>
        </w:rPr>
        <w:t xml:space="preserve">The </w:t>
      </w:r>
      <w:r w:rsidRPr="00EC2A08">
        <w:rPr>
          <w:rFonts w:cs="Arial"/>
        </w:rPr>
        <w:t xml:space="preserve">Quality and Performance </w:t>
      </w:r>
      <w:r w:rsidRPr="00EC2A08">
        <w:rPr>
          <w:rFonts w:eastAsia="Times New Roman" w:cs="Arial"/>
        </w:rPr>
        <w:t>Committee is responsible for the assurance and oversight of quality and performance, reporting on outcome measures in relation to activity, financial performance, improvements and in the delivery of the CCG’s strategic priorities. Focussed on quality, safety and continuous improvement the committee has a key role in ensuring the experience of patients informs commissioning and reflects the needs of the people of Hull.</w:t>
      </w:r>
    </w:p>
    <w:p w14:paraId="40E9579F" w14:textId="77777777" w:rsidR="009868D1" w:rsidRPr="00EC2A08" w:rsidRDefault="009868D1" w:rsidP="009868D1">
      <w:pPr>
        <w:pStyle w:val="xmsonormal0"/>
        <w:spacing w:before="0" w:beforeAutospacing="0" w:after="0" w:afterAutospacing="0" w:line="276" w:lineRule="auto"/>
      </w:pPr>
      <w:r w:rsidRPr="00EC2A08">
        <w:rPr>
          <w:rFonts w:ascii="Arial" w:hAnsi="Arial" w:cs="Arial"/>
        </w:rPr>
        <w:t>The Committee has met six times during the year and was quorate on each occasion. An update report is produced by the committee after each meeting for consideration by the Governing Body as to the sources of confidence available in relation to the areas of responsibility of the committee.  The committee’s activities during the year included:</w:t>
      </w:r>
    </w:p>
    <w:p w14:paraId="52D3405C" w14:textId="77777777" w:rsidR="009868D1" w:rsidRPr="00EC2A08" w:rsidRDefault="009868D1" w:rsidP="009868D1">
      <w:pPr>
        <w:pStyle w:val="xmsonormal0"/>
        <w:spacing w:before="0" w:beforeAutospacing="0" w:after="0" w:afterAutospacing="0" w:line="276" w:lineRule="auto"/>
      </w:pPr>
      <w:r w:rsidRPr="00EC2A08">
        <w:rPr>
          <w:rFonts w:ascii="Arial" w:hAnsi="Arial" w:cs="Arial"/>
        </w:rPr>
        <w:t> </w:t>
      </w:r>
    </w:p>
    <w:p w14:paraId="0D58DBD9" w14:textId="77777777" w:rsidR="009868D1" w:rsidRPr="00EC2A08" w:rsidRDefault="009868D1" w:rsidP="0062761B">
      <w:pPr>
        <w:pStyle w:val="xmsonormal0"/>
        <w:numPr>
          <w:ilvl w:val="0"/>
          <w:numId w:val="46"/>
        </w:numPr>
        <w:spacing w:before="0" w:beforeAutospacing="0" w:after="0" w:afterAutospacing="0" w:line="276" w:lineRule="auto"/>
        <w:rPr>
          <w:rFonts w:eastAsia="Times New Roman"/>
        </w:rPr>
      </w:pPr>
      <w:r w:rsidRPr="00EC2A08">
        <w:rPr>
          <w:rFonts w:ascii="Arial" w:eastAsia="Times New Roman" w:hAnsi="Arial" w:cs="Arial"/>
        </w:rPr>
        <w:t>Provider quality monitoring and performance assurance and escalation.</w:t>
      </w:r>
    </w:p>
    <w:p w14:paraId="24F6BFD1" w14:textId="77777777" w:rsidR="009868D1" w:rsidRPr="00EC2A08" w:rsidRDefault="009868D1" w:rsidP="0062761B">
      <w:pPr>
        <w:pStyle w:val="xmsonormal0"/>
        <w:numPr>
          <w:ilvl w:val="0"/>
          <w:numId w:val="46"/>
        </w:numPr>
        <w:spacing w:before="0" w:beforeAutospacing="0" w:after="0" w:afterAutospacing="0" w:line="276" w:lineRule="auto"/>
        <w:rPr>
          <w:rFonts w:eastAsia="Times New Roman"/>
        </w:rPr>
      </w:pPr>
      <w:r w:rsidRPr="00EC2A08">
        <w:rPr>
          <w:rFonts w:ascii="Arial" w:eastAsia="Times New Roman" w:hAnsi="Arial" w:cs="Arial"/>
        </w:rPr>
        <w:t>Scrutiny of financial delivery.</w:t>
      </w:r>
    </w:p>
    <w:p w14:paraId="2929804E" w14:textId="77777777" w:rsidR="009868D1" w:rsidRPr="00EC2A08" w:rsidRDefault="009868D1" w:rsidP="0062761B">
      <w:pPr>
        <w:pStyle w:val="xmsonormal0"/>
        <w:numPr>
          <w:ilvl w:val="0"/>
          <w:numId w:val="46"/>
        </w:numPr>
        <w:spacing w:before="0" w:beforeAutospacing="0" w:after="0" w:afterAutospacing="0" w:line="276" w:lineRule="auto"/>
        <w:rPr>
          <w:rFonts w:eastAsia="Times New Roman"/>
        </w:rPr>
      </w:pPr>
      <w:r w:rsidRPr="00EC2A08">
        <w:rPr>
          <w:rFonts w:ascii="Arial" w:eastAsia="Times New Roman" w:hAnsi="Arial" w:cs="Arial"/>
        </w:rPr>
        <w:t>Scrutiny of provider quality accounts.</w:t>
      </w:r>
    </w:p>
    <w:p w14:paraId="382BFFD6" w14:textId="77777777" w:rsidR="009868D1" w:rsidRPr="00EC2A08" w:rsidRDefault="009868D1" w:rsidP="0062761B">
      <w:pPr>
        <w:pStyle w:val="xmsonormal0"/>
        <w:numPr>
          <w:ilvl w:val="0"/>
          <w:numId w:val="46"/>
        </w:numPr>
        <w:spacing w:before="0" w:beforeAutospacing="0" w:after="0" w:afterAutospacing="0" w:line="276" w:lineRule="auto"/>
        <w:rPr>
          <w:rFonts w:eastAsia="Times New Roman"/>
        </w:rPr>
      </w:pPr>
      <w:r w:rsidRPr="00EC2A08">
        <w:rPr>
          <w:rFonts w:ascii="Arial" w:eastAsia="Times New Roman" w:hAnsi="Arial" w:cs="Arial"/>
        </w:rPr>
        <w:t>Monitoring the safeguarding programme of the CCG.</w:t>
      </w:r>
    </w:p>
    <w:p w14:paraId="0B0283DF" w14:textId="77777777" w:rsidR="009868D1" w:rsidRPr="00EC2A08" w:rsidRDefault="009868D1" w:rsidP="0062761B">
      <w:pPr>
        <w:pStyle w:val="xmsonormal0"/>
        <w:numPr>
          <w:ilvl w:val="0"/>
          <w:numId w:val="46"/>
        </w:numPr>
        <w:spacing w:before="0" w:beforeAutospacing="0" w:after="0" w:afterAutospacing="0" w:line="276" w:lineRule="auto"/>
        <w:rPr>
          <w:rFonts w:eastAsia="Times New Roman"/>
        </w:rPr>
      </w:pPr>
      <w:r w:rsidRPr="00EC2A08">
        <w:rPr>
          <w:rFonts w:ascii="Arial" w:eastAsia="Times New Roman" w:hAnsi="Arial" w:cs="Arial"/>
        </w:rPr>
        <w:t>Review and oversight of CCG associated with Quality and Performance.</w:t>
      </w:r>
    </w:p>
    <w:p w14:paraId="7A89AE4B" w14:textId="77777777" w:rsidR="009868D1" w:rsidRPr="00EC2A08" w:rsidRDefault="009868D1" w:rsidP="0062761B">
      <w:pPr>
        <w:pStyle w:val="xmsonormal0"/>
        <w:numPr>
          <w:ilvl w:val="0"/>
          <w:numId w:val="46"/>
        </w:numPr>
        <w:spacing w:before="0" w:beforeAutospacing="0" w:after="0" w:afterAutospacing="0" w:line="276" w:lineRule="auto"/>
        <w:rPr>
          <w:rFonts w:eastAsia="Times New Roman"/>
        </w:rPr>
      </w:pPr>
      <w:r w:rsidRPr="00EC2A08">
        <w:rPr>
          <w:rFonts w:ascii="Arial" w:eastAsia="Times New Roman" w:hAnsi="Arial" w:cs="Arial"/>
        </w:rPr>
        <w:t>Monitoring of the CCG response to the COVID-19 pandemic.</w:t>
      </w:r>
    </w:p>
    <w:p w14:paraId="0EF05A80" w14:textId="77777777" w:rsidR="009868D1" w:rsidRPr="00EC2A08" w:rsidRDefault="009868D1" w:rsidP="0062761B">
      <w:pPr>
        <w:pStyle w:val="xmsonormal0"/>
        <w:numPr>
          <w:ilvl w:val="0"/>
          <w:numId w:val="46"/>
        </w:numPr>
        <w:spacing w:before="0" w:beforeAutospacing="0" w:after="0" w:afterAutospacing="0" w:line="276" w:lineRule="auto"/>
        <w:rPr>
          <w:rFonts w:eastAsia="Times New Roman"/>
        </w:rPr>
      </w:pPr>
      <w:r w:rsidRPr="00EC2A08">
        <w:rPr>
          <w:rFonts w:ascii="Arial" w:eastAsia="Times New Roman" w:hAnsi="Arial" w:cs="Arial"/>
        </w:rPr>
        <w:t>Scrutiny and review of clinical serious incidents in improving patient’s safety.</w:t>
      </w:r>
    </w:p>
    <w:p w14:paraId="06161B52" w14:textId="28DC4A3F" w:rsidR="009868D1" w:rsidRPr="00E139EA" w:rsidRDefault="009868D1" w:rsidP="0062761B">
      <w:pPr>
        <w:pStyle w:val="xmsonormal0"/>
        <w:numPr>
          <w:ilvl w:val="0"/>
          <w:numId w:val="46"/>
        </w:numPr>
        <w:spacing w:before="0" w:beforeAutospacing="0" w:after="0" w:afterAutospacing="0" w:line="276" w:lineRule="auto"/>
        <w:rPr>
          <w:rFonts w:eastAsia="Times New Roman"/>
        </w:rPr>
      </w:pPr>
      <w:r w:rsidRPr="00EC2A08">
        <w:rPr>
          <w:rFonts w:ascii="Arial" w:eastAsia="Times New Roman" w:hAnsi="Arial" w:cs="Arial"/>
        </w:rPr>
        <w:t>Monitoring and review of patient experience information, in informing the priorities of the committee and the wider CCG.</w:t>
      </w:r>
    </w:p>
    <w:p w14:paraId="2DB35A4E" w14:textId="4C15825A" w:rsidR="00E139EA" w:rsidRDefault="009868D1" w:rsidP="009868D1">
      <w:pPr>
        <w:rPr>
          <w:rFonts w:eastAsia="Times New Roman" w:cs="Arial"/>
        </w:rPr>
      </w:pPr>
      <w:r w:rsidRPr="00EC2A08">
        <w:rPr>
          <w:rFonts w:eastAsia="Times New Roman"/>
        </w:rPr>
        <w:t> </w:t>
      </w:r>
      <w:r w:rsidRPr="00EC2A08">
        <w:rPr>
          <w:rFonts w:eastAsia="Times New Roman" w:cs="Arial"/>
        </w:rPr>
        <w:t>Attendance at the Quality and Performance Committee during the year was as follows</w:t>
      </w:r>
      <w:r w:rsidR="005813FF">
        <w:rPr>
          <w:rFonts w:eastAsia="Times New Roman" w:cs="Arial"/>
        </w:rPr>
        <w:t xml:space="preserve"> overleaf</w:t>
      </w:r>
      <w:r w:rsidRPr="00EC2A08">
        <w:rPr>
          <w:rFonts w:eastAsia="Times New Roman" w:cs="Arial"/>
        </w:rPr>
        <w:t>:</w:t>
      </w:r>
    </w:p>
    <w:p w14:paraId="68564F1D" w14:textId="549C35F4" w:rsidR="009868D1" w:rsidRPr="00E139EA" w:rsidRDefault="009868D1" w:rsidP="009868D1">
      <w:pPr>
        <w:rPr>
          <w:rFonts w:eastAsia="Times New Roman" w:cs="Arial"/>
          <w:color w:val="FF0000"/>
        </w:rPr>
      </w:pPr>
      <w:r w:rsidRPr="002A124A">
        <w:lastRenderedPageBreak/>
        <w:drawing>
          <wp:inline distT="0" distB="0" distL="0" distR="0" wp14:anchorId="1A4B0CB4" wp14:editId="4C3310F5">
            <wp:extent cx="5731510" cy="353187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31510" cy="3531870"/>
                    </a:xfrm>
                    <a:prstGeom prst="rect">
                      <a:avLst/>
                    </a:prstGeom>
                    <a:noFill/>
                    <a:ln>
                      <a:noFill/>
                    </a:ln>
                  </pic:spPr>
                </pic:pic>
              </a:graphicData>
            </a:graphic>
          </wp:inline>
        </w:drawing>
      </w:r>
    </w:p>
    <w:p w14:paraId="5225F15D" w14:textId="77777777" w:rsidR="009868D1" w:rsidRPr="00DF66A0" w:rsidRDefault="009868D1" w:rsidP="009868D1">
      <w:pPr>
        <w:rPr>
          <w:rFonts w:eastAsia="Times New Roman" w:cs="Arial"/>
          <w:b/>
          <w:bCs/>
          <w:iCs/>
        </w:rPr>
      </w:pPr>
      <w:r w:rsidRPr="00DF66A0">
        <w:rPr>
          <w:rFonts w:eastAsia="Times New Roman" w:cs="Arial"/>
          <w:b/>
          <w:bCs/>
          <w:iCs/>
        </w:rPr>
        <w:t>Primary Care Commissioning Committee</w:t>
      </w:r>
    </w:p>
    <w:p w14:paraId="3E8FB3C1" w14:textId="07CEC6C2" w:rsidR="009868D1" w:rsidRPr="00DF66A0" w:rsidRDefault="009868D1" w:rsidP="009868D1">
      <w:pPr>
        <w:rPr>
          <w:rFonts w:eastAsia="Times New Roman" w:cs="Arial"/>
          <w:bCs/>
          <w:iCs/>
        </w:rPr>
      </w:pPr>
      <w:r w:rsidRPr="00DF66A0">
        <w:rPr>
          <w:rFonts w:eastAsia="Times New Roman" w:cs="Arial"/>
          <w:bCs/>
          <w:iCs/>
        </w:rPr>
        <w:t xml:space="preserve">The Primary Care Commissioning Committee has responsibility for </w:t>
      </w:r>
      <w:r>
        <w:rPr>
          <w:rFonts w:eastAsia="Times New Roman" w:cs="Arial"/>
          <w:bCs/>
          <w:iCs/>
        </w:rPr>
        <w:t xml:space="preserve">the </w:t>
      </w:r>
      <w:r w:rsidRPr="00DF66A0">
        <w:rPr>
          <w:rFonts w:eastAsia="Times New Roman" w:cs="Arial"/>
          <w:bCs/>
          <w:iCs/>
        </w:rPr>
        <w:t>commissioning primary care medical services across the city. In particular, the committee is responsible for considering General Medical Services (GMS), Personal Medical Services (PMS) and Alternative Provider Medical Services (APMS) contracts, enhanced services, local incentive schemes, decision making on establishment of new GP practices and practice mergers and newly designed services to be commissioned from primary care.</w:t>
      </w:r>
    </w:p>
    <w:p w14:paraId="29EFD6EB" w14:textId="77777777" w:rsidR="009868D1" w:rsidRPr="00DF66A0" w:rsidRDefault="009868D1" w:rsidP="009868D1">
      <w:pPr>
        <w:rPr>
          <w:rFonts w:eastAsia="Times New Roman" w:cs="Arial"/>
          <w:bCs/>
          <w:iCs/>
        </w:rPr>
      </w:pPr>
      <w:r w:rsidRPr="00DF66A0">
        <w:rPr>
          <w:rFonts w:eastAsia="Times New Roman" w:cs="Arial"/>
          <w:bCs/>
          <w:iCs/>
        </w:rPr>
        <w:t>The committee met on five occasions during the year and was quorate each time. The committee’s activities during the year included:</w:t>
      </w:r>
    </w:p>
    <w:p w14:paraId="7114CD1C" w14:textId="77777777" w:rsidR="009868D1" w:rsidRPr="00DF66A0" w:rsidRDefault="009868D1" w:rsidP="0062761B">
      <w:pPr>
        <w:numPr>
          <w:ilvl w:val="0"/>
          <w:numId w:val="43"/>
        </w:numPr>
        <w:spacing w:before="0" w:after="0"/>
        <w:rPr>
          <w:rFonts w:eastAsia="Times New Roman" w:cs="Arial"/>
          <w:bCs/>
          <w:iCs/>
        </w:rPr>
      </w:pPr>
      <w:r w:rsidRPr="00DF66A0">
        <w:rPr>
          <w:rFonts w:eastAsia="Times New Roman" w:cs="Arial"/>
          <w:bCs/>
          <w:iCs/>
        </w:rPr>
        <w:t>overseeing delivery of primary medical care medical care services, including restoration of services, in light of national guidance and requirements during the COVID-19 pandemic;</w:t>
      </w:r>
    </w:p>
    <w:p w14:paraId="460D9FE9" w14:textId="77777777" w:rsidR="009868D1" w:rsidRPr="00DF66A0" w:rsidRDefault="009868D1" w:rsidP="0062761B">
      <w:pPr>
        <w:numPr>
          <w:ilvl w:val="0"/>
          <w:numId w:val="43"/>
        </w:numPr>
        <w:spacing w:before="0" w:after="0"/>
        <w:rPr>
          <w:rFonts w:eastAsia="Times New Roman" w:cs="Arial"/>
          <w:bCs/>
          <w:iCs/>
        </w:rPr>
      </w:pPr>
      <w:r w:rsidRPr="00DF66A0">
        <w:rPr>
          <w:rFonts w:eastAsia="Times New Roman" w:cs="Arial"/>
          <w:bCs/>
          <w:iCs/>
        </w:rPr>
        <w:t>reviewing the outcome of patient and public engagement in relation to the delivery of primary care medical services during the COVID-19 pandemic;</w:t>
      </w:r>
    </w:p>
    <w:p w14:paraId="13BC877D" w14:textId="77777777" w:rsidR="009868D1" w:rsidRPr="00DF66A0" w:rsidRDefault="009868D1" w:rsidP="0062761B">
      <w:pPr>
        <w:numPr>
          <w:ilvl w:val="0"/>
          <w:numId w:val="43"/>
        </w:numPr>
        <w:spacing w:before="0" w:after="0"/>
        <w:rPr>
          <w:rFonts w:eastAsia="Times New Roman" w:cs="Arial"/>
          <w:bCs/>
          <w:iCs/>
        </w:rPr>
      </w:pPr>
      <w:r w:rsidRPr="00DF66A0">
        <w:rPr>
          <w:rFonts w:eastAsia="Times New Roman" w:cs="Arial"/>
          <w:bCs/>
          <w:iCs/>
        </w:rPr>
        <w:t>implementation of the CCG’s Strategic Commissioning Plan for Primary Care, including development of Primary Care Networks, commissioning of services from Primary Care Networks and delivery of the national Primary Care Network service specifications;</w:t>
      </w:r>
    </w:p>
    <w:p w14:paraId="42A671B8" w14:textId="77777777" w:rsidR="009868D1" w:rsidRPr="00DF66A0" w:rsidRDefault="009868D1" w:rsidP="0062761B">
      <w:pPr>
        <w:numPr>
          <w:ilvl w:val="0"/>
          <w:numId w:val="43"/>
        </w:numPr>
        <w:spacing w:before="0" w:after="0"/>
        <w:rPr>
          <w:rFonts w:eastAsia="Times New Roman" w:cs="Arial"/>
          <w:bCs/>
          <w:iCs/>
        </w:rPr>
      </w:pPr>
      <w:r w:rsidRPr="00DF66A0">
        <w:rPr>
          <w:rFonts w:eastAsia="Times New Roman" w:cs="Arial"/>
          <w:bCs/>
          <w:iCs/>
        </w:rPr>
        <w:t>contractual issues – including contract mergers and list closure requests; and</w:t>
      </w:r>
    </w:p>
    <w:p w14:paraId="7DE8C105" w14:textId="76BDEF7A" w:rsidR="009868D1" w:rsidRPr="00E139EA" w:rsidRDefault="009868D1" w:rsidP="0062761B">
      <w:pPr>
        <w:numPr>
          <w:ilvl w:val="0"/>
          <w:numId w:val="43"/>
        </w:numPr>
        <w:spacing w:before="0" w:after="0"/>
        <w:rPr>
          <w:rFonts w:eastAsia="Times New Roman" w:cs="Arial"/>
          <w:bCs/>
          <w:iCs/>
        </w:rPr>
      </w:pPr>
      <w:r w:rsidRPr="00DF66A0">
        <w:rPr>
          <w:rFonts w:eastAsia="Times New Roman" w:cs="Arial"/>
          <w:bCs/>
          <w:iCs/>
        </w:rPr>
        <w:t>primary care workforce and primary care finance.</w:t>
      </w:r>
    </w:p>
    <w:p w14:paraId="6541CEEE" w14:textId="46957D86" w:rsidR="009868D1" w:rsidRPr="00DF66A0" w:rsidRDefault="009868D1" w:rsidP="009868D1">
      <w:pPr>
        <w:rPr>
          <w:rFonts w:eastAsia="Times New Roman" w:cs="Arial"/>
          <w:bCs/>
          <w:iCs/>
        </w:rPr>
      </w:pPr>
      <w:r w:rsidRPr="00DF66A0">
        <w:rPr>
          <w:rFonts w:eastAsia="Times New Roman" w:cs="Arial"/>
          <w:bCs/>
          <w:iCs/>
        </w:rPr>
        <w:t>Attendance at the Primary Care Commissioning Committee during the year was as follows</w:t>
      </w:r>
      <w:r w:rsidR="005813FF">
        <w:rPr>
          <w:rFonts w:eastAsia="Times New Roman" w:cs="Arial"/>
          <w:bCs/>
          <w:iCs/>
        </w:rPr>
        <w:t xml:space="preserve"> overleaf</w:t>
      </w:r>
      <w:r w:rsidRPr="00DF66A0">
        <w:rPr>
          <w:rFonts w:eastAsia="Times New Roman" w:cs="Arial"/>
          <w:bCs/>
          <w:iCs/>
        </w:rPr>
        <w:t>:</w:t>
      </w:r>
    </w:p>
    <w:p w14:paraId="7ABFE339" w14:textId="6F991381" w:rsidR="009868D1" w:rsidRPr="00E139EA" w:rsidRDefault="009868D1" w:rsidP="009868D1">
      <w:pPr>
        <w:rPr>
          <w:rFonts w:eastAsia="Times New Roman" w:cs="Arial"/>
          <w:b/>
          <w:color w:val="FF0000"/>
          <w:sz w:val="40"/>
          <w:szCs w:val="40"/>
        </w:rPr>
      </w:pPr>
      <w:r w:rsidRPr="00AA4737">
        <w:lastRenderedPageBreak/>
        <w:drawing>
          <wp:inline distT="0" distB="0" distL="0" distR="0" wp14:anchorId="5E1E705A" wp14:editId="50C9155F">
            <wp:extent cx="5731510" cy="4855845"/>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31510" cy="4855845"/>
                    </a:xfrm>
                    <a:prstGeom prst="rect">
                      <a:avLst/>
                    </a:prstGeom>
                    <a:noFill/>
                    <a:ln>
                      <a:noFill/>
                    </a:ln>
                  </pic:spPr>
                </pic:pic>
              </a:graphicData>
            </a:graphic>
          </wp:inline>
        </w:drawing>
      </w:r>
    </w:p>
    <w:p w14:paraId="2E7CF878" w14:textId="77777777" w:rsidR="009868D1" w:rsidRDefault="009868D1" w:rsidP="009868D1">
      <w:pPr>
        <w:rPr>
          <w:rFonts w:eastAsia="Times New Roman" w:cs="Arial"/>
          <w:b/>
          <w:bCs/>
          <w:iCs/>
        </w:rPr>
      </w:pPr>
      <w:r w:rsidRPr="00DF66A0">
        <w:rPr>
          <w:rFonts w:eastAsia="Times New Roman" w:cs="Arial"/>
          <w:b/>
          <w:bCs/>
          <w:iCs/>
        </w:rPr>
        <w:t xml:space="preserve">Remuneration Committee </w:t>
      </w:r>
    </w:p>
    <w:p w14:paraId="0B54E9B1" w14:textId="77777777" w:rsidR="009868D1" w:rsidRDefault="009868D1" w:rsidP="009868D1">
      <w:pPr>
        <w:pStyle w:val="xxmsonormal"/>
        <w:spacing w:after="120"/>
      </w:pPr>
      <w:r>
        <w:rPr>
          <w:rFonts w:ascii="Arial" w:hAnsi="Arial" w:cs="Arial"/>
        </w:rPr>
        <w:t>The purpose of the committee is to advise and assist the Governing Body in meeting its responsibilities on determinations about the remuneration, fees and other allowances for employees and for people who provide services to the CCG, and in particular for those officers employed on Very Senior Manager (VSM) terms and conditions. In so doing the committee has full regard to the organisation’s circumstances as well as the provisions of any national agreements and NHS England guidance as necessary.</w:t>
      </w:r>
    </w:p>
    <w:p w14:paraId="5395D376" w14:textId="77777777" w:rsidR="009868D1" w:rsidRPr="00D00D65" w:rsidRDefault="009868D1" w:rsidP="009868D1">
      <w:pPr>
        <w:pStyle w:val="xxmsonormal"/>
        <w:spacing w:after="120"/>
      </w:pPr>
      <w:r>
        <w:rPr>
          <w:rFonts w:ascii="Arial" w:hAnsi="Arial" w:cs="Arial"/>
        </w:rPr>
        <w:t>The committee met twice during the year and was quorate on each occasion. Highlights of the Committees activity included remuneration and terms of service considerations for VSMs. It also considered the update on the national terms and conditions for Agenda for Change and Statement of Appointments and Consultancy Contracts.</w:t>
      </w:r>
    </w:p>
    <w:p w14:paraId="29E9ECA2" w14:textId="11BF68FF" w:rsidR="009868D1" w:rsidRPr="00E139EA" w:rsidRDefault="009868D1" w:rsidP="009868D1">
      <w:pPr>
        <w:rPr>
          <w:rFonts w:eastAsia="Times New Roman" w:cs="Arial"/>
          <w:bCs/>
          <w:iCs/>
        </w:rPr>
      </w:pPr>
      <w:r w:rsidRPr="00DF66A0">
        <w:rPr>
          <w:rFonts w:eastAsia="Times New Roman" w:cs="Arial"/>
          <w:bCs/>
          <w:iCs/>
        </w:rPr>
        <w:t>Attendance at the Remuneration Committee during the year was as follows</w:t>
      </w:r>
      <w:r w:rsidR="005813FF">
        <w:rPr>
          <w:rFonts w:eastAsia="Times New Roman" w:cs="Arial"/>
          <w:bCs/>
          <w:iCs/>
        </w:rPr>
        <w:t xml:space="preserve"> overleaf</w:t>
      </w:r>
      <w:r w:rsidRPr="00DF66A0">
        <w:rPr>
          <w:rFonts w:eastAsia="Times New Roman" w:cs="Arial"/>
          <w:bCs/>
          <w:iCs/>
        </w:rPr>
        <w:t>:</w:t>
      </w:r>
    </w:p>
    <w:p w14:paraId="0CA5E05E" w14:textId="0DE8D4DD" w:rsidR="009868D1" w:rsidRPr="00E139EA" w:rsidRDefault="009868D1" w:rsidP="009868D1">
      <w:pPr>
        <w:rPr>
          <w:rFonts w:eastAsia="Times New Roman" w:cs="Arial"/>
          <w:b/>
          <w:color w:val="FF0000"/>
          <w:sz w:val="40"/>
          <w:szCs w:val="40"/>
        </w:rPr>
      </w:pPr>
      <w:r w:rsidRPr="0010768B">
        <w:lastRenderedPageBreak/>
        <w:drawing>
          <wp:inline distT="0" distB="0" distL="0" distR="0" wp14:anchorId="4D45ADD6" wp14:editId="28040685">
            <wp:extent cx="5655734" cy="3055952"/>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68117" cy="3062643"/>
                    </a:xfrm>
                    <a:prstGeom prst="rect">
                      <a:avLst/>
                    </a:prstGeom>
                    <a:noFill/>
                    <a:ln>
                      <a:noFill/>
                    </a:ln>
                  </pic:spPr>
                </pic:pic>
              </a:graphicData>
            </a:graphic>
          </wp:inline>
        </w:drawing>
      </w:r>
    </w:p>
    <w:p w14:paraId="529D225B" w14:textId="77777777" w:rsidR="009868D1" w:rsidRPr="00473401" w:rsidRDefault="009868D1" w:rsidP="009868D1">
      <w:pPr>
        <w:rPr>
          <w:rFonts w:eastAsia="Times New Roman" w:cs="Arial"/>
          <w:b/>
          <w:bCs/>
          <w:iCs/>
        </w:rPr>
      </w:pPr>
      <w:r w:rsidRPr="00473401">
        <w:rPr>
          <w:rFonts w:eastAsia="Times New Roman" w:cs="Arial"/>
          <w:b/>
          <w:bCs/>
          <w:iCs/>
        </w:rPr>
        <w:t xml:space="preserve">Integrated Commissioning Committee – Committees in Common </w:t>
      </w:r>
    </w:p>
    <w:p w14:paraId="20A73C1B" w14:textId="7F452380" w:rsidR="009868D1" w:rsidRPr="00473401" w:rsidRDefault="009868D1" w:rsidP="009868D1">
      <w:pPr>
        <w:rPr>
          <w:rFonts w:cs="Arial"/>
        </w:rPr>
      </w:pPr>
      <w:r w:rsidRPr="00473401">
        <w:rPr>
          <w:rFonts w:cs="Arial"/>
        </w:rPr>
        <w:t xml:space="preserve">The Integrated Commissioning Committee </w:t>
      </w:r>
      <w:r>
        <w:rPr>
          <w:rFonts w:cs="Arial"/>
        </w:rPr>
        <w:t>is established to</w:t>
      </w:r>
      <w:r w:rsidRPr="00473401">
        <w:rPr>
          <w:rFonts w:cs="Arial"/>
        </w:rPr>
        <w:t xml:space="preserve"> facilitat</w:t>
      </w:r>
      <w:r>
        <w:rPr>
          <w:rFonts w:cs="Arial"/>
        </w:rPr>
        <w:t>e</w:t>
      </w:r>
      <w:r w:rsidRPr="00473401">
        <w:rPr>
          <w:rFonts w:cs="Arial"/>
        </w:rPr>
        <w:t xml:space="preserve"> shared decision-making between the CCG and Hull City Council with respect to joint commissioning and the integrated financial plan. The committee met five times during </w:t>
      </w:r>
      <w:r>
        <w:rPr>
          <w:rFonts w:cs="Arial"/>
        </w:rPr>
        <w:t>2021</w:t>
      </w:r>
      <w:r w:rsidR="00886E22">
        <w:rPr>
          <w:rFonts w:cs="Arial"/>
        </w:rPr>
        <w:t>-</w:t>
      </w:r>
      <w:r>
        <w:rPr>
          <w:rFonts w:cs="Arial"/>
        </w:rPr>
        <w:t>22</w:t>
      </w:r>
      <w:r w:rsidRPr="00473401">
        <w:rPr>
          <w:rFonts w:cs="Arial"/>
        </w:rPr>
        <w:t xml:space="preserve"> and was quorate on each occasion. </w:t>
      </w:r>
    </w:p>
    <w:p w14:paraId="4AB9A80E" w14:textId="77777777" w:rsidR="009868D1" w:rsidRPr="00473401" w:rsidRDefault="009868D1" w:rsidP="009868D1">
      <w:pPr>
        <w:rPr>
          <w:rFonts w:cs="Arial"/>
        </w:rPr>
      </w:pPr>
      <w:r w:rsidRPr="00473401">
        <w:rPr>
          <w:rFonts w:cs="Arial"/>
        </w:rPr>
        <w:t>Topics that the Committee considered included:</w:t>
      </w:r>
    </w:p>
    <w:p w14:paraId="4F710F88" w14:textId="77777777" w:rsidR="009868D1" w:rsidRPr="00473401" w:rsidRDefault="009868D1" w:rsidP="0062761B">
      <w:pPr>
        <w:pStyle w:val="ListParagraph"/>
        <w:numPr>
          <w:ilvl w:val="0"/>
          <w:numId w:val="47"/>
        </w:numPr>
        <w:tabs>
          <w:tab w:val="clear" w:pos="2835"/>
          <w:tab w:val="clear" w:pos="5670"/>
          <w:tab w:val="clear" w:pos="9016"/>
        </w:tabs>
        <w:spacing w:before="0" w:after="0"/>
        <w:contextualSpacing w:val="0"/>
        <w:rPr>
          <w:rFonts w:eastAsia="Times New Roman" w:cs="Arial"/>
        </w:rPr>
      </w:pPr>
      <w:r w:rsidRPr="00473401">
        <w:rPr>
          <w:rFonts w:eastAsia="Times New Roman" w:cs="Arial"/>
        </w:rPr>
        <w:t xml:space="preserve">The recommissioning of Services relating to, amongst others, Independent Visitors and Advocacy, community navigation and advice, integrated General and Welfare Advice, partnership and Social Prescribing and Welfare advice. </w:t>
      </w:r>
    </w:p>
    <w:p w14:paraId="3F6DA435" w14:textId="77777777" w:rsidR="009868D1" w:rsidRPr="00473401" w:rsidRDefault="009868D1" w:rsidP="0062761B">
      <w:pPr>
        <w:pStyle w:val="ListParagraph"/>
        <w:numPr>
          <w:ilvl w:val="0"/>
          <w:numId w:val="47"/>
        </w:numPr>
        <w:tabs>
          <w:tab w:val="clear" w:pos="2835"/>
          <w:tab w:val="clear" w:pos="5670"/>
          <w:tab w:val="clear" w:pos="9016"/>
        </w:tabs>
        <w:spacing w:before="0" w:after="0"/>
        <w:contextualSpacing w:val="0"/>
        <w:rPr>
          <w:rFonts w:eastAsia="Times New Roman" w:cs="Arial"/>
        </w:rPr>
      </w:pPr>
      <w:r w:rsidRPr="00473401">
        <w:rPr>
          <w:rFonts w:eastAsia="Times New Roman" w:cs="Arial"/>
        </w:rPr>
        <w:t>Reviewed and agreed the development of a draft Food Strategy for Hull 2022-2027, approved the acceptance of a range of weight management grants and initiatives to support work to prevent and address obesity in the city</w:t>
      </w:r>
    </w:p>
    <w:p w14:paraId="6C4149E3" w14:textId="77777777" w:rsidR="009868D1" w:rsidRPr="00473401" w:rsidRDefault="009868D1" w:rsidP="0062761B">
      <w:pPr>
        <w:pStyle w:val="ListParagraph"/>
        <w:numPr>
          <w:ilvl w:val="0"/>
          <w:numId w:val="47"/>
        </w:numPr>
        <w:tabs>
          <w:tab w:val="clear" w:pos="2835"/>
          <w:tab w:val="clear" w:pos="5670"/>
          <w:tab w:val="clear" w:pos="9016"/>
        </w:tabs>
        <w:spacing w:before="0" w:after="0"/>
        <w:contextualSpacing w:val="0"/>
        <w:rPr>
          <w:rFonts w:eastAsia="Times New Roman" w:cs="Arial"/>
        </w:rPr>
      </w:pPr>
      <w:r w:rsidRPr="00473401">
        <w:rPr>
          <w:rFonts w:eastAsia="Times New Roman" w:cs="Arial"/>
        </w:rPr>
        <w:t>Next steps for the development of the Hull Mental Health and Learning Disability Social Work Services and the Hull Send Strategy 2021-2024</w:t>
      </w:r>
    </w:p>
    <w:p w14:paraId="1FBC71FE" w14:textId="77777777" w:rsidR="009868D1" w:rsidRPr="00473401" w:rsidRDefault="009868D1" w:rsidP="0062761B">
      <w:pPr>
        <w:pStyle w:val="ListParagraph"/>
        <w:numPr>
          <w:ilvl w:val="0"/>
          <w:numId w:val="47"/>
        </w:numPr>
        <w:tabs>
          <w:tab w:val="clear" w:pos="2835"/>
          <w:tab w:val="clear" w:pos="5670"/>
          <w:tab w:val="clear" w:pos="9016"/>
        </w:tabs>
        <w:spacing w:before="0" w:after="0"/>
        <w:contextualSpacing w:val="0"/>
        <w:rPr>
          <w:rFonts w:eastAsia="Times New Roman" w:cs="Arial"/>
        </w:rPr>
      </w:pPr>
      <w:r w:rsidRPr="00473401">
        <w:rPr>
          <w:rFonts w:eastAsia="Times New Roman" w:cs="Arial"/>
        </w:rPr>
        <w:t>They also approved a phased integrated procurement approach for the commissioning of services for homeless people at risk of rough sleeping and authorised acceptance and distribution of a Rough Sleeping Drug and Alcohol Treatment from Public Health England to fund drug and alcohol treatment</w:t>
      </w:r>
    </w:p>
    <w:p w14:paraId="1B6DDFBD" w14:textId="77777777" w:rsidR="009868D1" w:rsidRPr="00473401" w:rsidRDefault="009868D1" w:rsidP="0062761B">
      <w:pPr>
        <w:pStyle w:val="ListParagraph"/>
        <w:numPr>
          <w:ilvl w:val="0"/>
          <w:numId w:val="48"/>
        </w:numPr>
        <w:tabs>
          <w:tab w:val="clear" w:pos="2835"/>
          <w:tab w:val="clear" w:pos="5670"/>
          <w:tab w:val="clear" w:pos="9016"/>
        </w:tabs>
        <w:spacing w:before="0" w:after="0"/>
        <w:contextualSpacing w:val="0"/>
        <w:rPr>
          <w:rFonts w:eastAsia="Times New Roman" w:cs="Arial"/>
        </w:rPr>
      </w:pPr>
      <w:r w:rsidRPr="00473401">
        <w:rPr>
          <w:rFonts w:eastAsia="Times New Roman" w:cs="Arial"/>
        </w:rPr>
        <w:t xml:space="preserve">Authorized transitional arrangements for Thornton Court and Redirection of Resources to meet discharge to assess guidance </w:t>
      </w:r>
    </w:p>
    <w:p w14:paraId="612D0D8E" w14:textId="77777777" w:rsidR="009868D1" w:rsidRPr="00473401" w:rsidRDefault="009868D1" w:rsidP="0062761B">
      <w:pPr>
        <w:pStyle w:val="ListParagraph"/>
        <w:numPr>
          <w:ilvl w:val="0"/>
          <w:numId w:val="48"/>
        </w:numPr>
        <w:tabs>
          <w:tab w:val="clear" w:pos="2835"/>
          <w:tab w:val="clear" w:pos="5670"/>
          <w:tab w:val="clear" w:pos="9016"/>
        </w:tabs>
        <w:spacing w:before="0" w:after="0"/>
        <w:contextualSpacing w:val="0"/>
        <w:rPr>
          <w:rFonts w:eastAsia="Times New Roman" w:cs="Arial"/>
        </w:rPr>
      </w:pPr>
      <w:r w:rsidRPr="00473401">
        <w:rPr>
          <w:rFonts w:eastAsia="Times New Roman" w:cs="Arial"/>
        </w:rPr>
        <w:t>A further grant towards the delivery of projects aimed at addressing mental health in the workplace, in addition and agreed a Prevention and Promotion Fund for Better Mental Health 2021-2022</w:t>
      </w:r>
    </w:p>
    <w:p w14:paraId="186DEDC2" w14:textId="77777777" w:rsidR="009868D1" w:rsidRPr="00473401" w:rsidRDefault="009868D1" w:rsidP="0062761B">
      <w:pPr>
        <w:pStyle w:val="ListParagraph"/>
        <w:numPr>
          <w:ilvl w:val="0"/>
          <w:numId w:val="48"/>
        </w:numPr>
        <w:tabs>
          <w:tab w:val="clear" w:pos="2835"/>
          <w:tab w:val="clear" w:pos="5670"/>
          <w:tab w:val="clear" w:pos="9016"/>
        </w:tabs>
        <w:spacing w:before="0" w:after="0"/>
        <w:contextualSpacing w:val="0"/>
        <w:rPr>
          <w:rFonts w:eastAsia="Times New Roman" w:cs="Arial"/>
        </w:rPr>
      </w:pPr>
      <w:r w:rsidRPr="00473401">
        <w:rPr>
          <w:rFonts w:eastAsia="Times New Roman" w:cs="Arial"/>
        </w:rPr>
        <w:t>Approved the changes to the Better Care Fund– Outturn 2020/21</w:t>
      </w:r>
    </w:p>
    <w:p w14:paraId="59A13D3F" w14:textId="0BAB8B2A" w:rsidR="009868D1" w:rsidRPr="00E139EA" w:rsidRDefault="009868D1" w:rsidP="0062761B">
      <w:pPr>
        <w:pStyle w:val="ListParagraph"/>
        <w:numPr>
          <w:ilvl w:val="0"/>
          <w:numId w:val="48"/>
        </w:numPr>
        <w:tabs>
          <w:tab w:val="clear" w:pos="2835"/>
          <w:tab w:val="clear" w:pos="5670"/>
          <w:tab w:val="clear" w:pos="9016"/>
        </w:tabs>
        <w:spacing w:before="0" w:after="0"/>
        <w:contextualSpacing w:val="0"/>
        <w:rPr>
          <w:rFonts w:eastAsia="Times New Roman" w:cs="Arial"/>
        </w:rPr>
      </w:pPr>
      <w:r w:rsidRPr="00473401">
        <w:rPr>
          <w:rFonts w:eastAsia="Times New Roman" w:cs="Arial"/>
        </w:rPr>
        <w:t>Agreed the proposal to develop an Alliance Contract for integrated health and social care provision in the city of Hull</w:t>
      </w:r>
    </w:p>
    <w:p w14:paraId="2F1E89E3" w14:textId="00B49DB6" w:rsidR="009868D1" w:rsidRPr="00473401" w:rsidRDefault="009868D1" w:rsidP="009868D1">
      <w:r w:rsidRPr="00473401">
        <w:rPr>
          <w:rFonts w:eastAsia="Times New Roman" w:cs="Arial"/>
          <w:bCs/>
          <w:iCs/>
        </w:rPr>
        <w:t>Attendance at the committee was as follows</w:t>
      </w:r>
      <w:r w:rsidR="005813FF">
        <w:rPr>
          <w:rFonts w:eastAsia="Times New Roman" w:cs="Arial"/>
          <w:bCs/>
          <w:iCs/>
        </w:rPr>
        <w:t xml:space="preserve"> overleaf</w:t>
      </w:r>
      <w:r w:rsidRPr="00473401">
        <w:rPr>
          <w:rFonts w:eastAsia="Times New Roman" w:cs="Arial"/>
          <w:bCs/>
          <w:iCs/>
        </w:rPr>
        <w:t>:</w:t>
      </w:r>
      <w:r w:rsidRPr="00473401">
        <w:t xml:space="preserve"> </w:t>
      </w:r>
    </w:p>
    <w:p w14:paraId="419CA5C7" w14:textId="77777777" w:rsidR="009868D1" w:rsidRPr="00D32B30" w:rsidRDefault="009868D1" w:rsidP="009868D1">
      <w:pPr>
        <w:rPr>
          <w:rFonts w:eastAsia="Times New Roman" w:cs="Arial"/>
          <w:b/>
          <w:color w:val="FF0000"/>
          <w:sz w:val="40"/>
          <w:szCs w:val="40"/>
        </w:rPr>
      </w:pPr>
      <w:r w:rsidRPr="002A124A">
        <w:lastRenderedPageBreak/>
        <w:drawing>
          <wp:inline distT="0" distB="0" distL="0" distR="0" wp14:anchorId="53266C6C" wp14:editId="041A569C">
            <wp:extent cx="5731510" cy="2205990"/>
            <wp:effectExtent l="0" t="0" r="254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31510" cy="2205990"/>
                    </a:xfrm>
                    <a:prstGeom prst="rect">
                      <a:avLst/>
                    </a:prstGeom>
                    <a:noFill/>
                    <a:ln>
                      <a:noFill/>
                    </a:ln>
                  </pic:spPr>
                </pic:pic>
              </a:graphicData>
            </a:graphic>
          </wp:inline>
        </w:drawing>
      </w:r>
    </w:p>
    <w:p w14:paraId="319094BE" w14:textId="77777777" w:rsidR="009868D1" w:rsidRPr="00072837" w:rsidRDefault="009868D1" w:rsidP="009868D1">
      <w:pPr>
        <w:rPr>
          <w:rFonts w:eastAsia="Times New Roman" w:cs="Arial"/>
          <w:bCs/>
          <w:iCs/>
        </w:rPr>
      </w:pPr>
    </w:p>
    <w:p w14:paraId="12A70183" w14:textId="77777777" w:rsidR="009868D1" w:rsidRPr="00473401" w:rsidRDefault="009868D1" w:rsidP="009868D1">
      <w:pPr>
        <w:keepNext/>
        <w:keepLines/>
        <w:outlineLvl w:val="3"/>
        <w:rPr>
          <w:rFonts w:eastAsiaTheme="majorEastAsia" w:cs="Arial"/>
          <w:b/>
          <w:bCs/>
          <w:iCs/>
        </w:rPr>
      </w:pPr>
      <w:bookmarkStart w:id="119" w:name="_Toc437807151"/>
      <w:bookmarkStart w:id="120" w:name="_Toc437807153"/>
      <w:r w:rsidRPr="00473401">
        <w:rPr>
          <w:rFonts w:eastAsiaTheme="majorEastAsia" w:cs="Arial"/>
          <w:b/>
          <w:bCs/>
          <w:iCs/>
        </w:rPr>
        <w:t>UK Corporate Governance Code</w:t>
      </w:r>
      <w:bookmarkEnd w:id="119"/>
    </w:p>
    <w:p w14:paraId="7265C68D" w14:textId="465A6F3F" w:rsidR="009868D1" w:rsidRDefault="009868D1" w:rsidP="009868D1">
      <w:pPr>
        <w:rPr>
          <w:rFonts w:eastAsia="Times New Roman" w:cs="Arial"/>
        </w:rPr>
      </w:pPr>
      <w:r w:rsidRPr="00473401">
        <w:rPr>
          <w:rFonts w:eastAsia="Times New Roman" w:cs="Arial"/>
        </w:rPr>
        <w:t>NHS Bodies are not required to comply with the UK Code of Corporate Governance</w:t>
      </w:r>
      <w:r>
        <w:rPr>
          <w:rFonts w:eastAsia="Times New Roman" w:cs="Arial"/>
        </w:rPr>
        <w:t>, h</w:t>
      </w:r>
      <w:r w:rsidRPr="00473401">
        <w:rPr>
          <w:rFonts w:eastAsia="Times New Roman" w:cs="Arial"/>
        </w:rPr>
        <w:t>owever, we have reported on our corporate governance arrangements by drawing upon the best practice available, including those aspects of the UK Corporate Governance Code we consider to be relevant to the CCG.</w:t>
      </w:r>
    </w:p>
    <w:p w14:paraId="36012009" w14:textId="166A987C" w:rsidR="009868D1" w:rsidRDefault="009868D1" w:rsidP="009868D1">
      <w:pPr>
        <w:rPr>
          <w:rFonts w:eastAsia="Times New Roman" w:cs="Arial"/>
        </w:rPr>
      </w:pPr>
      <w:r w:rsidRPr="00473401">
        <w:rPr>
          <w:rFonts w:eastAsia="Times New Roman" w:cs="Arial"/>
        </w:rPr>
        <w:t>In particular, we have described through the narrative within this annual governance statement and our annual report and accounts four of the five main principles of the Code; namely, leadership, effectiveness, accountability and remuneration.</w:t>
      </w:r>
    </w:p>
    <w:p w14:paraId="25B551B3" w14:textId="1268834C" w:rsidR="009868D1" w:rsidRPr="00E139EA" w:rsidRDefault="009868D1" w:rsidP="00E139EA">
      <w:pPr>
        <w:rPr>
          <w:rFonts w:eastAsia="Times New Roman" w:cs="Arial"/>
        </w:rPr>
      </w:pPr>
      <w:r w:rsidRPr="00473401">
        <w:rPr>
          <w:rFonts w:eastAsia="Times New Roman" w:cs="Arial"/>
        </w:rPr>
        <w:t>The CCG is a statutory NHS organisation. It does not have shareholders and we do not therefore report on our compliance with the fifth main principle of the Code; relations with shareholders. We do however set out within this annual governance statement and our annual report and accounts how we have discharged our responsibilities with regards to our members and the general public.</w:t>
      </w:r>
      <w:bookmarkStart w:id="121" w:name="_Toc437807166"/>
    </w:p>
    <w:p w14:paraId="380C0DA7" w14:textId="77777777" w:rsidR="009868D1" w:rsidRPr="00473401" w:rsidRDefault="009868D1" w:rsidP="009868D1">
      <w:pPr>
        <w:keepNext/>
        <w:keepLines/>
        <w:outlineLvl w:val="3"/>
        <w:rPr>
          <w:rFonts w:eastAsiaTheme="majorEastAsia" w:cs="Arial"/>
          <w:b/>
          <w:bCs/>
          <w:iCs/>
        </w:rPr>
      </w:pPr>
      <w:r w:rsidRPr="00473401">
        <w:rPr>
          <w:rFonts w:eastAsiaTheme="majorEastAsia" w:cs="Arial"/>
          <w:b/>
          <w:bCs/>
          <w:iCs/>
        </w:rPr>
        <w:t>Discharge of Statutory Functions</w:t>
      </w:r>
      <w:bookmarkEnd w:id="121"/>
      <w:r w:rsidRPr="00473401">
        <w:rPr>
          <w:rFonts w:eastAsiaTheme="majorEastAsia" w:cs="Arial"/>
          <w:b/>
          <w:bCs/>
          <w:iCs/>
        </w:rPr>
        <w:t xml:space="preserve"> </w:t>
      </w:r>
    </w:p>
    <w:p w14:paraId="323A5600" w14:textId="4E81C191" w:rsidR="009868D1" w:rsidRPr="00473401" w:rsidRDefault="009868D1" w:rsidP="009868D1">
      <w:pPr>
        <w:rPr>
          <w:rFonts w:eastAsia="Calibri" w:cs="Arial"/>
        </w:rPr>
      </w:pPr>
      <w:r w:rsidRPr="00473401">
        <w:rPr>
          <w:rFonts w:eastAsia="Calibri" w:cs="Arial"/>
        </w:rPr>
        <w:t xml:space="preserve">In light of recommendations of the 2013 Harris Review, </w:t>
      </w:r>
      <w:r w:rsidRPr="00473401">
        <w:rPr>
          <w:rFonts w:eastAsia="Times New Roman" w:cs="Arial"/>
        </w:rPr>
        <w:t>the clinical commissioning group</w:t>
      </w:r>
      <w:r w:rsidRPr="00473401">
        <w:rPr>
          <w:rFonts w:eastAsia="Calibri" w:cs="Arial"/>
        </w:rPr>
        <w:t xml:space="preserve"> has reviewed all of the statutory duties and powers conferred on it by the </w:t>
      </w:r>
      <w:r w:rsidRPr="00473401">
        <w:rPr>
          <w:rFonts w:eastAsia="Times New Roman" w:cs="Arial"/>
        </w:rPr>
        <w:t>National Health Service</w:t>
      </w:r>
      <w:r w:rsidRPr="00473401">
        <w:rPr>
          <w:rFonts w:eastAsia="Calibri" w:cs="Arial"/>
        </w:rPr>
        <w:t xml:space="preserve"> Act 2006 (as amended) and other associated legislative and regulations.  As a result, I can confirm that </w:t>
      </w:r>
      <w:r w:rsidRPr="00473401">
        <w:rPr>
          <w:rFonts w:eastAsia="Times New Roman" w:cs="Arial"/>
        </w:rPr>
        <w:t>the clinical commissioning group is</w:t>
      </w:r>
      <w:r w:rsidRPr="00473401">
        <w:rPr>
          <w:rFonts w:eastAsia="Calibri" w:cs="Arial"/>
        </w:rPr>
        <w:t xml:space="preserve"> clear about the legislative requirements associated with each of the statutory functions for which it is responsible, including any restrictions on delegation of those functions.</w:t>
      </w:r>
    </w:p>
    <w:p w14:paraId="03021BE4" w14:textId="77777777" w:rsidR="009868D1" w:rsidRDefault="009868D1" w:rsidP="009868D1">
      <w:pPr>
        <w:rPr>
          <w:rFonts w:eastAsia="Calibri" w:cs="Arial"/>
        </w:rPr>
      </w:pPr>
      <w:r w:rsidRPr="00473401">
        <w:rPr>
          <w:rFonts w:eastAsia="Calibri" w:cs="Arial"/>
        </w:rPr>
        <w:t xml:space="preserve">Responsibility for each duty and power has been clearly allocated to a lead Director.  Directorates have confirmed that their structures provide the necessary capability and capacity to undertake all of </w:t>
      </w:r>
      <w:r w:rsidRPr="00473401">
        <w:rPr>
          <w:rFonts w:eastAsia="Times New Roman" w:cs="Arial"/>
        </w:rPr>
        <w:t>the clinical commissioning group</w:t>
      </w:r>
      <w:r w:rsidRPr="00473401">
        <w:rPr>
          <w:rFonts w:eastAsia="Calibri" w:cs="Arial"/>
        </w:rPr>
        <w:t>’s statutory duties.</w:t>
      </w:r>
    </w:p>
    <w:p w14:paraId="02F49DCC" w14:textId="77777777" w:rsidR="009868D1" w:rsidRPr="00473401" w:rsidRDefault="009868D1" w:rsidP="009868D1">
      <w:pPr>
        <w:rPr>
          <w:rFonts w:eastAsia="Calibri" w:cs="Arial"/>
        </w:rPr>
      </w:pPr>
    </w:p>
    <w:p w14:paraId="7D5655C7" w14:textId="77777777" w:rsidR="009868D1" w:rsidRPr="00473401" w:rsidRDefault="009868D1" w:rsidP="009868D1">
      <w:pPr>
        <w:keepNext/>
        <w:keepLines/>
        <w:outlineLvl w:val="3"/>
        <w:rPr>
          <w:rFonts w:eastAsiaTheme="majorEastAsia" w:cs="Arial"/>
          <w:b/>
          <w:bCs/>
          <w:iCs/>
        </w:rPr>
      </w:pPr>
      <w:r w:rsidRPr="00473401">
        <w:rPr>
          <w:rFonts w:eastAsiaTheme="majorEastAsia" w:cs="Arial"/>
          <w:b/>
          <w:bCs/>
          <w:iCs/>
        </w:rPr>
        <w:t xml:space="preserve">Risk </w:t>
      </w:r>
      <w:bookmarkEnd w:id="120"/>
      <w:r w:rsidRPr="00473401">
        <w:rPr>
          <w:rFonts w:eastAsiaTheme="majorEastAsia" w:cs="Arial"/>
          <w:b/>
          <w:bCs/>
          <w:iCs/>
        </w:rPr>
        <w:t xml:space="preserve">management arrangements and effectiveness </w:t>
      </w:r>
    </w:p>
    <w:p w14:paraId="7425ACBF" w14:textId="77777777" w:rsidR="009868D1" w:rsidRPr="00473401" w:rsidRDefault="009868D1" w:rsidP="009868D1">
      <w:pPr>
        <w:rPr>
          <w:rFonts w:eastAsia="Times New Roman" w:cs="Arial"/>
        </w:rPr>
      </w:pPr>
      <w:r w:rsidRPr="00473401">
        <w:rPr>
          <w:rFonts w:eastAsia="Times New Roman" w:cs="Arial"/>
        </w:rPr>
        <w:t>The CCG maintains a Risk Management Strategy which sets out its appetite for risk, together with the practical means through which risk is identified and evaluated as well as the control mechanisms through which it is managed. It creates a framework to achieve a culture that encourages staff to:</w:t>
      </w:r>
    </w:p>
    <w:p w14:paraId="6460FE84" w14:textId="77777777" w:rsidR="009868D1" w:rsidRPr="001C5459" w:rsidRDefault="009868D1" w:rsidP="0062761B">
      <w:pPr>
        <w:numPr>
          <w:ilvl w:val="0"/>
          <w:numId w:val="43"/>
        </w:numPr>
        <w:spacing w:before="0" w:after="0"/>
        <w:rPr>
          <w:rFonts w:eastAsia="Times New Roman" w:cs="Arial"/>
        </w:rPr>
      </w:pPr>
      <w:r w:rsidRPr="001C5459">
        <w:rPr>
          <w:rFonts w:eastAsia="Times New Roman" w:cs="Arial"/>
        </w:rPr>
        <w:lastRenderedPageBreak/>
        <w:t>Avoid undue risk aversion but rather identify and control risks which may adversely affect the operational ability of the CCG;</w:t>
      </w:r>
    </w:p>
    <w:p w14:paraId="7810F3C7" w14:textId="77777777" w:rsidR="009868D1" w:rsidRPr="001C5459" w:rsidRDefault="009868D1" w:rsidP="0062761B">
      <w:pPr>
        <w:numPr>
          <w:ilvl w:val="0"/>
          <w:numId w:val="43"/>
        </w:numPr>
        <w:spacing w:before="0" w:after="0"/>
        <w:rPr>
          <w:rFonts w:eastAsia="Times New Roman" w:cs="Arial"/>
        </w:rPr>
      </w:pPr>
      <w:r w:rsidRPr="001C5459">
        <w:rPr>
          <w:rFonts w:eastAsia="Times New Roman" w:cs="Arial"/>
        </w:rPr>
        <w:t>Compare and prioritise risks in a consistent manner using defined risk grading guidance; and</w:t>
      </w:r>
    </w:p>
    <w:p w14:paraId="69B298EA" w14:textId="1C3D9EF6" w:rsidR="009868D1" w:rsidRDefault="009868D1" w:rsidP="0062761B">
      <w:pPr>
        <w:numPr>
          <w:ilvl w:val="0"/>
          <w:numId w:val="43"/>
        </w:numPr>
        <w:spacing w:before="0" w:after="0"/>
        <w:rPr>
          <w:rFonts w:eastAsia="Times New Roman" w:cs="Arial"/>
        </w:rPr>
      </w:pPr>
      <w:r w:rsidRPr="001C5459">
        <w:rPr>
          <w:rFonts w:eastAsia="Times New Roman" w:cs="Arial"/>
        </w:rPr>
        <w:t>Where possible, eliminate or transfer risks or reduce them to an acceptable and cost effective level or otherwise ensure the organisation accepts the remaining risk.</w:t>
      </w:r>
    </w:p>
    <w:p w14:paraId="0308077B" w14:textId="77777777" w:rsidR="00E139EA" w:rsidRPr="00E139EA" w:rsidRDefault="00E139EA" w:rsidP="00E139EA">
      <w:pPr>
        <w:spacing w:before="0" w:after="0"/>
        <w:ind w:left="786"/>
        <w:rPr>
          <w:rFonts w:eastAsia="Times New Roman" w:cs="Arial"/>
        </w:rPr>
      </w:pPr>
    </w:p>
    <w:p w14:paraId="5B57A73F" w14:textId="6613B16E" w:rsidR="009868D1" w:rsidRPr="001C5459" w:rsidRDefault="009868D1" w:rsidP="009868D1">
      <w:pPr>
        <w:rPr>
          <w:rFonts w:eastAsia="Times New Roman" w:cs="Arial"/>
        </w:rPr>
      </w:pPr>
      <w:r w:rsidRPr="001C5459">
        <w:rPr>
          <w:rFonts w:eastAsia="Times New Roman" w:cs="Arial"/>
        </w:rPr>
        <w:t xml:space="preserve">The Risk Management Strategy was reviewed and updated in February 2022. The CCG maintains a Risk Register through an electronic reporting system which is accessible to all staff. </w:t>
      </w:r>
    </w:p>
    <w:p w14:paraId="4C7F6285" w14:textId="1C8AA833" w:rsidR="009868D1" w:rsidRPr="001C5459" w:rsidRDefault="009868D1" w:rsidP="009868D1">
      <w:pPr>
        <w:rPr>
          <w:rFonts w:eastAsia="Times New Roman" w:cs="Arial"/>
        </w:rPr>
      </w:pPr>
      <w:r w:rsidRPr="001C5459">
        <w:rPr>
          <w:rFonts w:eastAsia="Times New Roman" w:cs="Arial"/>
        </w:rPr>
        <w:t>Risks are systematically reviewed at the Integrated Audit and Governance Committee and other committees of the Governing Body, senior managers and individual risk owners. The Risk Register assesses the original and mitigated risks for their impact and likelihood and tracks the progress of individual risks over time through a standardised risk grading matrix. Risks that increase in rating are subject to additional scrutiny and review.</w:t>
      </w:r>
    </w:p>
    <w:p w14:paraId="0F0BF30F" w14:textId="0E6371D7" w:rsidR="009868D1" w:rsidRDefault="009868D1" w:rsidP="009868D1">
      <w:pPr>
        <w:rPr>
          <w:rFonts w:eastAsia="Times New Roman" w:cs="Arial"/>
        </w:rPr>
      </w:pPr>
      <w:r w:rsidRPr="001C5459">
        <w:rPr>
          <w:rFonts w:eastAsia="Times New Roman" w:cs="Arial"/>
        </w:rPr>
        <w:t>All formal papers, strategies or policies to the Council of Members, Governing Body or its committees are assessed for their risks against the defined framework. All new or updated policies of the CCG are subject to equality impact assessments which gauge and mitigate wider public risks.</w:t>
      </w:r>
    </w:p>
    <w:p w14:paraId="15F17AAE" w14:textId="1812F942" w:rsidR="009868D1" w:rsidRDefault="009868D1" w:rsidP="009868D1">
      <w:pPr>
        <w:rPr>
          <w:rFonts w:eastAsia="Times New Roman" w:cs="Arial"/>
        </w:rPr>
      </w:pPr>
      <w:r w:rsidRPr="001C5459">
        <w:rPr>
          <w:rFonts w:eastAsia="Times New Roman" w:cs="Arial"/>
        </w:rPr>
        <w:t xml:space="preserve">The CCG maintains an active programme of engagement with the public and other stakeholders on key strategic and service decisions and considers its plans in the light of any risks identified. This work includes engagement with the CCG’s </w:t>
      </w:r>
      <w:r w:rsidRPr="00AC5E16">
        <w:rPr>
          <w:rFonts w:cs="Arial"/>
        </w:rPr>
        <w:t>Hull health champions, local businesses, community groups and voluntary sector organisations</w:t>
      </w:r>
      <w:r w:rsidRPr="00AC5E16">
        <w:rPr>
          <w:rFonts w:eastAsia="Times New Roman" w:cs="Arial"/>
        </w:rPr>
        <w:t>, the CCG</w:t>
      </w:r>
      <w:r w:rsidRPr="001C5459">
        <w:rPr>
          <w:rFonts w:eastAsia="Times New Roman" w:cs="Arial"/>
        </w:rPr>
        <w:t xml:space="preserve"> equality group and a combination of formal and informal consultations on key aspects of its commissioning programme. </w:t>
      </w:r>
    </w:p>
    <w:p w14:paraId="4273FC4A" w14:textId="2AF11CA3" w:rsidR="009868D1" w:rsidRPr="001C5459" w:rsidRDefault="009868D1" w:rsidP="009868D1">
      <w:pPr>
        <w:rPr>
          <w:rFonts w:eastAsia="Times New Roman" w:cs="Arial"/>
        </w:rPr>
      </w:pPr>
      <w:r w:rsidRPr="001C5459">
        <w:rPr>
          <w:rFonts w:eastAsia="Times New Roman" w:cs="Arial"/>
        </w:rPr>
        <w:t>The system has been in place in the CCG for the year ended 31 March 2022 and up to the date of approval of the Annual Report and Accounts. The process of review and strengthening of the risk and control framework of the CCG will continue throughout 2022/23</w:t>
      </w:r>
      <w:r>
        <w:rPr>
          <w:rFonts w:eastAsia="Times New Roman" w:cs="Arial"/>
        </w:rPr>
        <w:t xml:space="preserve"> as part of the subsequent risk and control framework for the Humber and North Yorkshire Integrated Care Board</w:t>
      </w:r>
      <w:r w:rsidRPr="001C5459">
        <w:rPr>
          <w:rFonts w:eastAsia="Times New Roman" w:cs="Arial"/>
        </w:rPr>
        <w:t>.</w:t>
      </w:r>
    </w:p>
    <w:p w14:paraId="76A279DF" w14:textId="77777777" w:rsidR="009868D1" w:rsidRPr="001C5459" w:rsidRDefault="009868D1" w:rsidP="009868D1">
      <w:pPr>
        <w:keepNext/>
        <w:keepLines/>
        <w:outlineLvl w:val="4"/>
        <w:rPr>
          <w:rFonts w:eastAsiaTheme="majorEastAsia" w:cs="Arial"/>
          <w:b/>
        </w:rPr>
      </w:pPr>
      <w:bookmarkStart w:id="122" w:name="_Toc437807154"/>
      <w:bookmarkStart w:id="123" w:name="_Toc437807160"/>
      <w:r w:rsidRPr="001C5459">
        <w:rPr>
          <w:rFonts w:eastAsiaTheme="majorEastAsia" w:cs="Arial"/>
          <w:b/>
        </w:rPr>
        <w:t xml:space="preserve">Capacity to Handle Risk </w:t>
      </w:r>
    </w:p>
    <w:p w14:paraId="3E105748" w14:textId="7EE473E0" w:rsidR="009868D1" w:rsidRPr="001C5459" w:rsidRDefault="009868D1" w:rsidP="009868D1">
      <w:pPr>
        <w:rPr>
          <w:rFonts w:cs="Arial"/>
        </w:rPr>
      </w:pPr>
      <w:r w:rsidRPr="001C5459">
        <w:rPr>
          <w:rFonts w:cs="Arial"/>
        </w:rPr>
        <w:t>The CCG’s Accountable Officer has overall responsibility for risk management.  Through delegated responsibility the Associate Director of Corporate Affairs has day to day management of the organisations risk management process. The specific responsibilities of other committees, senior officers, lay members and all other staff within the CCG are clearly articulated.</w:t>
      </w:r>
    </w:p>
    <w:p w14:paraId="2AEA98B6" w14:textId="4F1A1B2D" w:rsidR="009868D1" w:rsidRPr="001C5459" w:rsidRDefault="009868D1" w:rsidP="009868D1">
      <w:pPr>
        <w:rPr>
          <w:rFonts w:cs="Arial"/>
        </w:rPr>
      </w:pPr>
      <w:r w:rsidRPr="001C5459">
        <w:rPr>
          <w:rFonts w:cs="Arial"/>
        </w:rPr>
        <w:t>The Board Assurance Framework is an essential part of the CCG’s risk and governance arrangements. It provides the means through which threats to the achievement of the organisation’s strategic objectives are clearly identified, assessed and mitigated.  It has been subject to regular review throughout 2021</w:t>
      </w:r>
      <w:r w:rsidR="00886E22">
        <w:rPr>
          <w:rFonts w:cs="Arial"/>
        </w:rPr>
        <w:t>-</w:t>
      </w:r>
      <w:r w:rsidRPr="001C5459">
        <w:rPr>
          <w:rFonts w:cs="Arial"/>
        </w:rPr>
        <w:t xml:space="preserve">22 and is received at each meeting of the Integrated Audit and Governance Committee. The committee provides an opinion to the Governing Body as to the adequacy of the assurances available with respect to management of the risks identified within the Board Assurance Framework. In doing so the committee draws upon the sources of assurance available to it, including the work of the CCG’s external auditors, a comprehensive internal audit programme and the work of NHS Counter Fraud Authority. </w:t>
      </w:r>
    </w:p>
    <w:p w14:paraId="3A100071" w14:textId="7A9CC5BC" w:rsidR="009868D1" w:rsidRDefault="009868D1" w:rsidP="009868D1">
      <w:pPr>
        <w:rPr>
          <w:rFonts w:cs="Arial"/>
        </w:rPr>
      </w:pPr>
      <w:r w:rsidRPr="001C5459">
        <w:rPr>
          <w:rFonts w:cs="Arial"/>
        </w:rPr>
        <w:t>In April 2021 the Governing Body completed a comprehensive review of the risks within the Board Assurance Framework to ensure that these continue to reflect the evolving strategic objectives of the organisation as well as its updated strategic plan.</w:t>
      </w:r>
      <w:r>
        <w:rPr>
          <w:rFonts w:cs="Arial"/>
        </w:rPr>
        <w:t xml:space="preserve"> These were reviewed further by the </w:t>
      </w:r>
      <w:r>
        <w:rPr>
          <w:rFonts w:cs="Arial"/>
        </w:rPr>
        <w:lastRenderedPageBreak/>
        <w:t>Governing Body in February 2022 in the light of the extension to the existence of the CCG to 30</w:t>
      </w:r>
      <w:r w:rsidRPr="004370E2">
        <w:rPr>
          <w:rFonts w:cs="Arial"/>
          <w:vertAlign w:val="superscript"/>
        </w:rPr>
        <w:t>th</w:t>
      </w:r>
      <w:r>
        <w:rPr>
          <w:rFonts w:cs="Arial"/>
        </w:rPr>
        <w:t xml:space="preserve"> June 2022.</w:t>
      </w:r>
    </w:p>
    <w:p w14:paraId="48FE3074" w14:textId="6B5ABCF9" w:rsidR="009868D1" w:rsidRPr="001C5459" w:rsidRDefault="009868D1" w:rsidP="009868D1">
      <w:pPr>
        <w:rPr>
          <w:rFonts w:cs="Arial"/>
        </w:rPr>
      </w:pPr>
      <w:r w:rsidRPr="001C5459">
        <w:rPr>
          <w:rFonts w:cs="Arial"/>
        </w:rPr>
        <w:t>The Integrated Audit and Governance Committee maintains oversight of the risks to the CCG through review of the Risk Register at each of its meetings. It provides an opinion to the Governing Body as to the adequacy of assurances available with respect to the control mechanisms for risk. The other committees of the Governing Body receive and review risks pertaining to their areas of responsibility at each of their meetings.</w:t>
      </w:r>
    </w:p>
    <w:p w14:paraId="3CE4D77C" w14:textId="13108A15" w:rsidR="009868D1" w:rsidRPr="001C5459" w:rsidRDefault="009868D1" w:rsidP="009868D1">
      <w:pPr>
        <w:rPr>
          <w:rFonts w:cs="Arial"/>
        </w:rPr>
      </w:pPr>
      <w:r w:rsidRPr="001C5459">
        <w:rPr>
          <w:rFonts w:cs="Arial"/>
        </w:rPr>
        <w:t>Both the Board Assurance Framework and the Corporate Risk Register are reviewed by the Governing Body. The Governing Body and its Quality and Performance Committee have continued to maintain rigorous oversight of the performance of the CCG and the Integrated Audit and Governance Committee has assessed the adequacy of the assurances available in relation to performance. Comprehensive quality and performance reports are a standing item at the Governing Body and each of these committee meetings.</w:t>
      </w:r>
    </w:p>
    <w:p w14:paraId="47E8E295" w14:textId="7C8DF136" w:rsidR="009868D1" w:rsidRPr="001C5459" w:rsidRDefault="009868D1" w:rsidP="009868D1">
      <w:pPr>
        <w:rPr>
          <w:rFonts w:cs="Arial"/>
        </w:rPr>
      </w:pPr>
      <w:r w:rsidRPr="001C5459">
        <w:rPr>
          <w:rFonts w:cs="Arial"/>
        </w:rPr>
        <w:t>Staff training on risk management is provided as required with additional supported via the in-house risk management specialists.</w:t>
      </w:r>
    </w:p>
    <w:p w14:paraId="4C493E74" w14:textId="77777777" w:rsidR="009868D1" w:rsidRPr="001C5459" w:rsidRDefault="009868D1" w:rsidP="009868D1">
      <w:pPr>
        <w:keepNext/>
        <w:keepLines/>
        <w:outlineLvl w:val="3"/>
        <w:rPr>
          <w:rFonts w:eastAsiaTheme="majorEastAsia" w:cs="Arial"/>
          <w:b/>
          <w:bCs/>
          <w:iCs/>
        </w:rPr>
      </w:pPr>
      <w:r w:rsidRPr="001C5459">
        <w:rPr>
          <w:rFonts w:eastAsiaTheme="majorEastAsia" w:cs="Arial"/>
          <w:b/>
          <w:bCs/>
          <w:iCs/>
        </w:rPr>
        <w:t>Risk Assessment</w:t>
      </w:r>
      <w:bookmarkEnd w:id="122"/>
      <w:r w:rsidRPr="001C5459">
        <w:rPr>
          <w:rFonts w:eastAsiaTheme="majorEastAsia" w:cs="Arial"/>
          <w:b/>
          <w:bCs/>
          <w:iCs/>
        </w:rPr>
        <w:t xml:space="preserve"> </w:t>
      </w:r>
    </w:p>
    <w:p w14:paraId="2A999E7B" w14:textId="6C6B9D8D" w:rsidR="009868D1" w:rsidRPr="001C5459" w:rsidRDefault="009868D1" w:rsidP="009868D1">
      <w:pPr>
        <w:rPr>
          <w:rFonts w:cs="Arial"/>
          <w:bCs/>
          <w:iCs/>
        </w:rPr>
      </w:pPr>
      <w:r w:rsidRPr="001C5459">
        <w:rPr>
          <w:rFonts w:cs="Arial"/>
          <w:bCs/>
          <w:iCs/>
        </w:rPr>
        <w:t>All risks to the CCG are assessed for their impact and likelihood to give an overall risk rating. The CCG’s governance, risk management and internal control frameworks have been subject to review in-year to ensure that they remain fit for purpose. No significant risks to governance, risk management or internal control were identified during the year.</w:t>
      </w:r>
    </w:p>
    <w:p w14:paraId="45E2847B" w14:textId="5FE89157" w:rsidR="009868D1" w:rsidRPr="00E139EA" w:rsidRDefault="009868D1" w:rsidP="009868D1">
      <w:pPr>
        <w:rPr>
          <w:rFonts w:cs="Arial"/>
        </w:rPr>
      </w:pPr>
      <w:r w:rsidRPr="001C5459">
        <w:rPr>
          <w:rFonts w:cs="Arial"/>
        </w:rPr>
        <w:t>At the start of 2021</w:t>
      </w:r>
      <w:r w:rsidR="00886E22">
        <w:rPr>
          <w:rFonts w:cs="Arial"/>
        </w:rPr>
        <w:t>-</w:t>
      </w:r>
      <w:r w:rsidRPr="001C5459">
        <w:rPr>
          <w:rFonts w:cs="Arial"/>
        </w:rPr>
        <w:t xml:space="preserve">22 the CCG had no extreme (red) rated risk and sixteen high (amber) rated risks within its Corporate Risk Register. A summary of the highest risks </w:t>
      </w:r>
      <w:r>
        <w:rPr>
          <w:rFonts w:cs="Arial"/>
        </w:rPr>
        <w:t xml:space="preserve">(with a risk rating of 12) </w:t>
      </w:r>
      <w:r w:rsidRPr="001C5459">
        <w:rPr>
          <w:rFonts w:cs="Arial"/>
        </w:rPr>
        <w:t>and their mitigations are as follows:</w:t>
      </w:r>
    </w:p>
    <w:tbl>
      <w:tblPr>
        <w:tblStyle w:val="TableGrid12"/>
        <w:tblW w:w="9498" w:type="dxa"/>
        <w:tblInd w:w="108" w:type="dxa"/>
        <w:tblLook w:val="04A0" w:firstRow="1" w:lastRow="0" w:firstColumn="1" w:lastColumn="0" w:noHBand="0" w:noVBand="1"/>
      </w:tblPr>
      <w:tblGrid>
        <w:gridCol w:w="3119"/>
        <w:gridCol w:w="3685"/>
        <w:gridCol w:w="2694"/>
      </w:tblGrid>
      <w:tr w:rsidR="009868D1" w:rsidRPr="00515CD8" w14:paraId="703F4864" w14:textId="77777777" w:rsidTr="00E46C3B">
        <w:tc>
          <w:tcPr>
            <w:tcW w:w="3119" w:type="dxa"/>
            <w:shd w:val="clear" w:color="auto" w:fill="95B3D7" w:themeFill="accent1" w:themeFillTint="99"/>
          </w:tcPr>
          <w:p w14:paraId="1E013BDA" w14:textId="77777777" w:rsidR="009868D1" w:rsidRPr="004370E2" w:rsidRDefault="009868D1" w:rsidP="00E46C3B">
            <w:pPr>
              <w:spacing w:line="276" w:lineRule="auto"/>
              <w:rPr>
                <w:b/>
              </w:rPr>
            </w:pPr>
            <w:r w:rsidRPr="004370E2">
              <w:rPr>
                <w:b/>
              </w:rPr>
              <w:t>Risk</w:t>
            </w:r>
          </w:p>
        </w:tc>
        <w:tc>
          <w:tcPr>
            <w:tcW w:w="3685" w:type="dxa"/>
            <w:shd w:val="clear" w:color="auto" w:fill="95B3D7" w:themeFill="accent1" w:themeFillTint="99"/>
          </w:tcPr>
          <w:p w14:paraId="3061D384" w14:textId="77777777" w:rsidR="009868D1" w:rsidRPr="004370E2" w:rsidRDefault="009868D1" w:rsidP="00E46C3B">
            <w:pPr>
              <w:spacing w:line="276" w:lineRule="auto"/>
              <w:rPr>
                <w:b/>
              </w:rPr>
            </w:pPr>
            <w:r w:rsidRPr="004370E2">
              <w:rPr>
                <w:b/>
              </w:rPr>
              <w:t>Controls</w:t>
            </w:r>
          </w:p>
        </w:tc>
        <w:tc>
          <w:tcPr>
            <w:tcW w:w="2694" w:type="dxa"/>
            <w:shd w:val="clear" w:color="auto" w:fill="95B3D7" w:themeFill="accent1" w:themeFillTint="99"/>
          </w:tcPr>
          <w:p w14:paraId="33FC4712" w14:textId="77777777" w:rsidR="009868D1" w:rsidRPr="004370E2" w:rsidRDefault="009868D1" w:rsidP="00E46C3B">
            <w:pPr>
              <w:spacing w:line="276" w:lineRule="auto"/>
              <w:rPr>
                <w:b/>
              </w:rPr>
            </w:pPr>
            <w:r w:rsidRPr="004370E2">
              <w:rPr>
                <w:b/>
              </w:rPr>
              <w:t>Assurances</w:t>
            </w:r>
          </w:p>
        </w:tc>
      </w:tr>
      <w:tr w:rsidR="009868D1" w:rsidRPr="00515CD8" w14:paraId="7FA57DDF" w14:textId="77777777" w:rsidTr="00E139EA">
        <w:trPr>
          <w:trHeight w:val="558"/>
        </w:trPr>
        <w:tc>
          <w:tcPr>
            <w:tcW w:w="3119" w:type="dxa"/>
          </w:tcPr>
          <w:p w14:paraId="46C90FC6" w14:textId="77777777" w:rsidR="009868D1" w:rsidRDefault="009868D1" w:rsidP="00E46C3B">
            <w:pPr>
              <w:spacing w:line="276" w:lineRule="auto"/>
            </w:pPr>
            <w:r w:rsidRPr="004370E2">
              <w:t>Waiting times for Children and Young People (CYP) with Autism in the City exceed NHS Target of 18 weeks</w:t>
            </w:r>
            <w:r>
              <w:t>.</w:t>
            </w:r>
          </w:p>
          <w:p w14:paraId="2A6F0B0E" w14:textId="77777777" w:rsidR="009868D1" w:rsidRPr="004370E2" w:rsidRDefault="009868D1" w:rsidP="00E46C3B">
            <w:pPr>
              <w:spacing w:line="276" w:lineRule="auto"/>
            </w:pPr>
          </w:p>
          <w:p w14:paraId="0107CFB0" w14:textId="77777777" w:rsidR="009868D1" w:rsidRPr="004370E2" w:rsidDel="00C435DF" w:rsidRDefault="009868D1" w:rsidP="00E46C3B">
            <w:pPr>
              <w:spacing w:line="276" w:lineRule="auto"/>
            </w:pPr>
            <w:r w:rsidRPr="004370E2">
              <w:t xml:space="preserve">This </w:t>
            </w:r>
            <w:r>
              <w:t xml:space="preserve">could </w:t>
            </w:r>
            <w:r w:rsidRPr="004370E2">
              <w:t xml:space="preserve">result in CYP and families struggling to maintain daily life and CYP education attainment and wider social inclusion </w:t>
            </w:r>
          </w:p>
        </w:tc>
        <w:tc>
          <w:tcPr>
            <w:tcW w:w="3685" w:type="dxa"/>
          </w:tcPr>
          <w:p w14:paraId="47CD70EC" w14:textId="0EA77037" w:rsidR="009868D1" w:rsidRPr="004370E2" w:rsidDel="00C435DF" w:rsidRDefault="009868D1" w:rsidP="00E46C3B">
            <w:pPr>
              <w:spacing w:line="276" w:lineRule="auto"/>
            </w:pPr>
            <w:r w:rsidRPr="004370E2">
              <w:t>Waiting list reduction trajectory agreed - 18 week compliant by June 2021.  This is being monitored 6 weekly.</w:t>
            </w:r>
            <w:r w:rsidRPr="004370E2">
              <w:br/>
            </w:r>
            <w:r w:rsidRPr="004370E2">
              <w:br/>
              <w:t>Engagement with wider system support to facilitate interim support to CYP and families who are awaiting assessment and diagnosis.</w:t>
            </w:r>
          </w:p>
        </w:tc>
        <w:tc>
          <w:tcPr>
            <w:tcW w:w="2694" w:type="dxa"/>
          </w:tcPr>
          <w:p w14:paraId="2F71FC11" w14:textId="77777777" w:rsidR="009868D1" w:rsidRPr="004370E2" w:rsidRDefault="009868D1" w:rsidP="00E46C3B">
            <w:pPr>
              <w:spacing w:line="276" w:lineRule="auto"/>
            </w:pPr>
            <w:r w:rsidRPr="004370E2">
              <w:t>Contract Management Board with lead provider (Humber Teaching NHS Foundation Trust).</w:t>
            </w:r>
            <w:r w:rsidRPr="004370E2">
              <w:br/>
            </w:r>
            <w:r w:rsidRPr="004370E2">
              <w:br/>
              <w:t xml:space="preserve">SEND - Hull City Council - monitoring monthly.  </w:t>
            </w:r>
          </w:p>
          <w:p w14:paraId="24237753" w14:textId="5DA63DC6" w:rsidR="009868D1" w:rsidRPr="004370E2" w:rsidDel="00C435DF" w:rsidRDefault="009868D1" w:rsidP="00E46C3B">
            <w:pPr>
              <w:spacing w:line="276" w:lineRule="auto"/>
            </w:pPr>
            <w:r w:rsidRPr="004370E2">
              <w:t xml:space="preserve">A multi-agency Autism Spectrum Disorder Task Group established to implement a recovery plan for the Hull paediatric autism assessment and diagnosis waiting list.                                                                                                                                                                                                                             </w:t>
            </w:r>
          </w:p>
        </w:tc>
      </w:tr>
      <w:tr w:rsidR="009868D1" w:rsidRPr="00515CD8" w14:paraId="29DC5FA5" w14:textId="77777777" w:rsidTr="00E46C3B">
        <w:trPr>
          <w:trHeight w:val="1863"/>
        </w:trPr>
        <w:tc>
          <w:tcPr>
            <w:tcW w:w="3119" w:type="dxa"/>
          </w:tcPr>
          <w:p w14:paraId="0ADAC23C" w14:textId="77777777" w:rsidR="009868D1" w:rsidRPr="004370E2" w:rsidRDefault="009868D1" w:rsidP="00E46C3B">
            <w:pPr>
              <w:spacing w:line="276" w:lineRule="auto"/>
            </w:pPr>
            <w:r w:rsidRPr="004370E2">
              <w:lastRenderedPageBreak/>
              <w:t>Failure to produce a comprehensive balanced Medium Term Financial Plan that takes account of allocation adjustments (e.g. Better Care Fund, updated allocation formula) that reflects the commissioning strategy and complies with planning guidelines.</w:t>
            </w:r>
          </w:p>
          <w:p w14:paraId="055A32C5" w14:textId="77777777" w:rsidR="009868D1" w:rsidRPr="004370E2" w:rsidDel="00A61215" w:rsidRDefault="009868D1" w:rsidP="00E46C3B">
            <w:pPr>
              <w:spacing w:line="276" w:lineRule="auto"/>
            </w:pPr>
          </w:p>
        </w:tc>
        <w:tc>
          <w:tcPr>
            <w:tcW w:w="3685" w:type="dxa"/>
          </w:tcPr>
          <w:p w14:paraId="564E91E6" w14:textId="18B6AB85" w:rsidR="009868D1" w:rsidRPr="004370E2" w:rsidRDefault="009868D1" w:rsidP="00E46C3B">
            <w:pPr>
              <w:spacing w:line="276" w:lineRule="auto"/>
            </w:pPr>
            <w:r w:rsidRPr="004370E2">
              <w:t>Months 1-6 were backed by the government to ensure a breakeven position. During that period expenditure changed significantly to what had originally been planned due to the new financial regime implemented due to Covid -19.</w:t>
            </w:r>
          </w:p>
          <w:p w14:paraId="78F1CD9D" w14:textId="5AC6D3C2" w:rsidR="009868D1" w:rsidRPr="004370E2" w:rsidDel="00A61215" w:rsidRDefault="009868D1" w:rsidP="00E46C3B">
            <w:pPr>
              <w:spacing w:line="276" w:lineRule="auto"/>
            </w:pPr>
            <w:r w:rsidRPr="004370E2">
              <w:t>For months 7-12 a revised financial regime has been developed and the CCG has produced a plan that is in-line with this. This reflects the expected expenditure for the rest of the year which cover System based funding (as host CCG) as well as other new policies such as the Hospital Discharge Scheme, changes in acute independent sector commissioning and primary care schemes.</w:t>
            </w:r>
          </w:p>
        </w:tc>
        <w:tc>
          <w:tcPr>
            <w:tcW w:w="2694" w:type="dxa"/>
          </w:tcPr>
          <w:p w14:paraId="4F8F81CE" w14:textId="3DEC4454" w:rsidR="009868D1" w:rsidRPr="004370E2" w:rsidRDefault="009868D1" w:rsidP="00E46C3B">
            <w:pPr>
              <w:spacing w:line="276" w:lineRule="auto"/>
            </w:pPr>
            <w:r w:rsidRPr="004370E2">
              <w:t>Financial plan updates provided to Planning and Commissioning Committee on a regular basis</w:t>
            </w:r>
          </w:p>
          <w:p w14:paraId="20925BE7" w14:textId="32DED254" w:rsidR="009868D1" w:rsidRPr="004370E2" w:rsidDel="00A61215" w:rsidRDefault="009868D1" w:rsidP="00E46C3B">
            <w:pPr>
              <w:spacing w:line="276" w:lineRule="auto"/>
            </w:pPr>
            <w:r w:rsidRPr="004370E2">
              <w:t>The CCGB will approve the financial plan prior to finalisation. Updates on planning guidelines and pending allocation adjustments are shared through CCGB, Senior Leadership Team, Planning and Commissioning Committee, Integrated Audit and Governance Committee.</w:t>
            </w:r>
          </w:p>
        </w:tc>
      </w:tr>
      <w:tr w:rsidR="009868D1" w:rsidRPr="00515CD8" w14:paraId="1D41ED25" w14:textId="77777777" w:rsidTr="00E46C3B">
        <w:trPr>
          <w:trHeight w:val="983"/>
        </w:trPr>
        <w:tc>
          <w:tcPr>
            <w:tcW w:w="3119" w:type="dxa"/>
          </w:tcPr>
          <w:p w14:paraId="7CA1AA44" w14:textId="1F69EE6B" w:rsidR="009868D1" w:rsidRDefault="009868D1" w:rsidP="00E46C3B">
            <w:pPr>
              <w:spacing w:line="276" w:lineRule="auto"/>
            </w:pPr>
            <w:r w:rsidRPr="004370E2">
              <w:t>CCG practices unable to maintain a resilient primary care workforce resulting in reduced access to services and patient needs not being met.</w:t>
            </w:r>
          </w:p>
          <w:p w14:paraId="610DE38B" w14:textId="77777777" w:rsidR="009868D1" w:rsidRPr="004370E2" w:rsidDel="00A61215" w:rsidRDefault="009868D1" w:rsidP="00E46C3B">
            <w:pPr>
              <w:spacing w:line="276" w:lineRule="auto"/>
            </w:pPr>
            <w:r w:rsidRPr="004370E2">
              <w:t>This risk is further exacerbated by the requirements of primary care with respect to the COVID-19 response, and in particular support to the vaccine programme, as well as the implications from the White Paper relating to next steps for integrated care systems.</w:t>
            </w:r>
          </w:p>
        </w:tc>
        <w:tc>
          <w:tcPr>
            <w:tcW w:w="3685" w:type="dxa"/>
          </w:tcPr>
          <w:p w14:paraId="4AD8812F" w14:textId="68BE144E" w:rsidR="009868D1" w:rsidRPr="004370E2" w:rsidRDefault="009868D1" w:rsidP="00E46C3B">
            <w:pPr>
              <w:spacing w:line="276" w:lineRule="auto"/>
            </w:pPr>
            <w:r w:rsidRPr="004370E2">
              <w:t>Development and implementation of CCG primary care workforce strategy and associated initiatives e.g.. International GP Recruitment, PCN Ready, Physician Associate Schemes.</w:t>
            </w:r>
            <w:r w:rsidRPr="004370E2">
              <w:br/>
              <w:t>Use of National Workforce Reporting System to monitor trends in primary care workforce.</w:t>
            </w:r>
          </w:p>
          <w:p w14:paraId="6EE0D47E" w14:textId="77777777" w:rsidR="009868D1" w:rsidRPr="004370E2" w:rsidRDefault="009868D1" w:rsidP="00E46C3B">
            <w:pPr>
              <w:spacing w:line="276" w:lineRule="auto"/>
            </w:pPr>
            <w:r w:rsidRPr="004370E2">
              <w:t>Primary Care Networks to be supported to develop new roles as outlined in NHS Long Term Plan and for which reimbursement available through the Network Directly Enhanced Services contract.</w:t>
            </w:r>
          </w:p>
          <w:p w14:paraId="4244DF9B" w14:textId="77777777" w:rsidR="009868D1" w:rsidRPr="004370E2" w:rsidRDefault="009868D1" w:rsidP="00E46C3B">
            <w:pPr>
              <w:spacing w:line="276" w:lineRule="auto"/>
            </w:pPr>
            <w:r w:rsidRPr="004370E2">
              <w:t>Development of the Humber, Coast and Vale Integrated Care System primary care workforce modelling.</w:t>
            </w:r>
          </w:p>
          <w:p w14:paraId="674324A2" w14:textId="77777777" w:rsidR="009868D1" w:rsidRPr="004370E2" w:rsidDel="00A61215" w:rsidRDefault="009868D1" w:rsidP="00E46C3B">
            <w:pPr>
              <w:spacing w:line="276" w:lineRule="auto"/>
            </w:pPr>
          </w:p>
        </w:tc>
        <w:tc>
          <w:tcPr>
            <w:tcW w:w="2694" w:type="dxa"/>
          </w:tcPr>
          <w:p w14:paraId="15E14733" w14:textId="77777777" w:rsidR="009868D1" w:rsidRPr="004370E2" w:rsidRDefault="009868D1" w:rsidP="00E46C3B">
            <w:pPr>
              <w:spacing w:line="276" w:lineRule="auto"/>
            </w:pPr>
            <w:r w:rsidRPr="004370E2">
              <w:t>Primary Care Commissioning Committee. ICS Executive to oversee out of hospital care work-stream, including primary care development and resilience.</w:t>
            </w:r>
          </w:p>
          <w:p w14:paraId="7E753C07" w14:textId="77777777" w:rsidR="009868D1" w:rsidRPr="004370E2" w:rsidRDefault="009868D1" w:rsidP="00E46C3B">
            <w:pPr>
              <w:spacing w:line="276" w:lineRule="auto"/>
            </w:pPr>
            <w:r w:rsidRPr="004370E2">
              <w:t>External support for Primary Care Networks (PCNs) to cover support for addressing workforce challenges</w:t>
            </w:r>
          </w:p>
          <w:p w14:paraId="728CC3D6" w14:textId="77777777" w:rsidR="009868D1" w:rsidRPr="004370E2" w:rsidDel="00A61215" w:rsidRDefault="009868D1" w:rsidP="00E46C3B">
            <w:pPr>
              <w:spacing w:line="276" w:lineRule="auto"/>
            </w:pPr>
            <w:r w:rsidRPr="004370E2">
              <w:t xml:space="preserve">PCNs continuing to recruit to the ARRS posts. At end of Q3 approximately 3/4 of recruitment plans were achieved. Strong local delivery against the Covid-19 vaccination programme. </w:t>
            </w:r>
          </w:p>
        </w:tc>
      </w:tr>
      <w:tr w:rsidR="009868D1" w:rsidRPr="00515CD8" w14:paraId="2731B370" w14:textId="77777777" w:rsidTr="00E46C3B">
        <w:trPr>
          <w:trHeight w:val="1321"/>
        </w:trPr>
        <w:tc>
          <w:tcPr>
            <w:tcW w:w="3119" w:type="dxa"/>
          </w:tcPr>
          <w:p w14:paraId="0533566C" w14:textId="77777777" w:rsidR="009868D1" w:rsidRPr="004370E2" w:rsidDel="00A61215" w:rsidRDefault="009868D1" w:rsidP="00E46C3B">
            <w:pPr>
              <w:spacing w:line="276" w:lineRule="auto"/>
            </w:pPr>
            <w:r w:rsidRPr="004370E2">
              <w:t>There is significant patient and public opposition to plans for the development of new models of care resulting in services not being sustainable.</w:t>
            </w:r>
          </w:p>
        </w:tc>
        <w:tc>
          <w:tcPr>
            <w:tcW w:w="3685" w:type="dxa"/>
          </w:tcPr>
          <w:p w14:paraId="64E1CD92" w14:textId="2C0632F8" w:rsidR="009868D1" w:rsidRPr="004370E2" w:rsidDel="00A61215" w:rsidRDefault="009868D1" w:rsidP="00E46C3B">
            <w:pPr>
              <w:spacing w:line="276" w:lineRule="auto"/>
            </w:pPr>
            <w:r w:rsidRPr="004370E2">
              <w:t xml:space="preserve">Development of a Communications and Engagement plan with patients and the public for the CCG Primary Care Strategy. </w:t>
            </w:r>
          </w:p>
        </w:tc>
        <w:tc>
          <w:tcPr>
            <w:tcW w:w="2694" w:type="dxa"/>
          </w:tcPr>
          <w:p w14:paraId="7DEDCF2B" w14:textId="04DE0F84" w:rsidR="009868D1" w:rsidRPr="004370E2" w:rsidDel="00A61215" w:rsidRDefault="009868D1" w:rsidP="00E46C3B">
            <w:pPr>
              <w:spacing w:line="276" w:lineRule="auto"/>
            </w:pPr>
            <w:r w:rsidRPr="004370E2">
              <w:t>Regular reports to the Communications and Engagement sub-group, Primary Care Commissioning Committee and Hull City Council Health and Wellbeing Overview and Scrutiny Commission.</w:t>
            </w:r>
          </w:p>
        </w:tc>
      </w:tr>
      <w:tr w:rsidR="009868D1" w:rsidRPr="00515CD8" w14:paraId="79E5336E" w14:textId="77777777" w:rsidTr="00E46C3B">
        <w:trPr>
          <w:trHeight w:val="1863"/>
        </w:trPr>
        <w:tc>
          <w:tcPr>
            <w:tcW w:w="3119" w:type="dxa"/>
          </w:tcPr>
          <w:p w14:paraId="38BD8B42" w14:textId="77777777" w:rsidR="009868D1" w:rsidRPr="004370E2" w:rsidRDefault="009868D1" w:rsidP="00E46C3B">
            <w:pPr>
              <w:spacing w:line="276" w:lineRule="auto"/>
            </w:pPr>
            <w:r w:rsidRPr="004370E2">
              <w:lastRenderedPageBreak/>
              <w:t xml:space="preserve">Paediatric Speech and Language (SLT) Service. Waiting list for initial assessment and treatment is extensive. The </w:t>
            </w:r>
            <w:r>
              <w:t xml:space="preserve">previous </w:t>
            </w:r>
            <w:r w:rsidRPr="004370E2">
              <w:t>joint local area SEND Inspection 2017 identified that children and young people do not have timely access to SLT services and there is not an effective plan for securing improvement.</w:t>
            </w:r>
          </w:p>
          <w:p w14:paraId="5A9425F6" w14:textId="77777777" w:rsidR="009868D1" w:rsidRPr="004370E2" w:rsidDel="00A61215" w:rsidRDefault="009868D1" w:rsidP="00E46C3B">
            <w:pPr>
              <w:spacing w:line="276" w:lineRule="auto"/>
            </w:pPr>
          </w:p>
        </w:tc>
        <w:tc>
          <w:tcPr>
            <w:tcW w:w="3685" w:type="dxa"/>
          </w:tcPr>
          <w:p w14:paraId="68ED25D6" w14:textId="187D6802" w:rsidR="009868D1" w:rsidRDefault="009868D1" w:rsidP="00243637">
            <w:pPr>
              <w:spacing w:line="276" w:lineRule="auto"/>
            </w:pPr>
            <w:r>
              <w:t xml:space="preserve">The CCG continues to monitor and review progress on the SLT service development and improvement plan (SDIP) and evidence of improved performance and outcomes at bi-monthly service development meetings and through the Humber Foundation Trust Children's and Learning Disability Delivery Group. Contractual processes remain in place and the recent Contract Variation has included a revised Service Specification, SDIP and additional recurrent funding. </w:t>
            </w:r>
          </w:p>
          <w:p w14:paraId="6CD18065" w14:textId="77777777" w:rsidR="009868D1" w:rsidRDefault="009868D1" w:rsidP="00E46C3B"/>
          <w:p w14:paraId="3C3793FC" w14:textId="77777777" w:rsidR="009868D1" w:rsidRPr="004370E2" w:rsidDel="00A61215" w:rsidRDefault="009868D1" w:rsidP="00E46C3B">
            <w:pPr>
              <w:spacing w:line="276" w:lineRule="auto"/>
            </w:pPr>
          </w:p>
        </w:tc>
        <w:tc>
          <w:tcPr>
            <w:tcW w:w="2694" w:type="dxa"/>
          </w:tcPr>
          <w:p w14:paraId="3B34F69A" w14:textId="77777777" w:rsidR="009868D1" w:rsidRPr="004370E2" w:rsidDel="00A61215" w:rsidRDefault="009868D1" w:rsidP="00E46C3B">
            <w:pPr>
              <w:spacing w:line="276" w:lineRule="auto"/>
            </w:pPr>
          </w:p>
        </w:tc>
      </w:tr>
      <w:tr w:rsidR="009868D1" w:rsidRPr="00515CD8" w14:paraId="3180A40C" w14:textId="77777777" w:rsidTr="00243637">
        <w:trPr>
          <w:trHeight w:val="4350"/>
        </w:trPr>
        <w:tc>
          <w:tcPr>
            <w:tcW w:w="3119" w:type="dxa"/>
          </w:tcPr>
          <w:p w14:paraId="68F2F9B8" w14:textId="77777777" w:rsidR="009868D1" w:rsidRPr="004370E2" w:rsidRDefault="009868D1" w:rsidP="00E46C3B">
            <w:pPr>
              <w:spacing w:line="276" w:lineRule="auto"/>
            </w:pPr>
            <w:r w:rsidRPr="004370E2">
              <w:t>Risk assessment of staff within general practice, in line with the NHS England and NHS Improvement "Risk assessments for at-risk staff groups" letter of 25th June 2020, and the necessary mitigating actions may result in some practices having reduced capacity to deliver some services or being unable to deliver some services (e.g.. face:face consultations).</w:t>
            </w:r>
          </w:p>
        </w:tc>
        <w:tc>
          <w:tcPr>
            <w:tcW w:w="3685" w:type="dxa"/>
          </w:tcPr>
          <w:p w14:paraId="4C63044D" w14:textId="77777777" w:rsidR="009868D1" w:rsidRPr="004370E2" w:rsidRDefault="009868D1" w:rsidP="00E46C3B">
            <w:pPr>
              <w:spacing w:line="276" w:lineRule="auto"/>
            </w:pPr>
            <w:r w:rsidRPr="004370E2">
              <w:t>Risk assessment tools and guidance available for practices from NHS England.</w:t>
            </w:r>
          </w:p>
          <w:p w14:paraId="0DA8CC80" w14:textId="77777777" w:rsidR="009868D1" w:rsidRPr="004370E2" w:rsidDel="00A61215" w:rsidRDefault="009868D1" w:rsidP="00E46C3B">
            <w:pPr>
              <w:spacing w:line="276" w:lineRule="auto"/>
            </w:pPr>
          </w:p>
        </w:tc>
        <w:tc>
          <w:tcPr>
            <w:tcW w:w="2694" w:type="dxa"/>
          </w:tcPr>
          <w:p w14:paraId="1FBA0BC4" w14:textId="77777777" w:rsidR="009868D1" w:rsidRPr="004370E2" w:rsidRDefault="009868D1" w:rsidP="00E46C3B">
            <w:pPr>
              <w:spacing w:line="276" w:lineRule="auto"/>
            </w:pPr>
            <w:r w:rsidRPr="004370E2">
              <w:t>Sitrep returns to NHS England and NHS Improvement</w:t>
            </w:r>
          </w:p>
          <w:p w14:paraId="3F6219B2" w14:textId="30EACD15" w:rsidR="009868D1" w:rsidRPr="004370E2" w:rsidDel="00A61215" w:rsidRDefault="009868D1" w:rsidP="00E46C3B">
            <w:pPr>
              <w:spacing w:line="276" w:lineRule="auto"/>
            </w:pPr>
            <w:r w:rsidRPr="004370E2">
              <w:t>Practices continue to deliver services in line with national general practice Standard Operating Procedure. CCG supporting practices with accommodation to support social distancing where necessary. Offer of Covid-19 vaccination to primary care staff in line with JCVI priority groups undertaken.</w:t>
            </w:r>
          </w:p>
        </w:tc>
      </w:tr>
    </w:tbl>
    <w:p w14:paraId="2F2226CB" w14:textId="77777777" w:rsidR="009868D1" w:rsidRDefault="009868D1" w:rsidP="009868D1">
      <w:pPr>
        <w:rPr>
          <w:rFonts w:cs="Arial"/>
        </w:rPr>
      </w:pPr>
    </w:p>
    <w:p w14:paraId="767BC43B" w14:textId="7EBDEA77" w:rsidR="009868D1" w:rsidRPr="00243637" w:rsidRDefault="009868D1" w:rsidP="009868D1">
      <w:pPr>
        <w:rPr>
          <w:rFonts w:cs="Arial"/>
        </w:rPr>
      </w:pPr>
      <w:r w:rsidRPr="006C229B">
        <w:rPr>
          <w:rFonts w:cs="Arial"/>
        </w:rPr>
        <w:t>By the end of 2021</w:t>
      </w:r>
      <w:r w:rsidR="00886E22">
        <w:rPr>
          <w:rFonts w:cs="Arial"/>
        </w:rPr>
        <w:t>-</w:t>
      </w:r>
      <w:r w:rsidRPr="006C229B">
        <w:rPr>
          <w:rFonts w:cs="Arial"/>
        </w:rPr>
        <w:t xml:space="preserve">22, the CCG had three extreme risks and eighteen high risks within its Corporate Risk Register. The highest rated risks </w:t>
      </w:r>
      <w:r>
        <w:rPr>
          <w:rFonts w:cs="Arial"/>
        </w:rPr>
        <w:t xml:space="preserve">(with a risk rating of 16) </w:t>
      </w:r>
      <w:r w:rsidRPr="006C229B">
        <w:rPr>
          <w:rFonts w:cs="Arial"/>
        </w:rPr>
        <w:t>were as follows:</w:t>
      </w:r>
    </w:p>
    <w:tbl>
      <w:tblPr>
        <w:tblStyle w:val="TableGrid12"/>
        <w:tblW w:w="9498" w:type="dxa"/>
        <w:tblInd w:w="108" w:type="dxa"/>
        <w:tblLook w:val="04A0" w:firstRow="1" w:lastRow="0" w:firstColumn="1" w:lastColumn="0" w:noHBand="0" w:noVBand="1"/>
      </w:tblPr>
      <w:tblGrid>
        <w:gridCol w:w="3119"/>
        <w:gridCol w:w="3685"/>
        <w:gridCol w:w="2694"/>
      </w:tblGrid>
      <w:tr w:rsidR="009868D1" w:rsidRPr="0000399A" w14:paraId="5E3B291C" w14:textId="77777777" w:rsidTr="00E46C3B">
        <w:trPr>
          <w:trHeight w:val="342"/>
        </w:trPr>
        <w:tc>
          <w:tcPr>
            <w:tcW w:w="3119" w:type="dxa"/>
            <w:shd w:val="clear" w:color="auto" w:fill="95B3D7" w:themeFill="accent1" w:themeFillTint="99"/>
          </w:tcPr>
          <w:p w14:paraId="05241215" w14:textId="77777777" w:rsidR="009868D1" w:rsidRPr="0000399A" w:rsidRDefault="009868D1" w:rsidP="00E46C3B">
            <w:pPr>
              <w:spacing w:line="276" w:lineRule="auto"/>
              <w:rPr>
                <w:rFonts w:eastAsiaTheme="minorHAnsi"/>
                <w:b/>
                <w:sz w:val="22"/>
                <w:szCs w:val="22"/>
                <w:lang w:eastAsia="en-US"/>
              </w:rPr>
            </w:pPr>
            <w:r w:rsidRPr="0000399A">
              <w:rPr>
                <w:rFonts w:eastAsiaTheme="minorHAnsi"/>
                <w:b/>
                <w:sz w:val="22"/>
                <w:szCs w:val="22"/>
                <w:lang w:eastAsia="en-US"/>
              </w:rPr>
              <w:t>Risk</w:t>
            </w:r>
          </w:p>
        </w:tc>
        <w:tc>
          <w:tcPr>
            <w:tcW w:w="3685" w:type="dxa"/>
            <w:shd w:val="clear" w:color="auto" w:fill="95B3D7" w:themeFill="accent1" w:themeFillTint="99"/>
          </w:tcPr>
          <w:p w14:paraId="53D672D7" w14:textId="77777777" w:rsidR="009868D1" w:rsidRPr="0000399A" w:rsidRDefault="009868D1" w:rsidP="00E46C3B">
            <w:pPr>
              <w:spacing w:line="276" w:lineRule="auto"/>
              <w:rPr>
                <w:rFonts w:eastAsiaTheme="minorHAnsi"/>
                <w:b/>
                <w:sz w:val="22"/>
                <w:szCs w:val="22"/>
                <w:lang w:eastAsia="en-US"/>
              </w:rPr>
            </w:pPr>
            <w:r w:rsidRPr="0000399A">
              <w:rPr>
                <w:rFonts w:eastAsiaTheme="minorHAnsi"/>
                <w:b/>
                <w:sz w:val="22"/>
                <w:szCs w:val="22"/>
                <w:lang w:eastAsia="en-US"/>
              </w:rPr>
              <w:t>Controls</w:t>
            </w:r>
          </w:p>
        </w:tc>
        <w:tc>
          <w:tcPr>
            <w:tcW w:w="2694" w:type="dxa"/>
            <w:shd w:val="clear" w:color="auto" w:fill="95B3D7" w:themeFill="accent1" w:themeFillTint="99"/>
          </w:tcPr>
          <w:p w14:paraId="65007952" w14:textId="77777777" w:rsidR="009868D1" w:rsidRPr="0000399A" w:rsidRDefault="009868D1" w:rsidP="00E46C3B">
            <w:pPr>
              <w:spacing w:line="276" w:lineRule="auto"/>
              <w:rPr>
                <w:rFonts w:eastAsiaTheme="minorHAnsi"/>
                <w:b/>
                <w:sz w:val="22"/>
                <w:szCs w:val="22"/>
                <w:lang w:eastAsia="en-US"/>
              </w:rPr>
            </w:pPr>
            <w:r w:rsidRPr="0000399A">
              <w:rPr>
                <w:rFonts w:eastAsiaTheme="minorHAnsi"/>
                <w:b/>
                <w:sz w:val="22"/>
                <w:szCs w:val="22"/>
                <w:lang w:eastAsia="en-US"/>
              </w:rPr>
              <w:t>Assurances</w:t>
            </w:r>
          </w:p>
        </w:tc>
      </w:tr>
      <w:tr w:rsidR="009868D1" w:rsidRPr="0000399A" w14:paraId="51F09176" w14:textId="77777777" w:rsidTr="00E46C3B">
        <w:trPr>
          <w:trHeight w:val="1863"/>
        </w:trPr>
        <w:tc>
          <w:tcPr>
            <w:tcW w:w="3119" w:type="dxa"/>
          </w:tcPr>
          <w:p w14:paraId="1EA50DB6" w14:textId="77777777" w:rsidR="009868D1" w:rsidRDefault="009868D1" w:rsidP="00E46C3B">
            <w:pPr>
              <w:spacing w:line="276" w:lineRule="auto"/>
            </w:pPr>
            <w:r w:rsidRPr="00435DA1">
              <w:t xml:space="preserve">CCG practices unable to maintain a resilient primary care workforce resulting in reduced access to services and patient needs not being met.  This risk is further exacerbated by the requirements of primary care with respect to the COVID-19 response, and in particular support to the vaccine programme, as well as the implications from the White </w:t>
            </w:r>
            <w:r w:rsidRPr="00435DA1">
              <w:lastRenderedPageBreak/>
              <w:t>Paper relating to next steps for integrated care systems.</w:t>
            </w:r>
          </w:p>
          <w:p w14:paraId="3D0BC03B" w14:textId="77777777" w:rsidR="009868D1" w:rsidRDefault="009868D1" w:rsidP="00E46C3B">
            <w:pPr>
              <w:spacing w:line="276" w:lineRule="auto"/>
            </w:pPr>
          </w:p>
          <w:p w14:paraId="06DA6B5B" w14:textId="77777777" w:rsidR="009868D1" w:rsidRPr="00435DA1" w:rsidRDefault="009868D1" w:rsidP="00E46C3B">
            <w:pPr>
              <w:spacing w:line="276" w:lineRule="auto"/>
            </w:pPr>
          </w:p>
        </w:tc>
        <w:tc>
          <w:tcPr>
            <w:tcW w:w="3685" w:type="dxa"/>
          </w:tcPr>
          <w:p w14:paraId="04554652" w14:textId="77777777" w:rsidR="009868D1" w:rsidRPr="00435DA1" w:rsidRDefault="009868D1" w:rsidP="00E46C3B">
            <w:pPr>
              <w:spacing w:line="276" w:lineRule="auto"/>
            </w:pPr>
            <w:r w:rsidRPr="00435DA1">
              <w:lastRenderedPageBreak/>
              <w:t>Development and implementation of CCG primary care workforce strategy and associated initiatives e.g. International GP Recruitment, PCN Ready, Physician Associate Schemes.</w:t>
            </w:r>
          </w:p>
          <w:p w14:paraId="56777D79" w14:textId="77777777" w:rsidR="009868D1" w:rsidRPr="00435DA1" w:rsidRDefault="009868D1" w:rsidP="00E46C3B">
            <w:pPr>
              <w:spacing w:line="276" w:lineRule="auto"/>
            </w:pPr>
            <w:r w:rsidRPr="00435DA1">
              <w:t>Use of National Workforce Reporting System to monitor trends in primary care workforce.</w:t>
            </w:r>
          </w:p>
          <w:p w14:paraId="411561F3" w14:textId="77777777" w:rsidR="009868D1" w:rsidRPr="00435DA1" w:rsidRDefault="009868D1" w:rsidP="00E46C3B">
            <w:pPr>
              <w:spacing w:line="276" w:lineRule="auto"/>
            </w:pPr>
            <w:r w:rsidRPr="00435DA1">
              <w:t xml:space="preserve">Primary Care Networks to be supported to develop new roles as outlined in NHS Long Term Plan and </w:t>
            </w:r>
            <w:r w:rsidRPr="00435DA1">
              <w:lastRenderedPageBreak/>
              <w:t>for which reimbursement available through Network DES.</w:t>
            </w:r>
          </w:p>
          <w:p w14:paraId="6C5B7CB1" w14:textId="77777777" w:rsidR="009868D1" w:rsidRPr="00435DA1" w:rsidRDefault="009868D1" w:rsidP="00E46C3B">
            <w:pPr>
              <w:spacing w:line="276" w:lineRule="auto"/>
            </w:pPr>
            <w:r w:rsidRPr="00435DA1">
              <w:t>Development of HC&amp;V primary care workforce modelling as part of out of hospital care work-stream.</w:t>
            </w:r>
          </w:p>
        </w:tc>
        <w:tc>
          <w:tcPr>
            <w:tcW w:w="2694" w:type="dxa"/>
          </w:tcPr>
          <w:p w14:paraId="0CCB9534" w14:textId="77777777" w:rsidR="009868D1" w:rsidRPr="00435DA1" w:rsidRDefault="009868D1" w:rsidP="00E46C3B">
            <w:pPr>
              <w:spacing w:line="276" w:lineRule="auto"/>
            </w:pPr>
            <w:r w:rsidRPr="00435DA1">
              <w:lastRenderedPageBreak/>
              <w:t>Progress in implementing primary care workforce strategy will be reported to Primary Care Joint Commissioning Committee. STP Strategic Partnership Board to oversee out of hospital care work-stream.</w:t>
            </w:r>
          </w:p>
          <w:p w14:paraId="7927ABF3" w14:textId="77777777" w:rsidR="009868D1" w:rsidRPr="00435DA1" w:rsidRDefault="009868D1" w:rsidP="00E46C3B">
            <w:pPr>
              <w:spacing w:line="276" w:lineRule="auto"/>
            </w:pPr>
            <w:r w:rsidRPr="00435DA1">
              <w:t xml:space="preserve">External support for practice groupings to cover </w:t>
            </w:r>
            <w:r w:rsidRPr="00435DA1">
              <w:lastRenderedPageBreak/>
              <w:t>support for addressing workforce challenges</w:t>
            </w:r>
          </w:p>
          <w:p w14:paraId="01FC9519" w14:textId="77777777" w:rsidR="009868D1" w:rsidRPr="00435DA1" w:rsidRDefault="009868D1" w:rsidP="00E46C3B">
            <w:pPr>
              <w:spacing w:line="276" w:lineRule="auto"/>
            </w:pPr>
          </w:p>
        </w:tc>
      </w:tr>
      <w:tr w:rsidR="009868D1" w:rsidRPr="0000399A" w14:paraId="7CA69BC8" w14:textId="77777777" w:rsidTr="00E46C3B">
        <w:trPr>
          <w:trHeight w:val="1863"/>
        </w:trPr>
        <w:tc>
          <w:tcPr>
            <w:tcW w:w="3119" w:type="dxa"/>
          </w:tcPr>
          <w:p w14:paraId="15092A3F" w14:textId="77777777" w:rsidR="009868D1" w:rsidRPr="00D55C9B" w:rsidRDefault="009868D1" w:rsidP="00E46C3B">
            <w:pPr>
              <w:spacing w:line="276" w:lineRule="auto"/>
            </w:pPr>
            <w:r w:rsidRPr="00D55C9B">
              <w:lastRenderedPageBreak/>
              <w:t xml:space="preserve">Loss of capacity and organisational memory as staff leave roles at NHS Hull Clinical Commissioning Group (CCG) - Wilberforce Court could leave CCG at risk of delivering key functions </w:t>
            </w:r>
          </w:p>
        </w:tc>
        <w:tc>
          <w:tcPr>
            <w:tcW w:w="3685" w:type="dxa"/>
          </w:tcPr>
          <w:p w14:paraId="1BA67D38" w14:textId="77777777" w:rsidR="009868D1" w:rsidRPr="00D55C9B" w:rsidRDefault="009868D1" w:rsidP="00E46C3B">
            <w:pPr>
              <w:spacing w:line="276" w:lineRule="auto"/>
            </w:pPr>
            <w:r w:rsidRPr="00D55C9B">
              <w:t xml:space="preserve">CCG Due Diligence and Integrated Care System (ICS) / Integrated Care Board (ICB) readiness to operate programmes including, specialty, people plan, transition, workforce planning and records management process. </w:t>
            </w:r>
          </w:p>
          <w:p w14:paraId="5D1E8803" w14:textId="77777777" w:rsidR="009868D1" w:rsidRPr="00D55C9B" w:rsidRDefault="009868D1" w:rsidP="00E46C3B">
            <w:pPr>
              <w:spacing w:line="276" w:lineRule="auto"/>
            </w:pPr>
            <w:r w:rsidRPr="00D55C9B">
              <w:t xml:space="preserve">Shadow Health and Care Partnership Committee been established with development workshops and operational delivery task and finish groups for key functions. </w:t>
            </w:r>
          </w:p>
          <w:p w14:paraId="7754BD8B" w14:textId="77777777" w:rsidR="009868D1" w:rsidRPr="00D55C9B" w:rsidRDefault="009868D1" w:rsidP="00E46C3B">
            <w:pPr>
              <w:spacing w:line="276" w:lineRule="auto"/>
            </w:pPr>
            <w:r w:rsidRPr="00D55C9B">
              <w:t xml:space="preserve">Human Resources management of change programme underway. Organisational Development support for teams in place. Interim arrangements for Clinical Commissioning Group Board (CCG) / clinical leadership ready for consultation. Inclusion of teams in review of all CCG functions across the Humber aligned with other CCG's. </w:t>
            </w:r>
          </w:p>
        </w:tc>
        <w:tc>
          <w:tcPr>
            <w:tcW w:w="2694" w:type="dxa"/>
          </w:tcPr>
          <w:p w14:paraId="08F87144" w14:textId="77777777" w:rsidR="009868D1" w:rsidRPr="00D55C9B" w:rsidRDefault="009868D1" w:rsidP="00E46C3B">
            <w:pPr>
              <w:spacing w:line="276" w:lineRule="auto"/>
            </w:pPr>
            <w:r w:rsidRPr="00D55C9B">
              <w:t>Hull CCG Due Diligence Closedown - Internal Task and Finish Group</w:t>
            </w:r>
          </w:p>
          <w:p w14:paraId="3E1DE33E" w14:textId="77777777" w:rsidR="009868D1" w:rsidRPr="00D55C9B" w:rsidRDefault="009868D1" w:rsidP="00E46C3B">
            <w:pPr>
              <w:spacing w:line="276" w:lineRule="auto"/>
            </w:pPr>
            <w:r w:rsidRPr="00D55C9B">
              <w:t>Hull shadow health and care partnership. Hull Senior Leadership Team (SLT)</w:t>
            </w:r>
          </w:p>
          <w:p w14:paraId="1BA39B71" w14:textId="77777777" w:rsidR="009868D1" w:rsidRPr="00D55C9B" w:rsidRDefault="009868D1" w:rsidP="00E46C3B">
            <w:pPr>
              <w:spacing w:line="276" w:lineRule="auto"/>
            </w:pPr>
            <w:r w:rsidRPr="00D55C9B">
              <w:t>Internal Audit Review ICS programme management group. Humber SLT</w:t>
            </w:r>
          </w:p>
          <w:p w14:paraId="6E8EF053" w14:textId="77777777" w:rsidR="009868D1" w:rsidRPr="00D55C9B" w:rsidRDefault="009868D1" w:rsidP="00E46C3B">
            <w:pPr>
              <w:spacing w:line="276" w:lineRule="auto"/>
            </w:pPr>
          </w:p>
        </w:tc>
      </w:tr>
      <w:tr w:rsidR="009868D1" w:rsidRPr="0000399A" w14:paraId="5CE43FFF" w14:textId="77777777" w:rsidTr="00E46C3B">
        <w:trPr>
          <w:trHeight w:val="70"/>
        </w:trPr>
        <w:tc>
          <w:tcPr>
            <w:tcW w:w="3119" w:type="dxa"/>
          </w:tcPr>
          <w:p w14:paraId="1EB33CC6" w14:textId="77777777" w:rsidR="009868D1" w:rsidRPr="00D55C9B" w:rsidRDefault="009868D1" w:rsidP="00E46C3B">
            <w:pPr>
              <w:spacing w:line="276" w:lineRule="auto"/>
            </w:pPr>
            <w:r w:rsidRPr="00D55C9B">
              <w:t>There is a risk to patient safety due to NRS, from who Hull CCG commission wheelchair, assessment and provision service, being unable to manage the waiting lists for both initial assessment, clinical provision and reviews. As a result patients are experiencing increased waiting times and a lack of appropriate clinical expertise leading to harm.</w:t>
            </w:r>
          </w:p>
        </w:tc>
        <w:tc>
          <w:tcPr>
            <w:tcW w:w="3685" w:type="dxa"/>
          </w:tcPr>
          <w:p w14:paraId="5D2F27CF" w14:textId="77777777" w:rsidR="009868D1" w:rsidRPr="00D55C9B" w:rsidRDefault="009868D1" w:rsidP="00E46C3B">
            <w:pPr>
              <w:spacing w:line="276" w:lineRule="auto"/>
            </w:pPr>
            <w:r w:rsidRPr="00D55C9B">
              <w:t>Twice monthly meetings are in place with the provider to monitor the progress in respect of the management of the waiting lists.</w:t>
            </w:r>
          </w:p>
          <w:p w14:paraId="75170CA8" w14:textId="77777777" w:rsidR="009868D1" w:rsidRPr="00D55C9B" w:rsidRDefault="009868D1" w:rsidP="00E46C3B">
            <w:pPr>
              <w:spacing w:line="276" w:lineRule="auto"/>
            </w:pPr>
            <w:r w:rsidRPr="00D55C9B">
              <w:t>Monthly CMB meetings to review the contract requirements.</w:t>
            </w:r>
          </w:p>
          <w:p w14:paraId="104D8EC8" w14:textId="77777777" w:rsidR="009868D1" w:rsidRPr="00D55C9B" w:rsidRDefault="009868D1" w:rsidP="00E46C3B">
            <w:pPr>
              <w:spacing w:line="276" w:lineRule="auto"/>
            </w:pPr>
            <w:r w:rsidRPr="00D55C9B">
              <w:t>Action plan submitted from NRS detailing the action to manage the waiting lists.</w:t>
            </w:r>
          </w:p>
          <w:p w14:paraId="0A6B4AFA" w14:textId="77777777" w:rsidR="009868D1" w:rsidRPr="00D55C9B" w:rsidDel="001353C4" w:rsidRDefault="009868D1" w:rsidP="00E46C3B">
            <w:pPr>
              <w:spacing w:line="276" w:lineRule="auto"/>
            </w:pPr>
            <w:r w:rsidRPr="00D55C9B">
              <w:t>Monthly meetings to review complaints and the outputs from these.</w:t>
            </w:r>
          </w:p>
        </w:tc>
        <w:tc>
          <w:tcPr>
            <w:tcW w:w="2694" w:type="dxa"/>
          </w:tcPr>
          <w:p w14:paraId="512814C3" w14:textId="77777777" w:rsidR="009868D1" w:rsidRPr="00D55C9B" w:rsidRDefault="009868D1" w:rsidP="00E46C3B">
            <w:pPr>
              <w:spacing w:line="276" w:lineRule="auto"/>
            </w:pPr>
            <w:r w:rsidRPr="00D55C9B">
              <w:t>Provide regular updates via the governance structures to Quality and Performance.</w:t>
            </w:r>
          </w:p>
          <w:p w14:paraId="09B162AC" w14:textId="77777777" w:rsidR="009868D1" w:rsidRPr="00D55C9B" w:rsidRDefault="009868D1" w:rsidP="00E46C3B">
            <w:pPr>
              <w:spacing w:line="276" w:lineRule="auto"/>
            </w:pPr>
            <w:r w:rsidRPr="00D55C9B">
              <w:t>Regular internal meetings to review patient experience information received into the CCG.</w:t>
            </w:r>
          </w:p>
          <w:p w14:paraId="75230E30" w14:textId="77777777" w:rsidR="009868D1" w:rsidRPr="00D55C9B" w:rsidDel="001353C4" w:rsidRDefault="009868D1" w:rsidP="00E46C3B">
            <w:pPr>
              <w:spacing w:line="276" w:lineRule="auto"/>
            </w:pPr>
            <w:r w:rsidRPr="00D55C9B">
              <w:t>Quarterly reports sent as part of the data reporting submissions to NHS England highlighting the 18-week breaches.</w:t>
            </w:r>
          </w:p>
        </w:tc>
      </w:tr>
    </w:tbl>
    <w:p w14:paraId="0C7B2B58" w14:textId="77777777" w:rsidR="00D15093" w:rsidRDefault="00D15093" w:rsidP="009868D1">
      <w:pPr>
        <w:keepNext/>
        <w:keepLines/>
        <w:outlineLvl w:val="4"/>
        <w:rPr>
          <w:rFonts w:eastAsiaTheme="majorEastAsia" w:cs="Arial"/>
          <w:b/>
        </w:rPr>
      </w:pPr>
      <w:bookmarkStart w:id="124" w:name="_Toc437807155"/>
      <w:bookmarkEnd w:id="123"/>
    </w:p>
    <w:p w14:paraId="1E6E4146" w14:textId="77777777" w:rsidR="00D15093" w:rsidRDefault="00D15093">
      <w:pPr>
        <w:tabs>
          <w:tab w:val="clear" w:pos="2835"/>
          <w:tab w:val="clear" w:pos="5670"/>
          <w:tab w:val="clear" w:pos="9016"/>
        </w:tabs>
        <w:spacing w:before="0" w:after="200"/>
        <w:rPr>
          <w:rFonts w:eastAsiaTheme="majorEastAsia" w:cs="Arial"/>
          <w:b/>
        </w:rPr>
      </w:pPr>
      <w:r>
        <w:rPr>
          <w:rFonts w:eastAsiaTheme="majorEastAsia" w:cs="Arial"/>
          <w:b/>
        </w:rPr>
        <w:br w:type="page"/>
      </w:r>
    </w:p>
    <w:p w14:paraId="05458FAB" w14:textId="6C3A94E0" w:rsidR="009868D1" w:rsidRPr="00BC534A" w:rsidRDefault="009868D1" w:rsidP="009868D1">
      <w:pPr>
        <w:keepNext/>
        <w:keepLines/>
        <w:outlineLvl w:val="4"/>
        <w:rPr>
          <w:rFonts w:eastAsiaTheme="majorEastAsia" w:cs="Arial"/>
          <w:b/>
        </w:rPr>
      </w:pPr>
      <w:r w:rsidRPr="00BC534A">
        <w:rPr>
          <w:rFonts w:eastAsiaTheme="majorEastAsia" w:cs="Arial"/>
          <w:b/>
        </w:rPr>
        <w:lastRenderedPageBreak/>
        <w:t xml:space="preserve">Other sources of assurance </w:t>
      </w:r>
    </w:p>
    <w:p w14:paraId="58A53703" w14:textId="77777777" w:rsidR="009868D1" w:rsidRPr="00BC534A" w:rsidRDefault="009868D1" w:rsidP="009868D1">
      <w:pPr>
        <w:keepNext/>
        <w:keepLines/>
        <w:outlineLvl w:val="3"/>
        <w:rPr>
          <w:rFonts w:eastAsiaTheme="majorEastAsia" w:cs="Arial"/>
          <w:bCs/>
          <w:i/>
          <w:iCs/>
        </w:rPr>
      </w:pPr>
      <w:r w:rsidRPr="00BC534A">
        <w:rPr>
          <w:rFonts w:eastAsiaTheme="majorEastAsia" w:cs="Arial"/>
          <w:bCs/>
          <w:i/>
          <w:iCs/>
        </w:rPr>
        <w:t>Internal Control Framework</w:t>
      </w:r>
      <w:bookmarkEnd w:id="124"/>
    </w:p>
    <w:p w14:paraId="04A8E6C0" w14:textId="05739A26" w:rsidR="009868D1" w:rsidRPr="00BC534A" w:rsidRDefault="009868D1" w:rsidP="009868D1">
      <w:pPr>
        <w:rPr>
          <w:rFonts w:eastAsia="Times New Roman" w:cs="Arial"/>
        </w:rPr>
      </w:pPr>
      <w:r w:rsidRPr="00BC534A">
        <w:rPr>
          <w:rFonts w:eastAsia="Times New Roman" w:cs="Arial"/>
        </w:rPr>
        <w:t>A system of internal control is the set of processes and procedures in place in the CCG to ensure it delivers its policies, aims and objectives.  It is designed to identify and prioritise the risks, to evaluate the likelihood of those risks being realised and the impact should they be realised, and to manage them efficiently, effectively and economically.</w:t>
      </w:r>
      <w:r>
        <w:rPr>
          <w:rFonts w:eastAsia="Times New Roman" w:cs="Arial"/>
        </w:rPr>
        <w:t xml:space="preserve"> </w:t>
      </w:r>
      <w:r w:rsidRPr="00BC534A">
        <w:rPr>
          <w:rFonts w:eastAsia="Times New Roman" w:cs="Arial"/>
        </w:rPr>
        <w:t>T</w:t>
      </w:r>
      <w:r>
        <w:rPr>
          <w:rFonts w:eastAsia="Times New Roman" w:cs="Arial"/>
        </w:rPr>
        <w:t>h</w:t>
      </w:r>
      <w:r w:rsidRPr="00BC534A">
        <w:rPr>
          <w:rFonts w:eastAsia="Times New Roman" w:cs="Arial"/>
        </w:rPr>
        <w:t>e system of internal control allows risk to be managed to a reasonable level rather than eliminating all risk; it can therefore only provide reasonable and not absolute assurance of effectiveness.</w:t>
      </w:r>
    </w:p>
    <w:p w14:paraId="139B83DC" w14:textId="3EED4DB1" w:rsidR="009868D1" w:rsidRDefault="009868D1" w:rsidP="009868D1">
      <w:pPr>
        <w:keepNext/>
        <w:keepLines/>
        <w:outlineLvl w:val="4"/>
        <w:rPr>
          <w:rFonts w:eastAsiaTheme="majorEastAsia" w:cs="Arial"/>
        </w:rPr>
      </w:pPr>
      <w:bookmarkStart w:id="125" w:name="_Toc437807156"/>
      <w:r w:rsidRPr="00BC534A">
        <w:rPr>
          <w:rFonts w:eastAsiaTheme="majorEastAsia" w:cs="Arial"/>
        </w:rPr>
        <w:t xml:space="preserve">The Governing Body, on behalf of the Council of Members, ensures that the organisation maintains a comprehensive system of internal control through the application of its standing orders, prime financial policies and scheme of delegation. These are supported by a comprehensive suite of financial and governance policies. </w:t>
      </w:r>
    </w:p>
    <w:p w14:paraId="35F41D10" w14:textId="30CA4762" w:rsidR="009868D1" w:rsidRPr="00243637" w:rsidRDefault="009868D1" w:rsidP="009868D1">
      <w:pPr>
        <w:keepNext/>
        <w:keepLines/>
        <w:outlineLvl w:val="4"/>
        <w:rPr>
          <w:rFonts w:eastAsiaTheme="majorEastAsia" w:cs="Arial"/>
        </w:rPr>
      </w:pPr>
      <w:r w:rsidRPr="00BC534A">
        <w:rPr>
          <w:rFonts w:eastAsiaTheme="majorEastAsia" w:cs="Arial"/>
        </w:rPr>
        <w:t>The Integrated Audit and Governance Committee routinely consider performance and other reports which enable it to assess the effectiveness of internal control mechanisms. It then provides an opinion to the Governing Body as to the adequacy of these.</w:t>
      </w:r>
    </w:p>
    <w:p w14:paraId="710BAEF3" w14:textId="77777777" w:rsidR="009868D1" w:rsidRPr="00BC534A" w:rsidRDefault="009868D1" w:rsidP="009868D1">
      <w:pPr>
        <w:keepNext/>
        <w:keepLines/>
        <w:outlineLvl w:val="4"/>
        <w:rPr>
          <w:rFonts w:eastAsiaTheme="majorEastAsia" w:cs="Arial"/>
          <w:i/>
        </w:rPr>
      </w:pPr>
      <w:r w:rsidRPr="00BC534A">
        <w:rPr>
          <w:rFonts w:eastAsiaTheme="majorEastAsia" w:cs="Arial"/>
          <w:i/>
        </w:rPr>
        <w:t xml:space="preserve">Annual audit of conflicts of interest management </w:t>
      </w:r>
    </w:p>
    <w:p w14:paraId="02798294" w14:textId="576613BA" w:rsidR="009868D1" w:rsidRPr="00243637" w:rsidRDefault="009868D1" w:rsidP="00243637">
      <w:pPr>
        <w:rPr>
          <w:rFonts w:eastAsia="Times New Roman" w:cs="Arial"/>
        </w:rPr>
      </w:pPr>
      <w:r w:rsidRPr="00BC534A">
        <w:rPr>
          <w:rFonts w:eastAsia="Times New Roman" w:cs="Arial"/>
        </w:rPr>
        <w:t>The revised statutory guidance on managing conflicts of interest for CCGs (published June 2017) requires CCGs to undertake an annual internal audit of conflicts of interest management. For 2021</w:t>
      </w:r>
      <w:r w:rsidR="00886E22">
        <w:rPr>
          <w:rFonts w:eastAsia="Times New Roman" w:cs="Arial"/>
        </w:rPr>
        <w:t>-</w:t>
      </w:r>
      <w:r w:rsidRPr="00BC534A">
        <w:rPr>
          <w:rFonts w:eastAsia="Times New Roman" w:cs="Arial"/>
        </w:rPr>
        <w:t xml:space="preserve">22, the CCG was assessed as having governance, risk management and control arrangements that provide high assurance that the risks identified are managed effectively. Compliance with the control framework was found to be taking place. </w:t>
      </w:r>
      <w:bookmarkStart w:id="126" w:name="_Toc437807163"/>
    </w:p>
    <w:p w14:paraId="0A930930" w14:textId="77777777" w:rsidR="009868D1" w:rsidRPr="00BC534A" w:rsidRDefault="009868D1" w:rsidP="009868D1">
      <w:pPr>
        <w:keepNext/>
        <w:keepLines/>
        <w:outlineLvl w:val="3"/>
        <w:rPr>
          <w:rFonts w:eastAsiaTheme="majorEastAsia" w:cs="Arial"/>
          <w:bCs/>
          <w:i/>
          <w:iCs/>
        </w:rPr>
      </w:pPr>
      <w:r w:rsidRPr="00BC534A">
        <w:rPr>
          <w:rFonts w:eastAsiaTheme="majorEastAsia" w:cs="Arial"/>
          <w:bCs/>
          <w:i/>
          <w:iCs/>
        </w:rPr>
        <w:t>Data Quality</w:t>
      </w:r>
      <w:bookmarkEnd w:id="126"/>
    </w:p>
    <w:p w14:paraId="776A1DE5" w14:textId="2730160E" w:rsidR="009868D1" w:rsidRPr="00243637" w:rsidRDefault="009868D1" w:rsidP="00243637">
      <w:pPr>
        <w:rPr>
          <w:rFonts w:eastAsia="Times New Roman" w:cs="Arial"/>
          <w:highlight w:val="yellow"/>
        </w:rPr>
      </w:pPr>
      <w:r w:rsidRPr="00BC534A">
        <w:rPr>
          <w:rFonts w:eastAsia="Times New Roman" w:cs="Arial"/>
        </w:rPr>
        <w:t>The Governing Body is advised by its Quality &amp; Performance Committee as to the maintenance of a satisfactory level of data quality available and the CCG maintains a process of continuous data quality improvement.</w:t>
      </w:r>
    </w:p>
    <w:p w14:paraId="3D09CF3B" w14:textId="77777777" w:rsidR="009868D1" w:rsidRPr="00BC534A" w:rsidRDefault="009868D1" w:rsidP="009868D1">
      <w:pPr>
        <w:keepNext/>
        <w:keepLines/>
        <w:outlineLvl w:val="3"/>
        <w:rPr>
          <w:rFonts w:eastAsiaTheme="majorEastAsia" w:cs="Arial"/>
          <w:bCs/>
          <w:i/>
          <w:iCs/>
        </w:rPr>
      </w:pPr>
      <w:r w:rsidRPr="00BC534A">
        <w:rPr>
          <w:rFonts w:eastAsiaTheme="majorEastAsia" w:cs="Arial"/>
          <w:bCs/>
          <w:i/>
          <w:iCs/>
        </w:rPr>
        <w:t>Information Governance</w:t>
      </w:r>
      <w:bookmarkEnd w:id="125"/>
    </w:p>
    <w:p w14:paraId="4432B535" w14:textId="7ACAD93F" w:rsidR="009868D1" w:rsidRDefault="009868D1" w:rsidP="009868D1">
      <w:pPr>
        <w:rPr>
          <w:rFonts w:eastAsia="Times New Roman" w:cs="Arial"/>
        </w:rPr>
      </w:pPr>
      <w:r w:rsidRPr="00BC534A">
        <w:rPr>
          <w:rFonts w:eastAsia="Times New Roman" w:cs="Arial"/>
        </w:rPr>
        <w:t>The NHS Information Governance Framework sets the processes and procedures by which the NHS handles information about patients and employees, in particular personal identifiable information.  The NHS Information Governance Framework is supported by an information governance toolkit and the annual submission process provides assurances to the CCG, other organisations and to individuals that personal information is dealt with legally, securely, efficiently and effectively.</w:t>
      </w:r>
    </w:p>
    <w:p w14:paraId="0E598495" w14:textId="06CAE37D" w:rsidR="009868D1" w:rsidRPr="00BC534A" w:rsidRDefault="009868D1" w:rsidP="009868D1">
      <w:pPr>
        <w:rPr>
          <w:rFonts w:eastAsia="Times New Roman" w:cs="Arial"/>
        </w:rPr>
      </w:pPr>
      <w:r w:rsidRPr="00BC534A">
        <w:rPr>
          <w:rFonts w:eastAsia="Times New Roman" w:cs="Arial"/>
        </w:rPr>
        <w:t xml:space="preserve">We have submitted a </w:t>
      </w:r>
      <w:r w:rsidRPr="00BC534A">
        <w:rPr>
          <w:rFonts w:eastAsia="Times New Roman" w:cs="Arial"/>
          <w:highlight w:val="yellow"/>
        </w:rPr>
        <w:t>high</w:t>
      </w:r>
      <w:r w:rsidRPr="00BC534A">
        <w:rPr>
          <w:rFonts w:eastAsia="Times New Roman" w:cs="Arial"/>
        </w:rPr>
        <w:t xml:space="preserve"> level of compliance with the data security and protection toolkit assessment and have established an information governance management framework. Information governance processes and procedures have been developed in line with the data security and protection toolkit.  </w:t>
      </w:r>
      <w:r w:rsidRPr="00BC534A">
        <w:rPr>
          <w:rFonts w:eastAsia="Times New Roman" w:cs="Arial"/>
          <w:highlight w:val="yellow"/>
        </w:rPr>
        <w:t>We have ensured all staff undertake annual information governance training and have taken steps to ensure staff are aware of their information governance roles and responsibilities.</w:t>
      </w:r>
    </w:p>
    <w:p w14:paraId="036D1AE9" w14:textId="52FD2EA3" w:rsidR="009868D1" w:rsidRPr="00BC534A" w:rsidRDefault="009868D1" w:rsidP="009868D1">
      <w:pPr>
        <w:rPr>
          <w:rFonts w:eastAsia="Times New Roman" w:cs="Arial"/>
        </w:rPr>
      </w:pPr>
      <w:r w:rsidRPr="00BC534A">
        <w:rPr>
          <w:rFonts w:eastAsia="Times New Roman" w:cs="Arial"/>
        </w:rPr>
        <w:t>There are processes in place for incident reporting and investigation of serious incidents.  We are developing information risk assessment and management procedures and a programme will be established to fully embed an information risk culture throughout the organisation against identified risks.</w:t>
      </w:r>
    </w:p>
    <w:p w14:paraId="0BAE1D76" w14:textId="77777777" w:rsidR="009868D1" w:rsidRPr="00BC534A" w:rsidRDefault="009868D1" w:rsidP="009868D1">
      <w:pPr>
        <w:keepNext/>
        <w:keepLines/>
        <w:outlineLvl w:val="3"/>
        <w:rPr>
          <w:rFonts w:eastAsiaTheme="majorEastAsia" w:cs="Arial"/>
          <w:bCs/>
          <w:i/>
          <w:iCs/>
        </w:rPr>
      </w:pPr>
      <w:bookmarkStart w:id="127" w:name="_Toc437807164"/>
      <w:bookmarkStart w:id="128" w:name="_Toc437807157"/>
      <w:r w:rsidRPr="00BC534A">
        <w:rPr>
          <w:rFonts w:eastAsiaTheme="majorEastAsia" w:cs="Arial"/>
          <w:bCs/>
          <w:i/>
          <w:iCs/>
        </w:rPr>
        <w:lastRenderedPageBreak/>
        <w:t>Business Critical Models</w:t>
      </w:r>
      <w:bookmarkEnd w:id="127"/>
    </w:p>
    <w:p w14:paraId="527CB8C0" w14:textId="55F2FAA8" w:rsidR="009868D1" w:rsidRPr="00BC534A" w:rsidRDefault="009868D1" w:rsidP="009868D1">
      <w:pPr>
        <w:rPr>
          <w:rFonts w:cs="Arial"/>
        </w:rPr>
      </w:pPr>
      <w:r w:rsidRPr="00BC534A">
        <w:rPr>
          <w:rFonts w:cs="Arial"/>
        </w:rPr>
        <w:t xml:space="preserve">The CCG recognises the principles reflected in the Macpherson Report as a direction of travel for business modelling in respect of service analysis, planning and delivery. An appropriate framework and environment is in place to provide quality assurance of business critical models within the CCG. The CCG has adopted a range of quality assurance systems to mitigate business risks. </w:t>
      </w:r>
    </w:p>
    <w:p w14:paraId="15C8884D" w14:textId="77777777" w:rsidR="009868D1" w:rsidRPr="00BC534A" w:rsidRDefault="009868D1" w:rsidP="009868D1">
      <w:pPr>
        <w:rPr>
          <w:rFonts w:cs="Arial"/>
        </w:rPr>
      </w:pPr>
      <w:r w:rsidRPr="00BC534A">
        <w:rPr>
          <w:rFonts w:cs="Arial"/>
        </w:rPr>
        <w:t>These include:</w:t>
      </w:r>
    </w:p>
    <w:p w14:paraId="4921B0B0" w14:textId="36DBF3B8" w:rsidR="009868D1" w:rsidRPr="00243637" w:rsidRDefault="009868D1" w:rsidP="0062761B">
      <w:pPr>
        <w:pStyle w:val="ListParagraph"/>
        <w:numPr>
          <w:ilvl w:val="0"/>
          <w:numId w:val="49"/>
        </w:numPr>
        <w:rPr>
          <w:rFonts w:cs="Arial"/>
        </w:rPr>
      </w:pPr>
      <w:r w:rsidRPr="00243637">
        <w:rPr>
          <w:rFonts w:cs="Arial"/>
        </w:rPr>
        <w:t xml:space="preserve">Stakeholder experience including patient complaints and serious untoward incident management arrangements; </w:t>
      </w:r>
    </w:p>
    <w:p w14:paraId="2C842B0D" w14:textId="0115565E" w:rsidR="009868D1" w:rsidRPr="00243637" w:rsidRDefault="009868D1" w:rsidP="0062761B">
      <w:pPr>
        <w:pStyle w:val="ListParagraph"/>
        <w:numPr>
          <w:ilvl w:val="0"/>
          <w:numId w:val="49"/>
        </w:numPr>
        <w:rPr>
          <w:rFonts w:cs="Arial"/>
        </w:rPr>
      </w:pPr>
      <w:r w:rsidRPr="00243637">
        <w:rPr>
          <w:rFonts w:cs="Arial"/>
        </w:rPr>
        <w:t>Risk Assessment (including risk registers and a board assurance framework);</w:t>
      </w:r>
    </w:p>
    <w:p w14:paraId="657466C4" w14:textId="342A9D52" w:rsidR="009868D1" w:rsidRPr="00243637" w:rsidRDefault="009868D1" w:rsidP="0062761B">
      <w:pPr>
        <w:pStyle w:val="ListParagraph"/>
        <w:numPr>
          <w:ilvl w:val="0"/>
          <w:numId w:val="49"/>
        </w:numPr>
        <w:rPr>
          <w:rFonts w:cs="Arial"/>
        </w:rPr>
      </w:pPr>
      <w:r w:rsidRPr="00243637">
        <w:rPr>
          <w:rFonts w:cs="Arial"/>
        </w:rPr>
        <w:t>Internal Audit Programme and External Audit review;</w:t>
      </w:r>
    </w:p>
    <w:p w14:paraId="3D974D43" w14:textId="076D6D19" w:rsidR="009868D1" w:rsidRPr="00243637" w:rsidRDefault="009868D1" w:rsidP="0062761B">
      <w:pPr>
        <w:pStyle w:val="ListParagraph"/>
        <w:numPr>
          <w:ilvl w:val="0"/>
          <w:numId w:val="49"/>
        </w:numPr>
        <w:rPr>
          <w:rFonts w:cs="Arial"/>
        </w:rPr>
      </w:pPr>
      <w:r w:rsidRPr="00243637">
        <w:rPr>
          <w:rFonts w:cs="Arial"/>
        </w:rPr>
        <w:t>Executive Leads with clear work portfolios;</w:t>
      </w:r>
    </w:p>
    <w:p w14:paraId="707BD7EE" w14:textId="65392244" w:rsidR="009868D1" w:rsidRPr="00243637" w:rsidRDefault="009868D1" w:rsidP="0062761B">
      <w:pPr>
        <w:pStyle w:val="ListParagraph"/>
        <w:numPr>
          <w:ilvl w:val="0"/>
          <w:numId w:val="49"/>
        </w:numPr>
        <w:rPr>
          <w:rFonts w:cs="Arial"/>
        </w:rPr>
      </w:pPr>
      <w:r w:rsidRPr="00243637">
        <w:rPr>
          <w:rFonts w:cs="Arial"/>
        </w:rPr>
        <w:t>Policy control and review processes;</w:t>
      </w:r>
    </w:p>
    <w:p w14:paraId="5A17C86F" w14:textId="6938FD62" w:rsidR="009868D1" w:rsidRPr="00243637" w:rsidRDefault="009868D1" w:rsidP="0062761B">
      <w:pPr>
        <w:pStyle w:val="ListParagraph"/>
        <w:numPr>
          <w:ilvl w:val="0"/>
          <w:numId w:val="49"/>
        </w:numPr>
        <w:rPr>
          <w:rFonts w:cs="Arial"/>
        </w:rPr>
      </w:pPr>
      <w:r w:rsidRPr="00243637">
        <w:rPr>
          <w:rFonts w:cs="Arial"/>
        </w:rPr>
        <w:t>Public and Patient Engagement, and</w:t>
      </w:r>
    </w:p>
    <w:p w14:paraId="5B708F4E" w14:textId="0DA8233F" w:rsidR="009868D1" w:rsidRPr="00243637" w:rsidRDefault="009868D1" w:rsidP="0062761B">
      <w:pPr>
        <w:pStyle w:val="ListParagraph"/>
        <w:numPr>
          <w:ilvl w:val="0"/>
          <w:numId w:val="49"/>
        </w:numPr>
        <w:rPr>
          <w:rFonts w:cs="Arial"/>
        </w:rPr>
      </w:pPr>
      <w:r w:rsidRPr="00243637">
        <w:rPr>
          <w:rFonts w:cs="Arial"/>
        </w:rPr>
        <w:t>Third Party Assurance mechanisms.</w:t>
      </w:r>
    </w:p>
    <w:p w14:paraId="08367F6D" w14:textId="77777777" w:rsidR="009868D1" w:rsidRDefault="009868D1" w:rsidP="009868D1">
      <w:pPr>
        <w:keepNext/>
        <w:keepLines/>
        <w:outlineLvl w:val="3"/>
        <w:rPr>
          <w:rFonts w:eastAsiaTheme="majorEastAsia" w:cs="Arial"/>
          <w:bCs/>
          <w:i/>
          <w:iCs/>
        </w:rPr>
      </w:pPr>
      <w:r w:rsidRPr="0073306A">
        <w:rPr>
          <w:rFonts w:eastAsiaTheme="majorEastAsia" w:cs="Arial"/>
          <w:bCs/>
          <w:i/>
          <w:iCs/>
        </w:rPr>
        <w:t>Third party assurances</w:t>
      </w:r>
      <w:r>
        <w:rPr>
          <w:rFonts w:eastAsiaTheme="majorEastAsia" w:cs="Arial"/>
          <w:bCs/>
          <w:i/>
          <w:iCs/>
        </w:rPr>
        <w:t xml:space="preserve"> – </w:t>
      </w:r>
      <w:r w:rsidRPr="00A3700D">
        <w:rPr>
          <w:rFonts w:eastAsiaTheme="majorEastAsia" w:cs="Arial"/>
          <w:b/>
          <w:highlight w:val="yellow"/>
        </w:rPr>
        <w:t>TBC via Finance Team</w:t>
      </w:r>
      <w:r>
        <w:rPr>
          <w:rFonts w:eastAsiaTheme="majorEastAsia" w:cs="Arial"/>
          <w:b/>
        </w:rPr>
        <w:t xml:space="preserve"> </w:t>
      </w:r>
    </w:p>
    <w:p w14:paraId="34DA76ED" w14:textId="065CF13F" w:rsidR="009868D1" w:rsidRPr="00243637" w:rsidRDefault="009868D1" w:rsidP="00243637">
      <w:pPr>
        <w:keepNext/>
        <w:keepLines/>
        <w:outlineLvl w:val="3"/>
        <w:rPr>
          <w:rFonts w:eastAsiaTheme="majorEastAsia" w:cs="Arial"/>
          <w:bCs/>
          <w:i/>
          <w:iCs/>
          <w:highlight w:val="yellow"/>
        </w:rPr>
      </w:pPr>
      <w:r w:rsidRPr="00BC534A">
        <w:rPr>
          <w:rFonts w:cs="Arial"/>
          <w:highlight w:val="yellow"/>
        </w:rPr>
        <w:t xml:space="preserve">The CCG currently contracts with a number of external organisations for the provision of support services and functions. This specifically includes the NHS Business Services Authority, and Capita. Assurances on the effectiveness of the controls in place for these third parties are received in part from an annual Service Auditor Report from the relevant service.  and I have been advised that such assurances have been provided for 2020/21. </w:t>
      </w:r>
    </w:p>
    <w:p w14:paraId="7C26D881" w14:textId="369FAAB2" w:rsidR="009868D1" w:rsidRPr="00243637" w:rsidRDefault="009868D1" w:rsidP="00243637">
      <w:pPr>
        <w:shd w:val="clear" w:color="auto" w:fill="FFFFFF" w:themeFill="background1"/>
        <w:rPr>
          <w:rFonts w:cs="Arial"/>
        </w:rPr>
      </w:pPr>
      <w:r w:rsidRPr="00BC534A">
        <w:rPr>
          <w:rFonts w:cs="Arial"/>
          <w:highlight w:val="yellow"/>
        </w:rPr>
        <w:t>Both the NHS Business Services Authority and Capita have received qualified opinions from their respective auditors on account of further assurance being required on the adequacy of a small number of controls. I am advised that appropriate plans have been developed to strengthen the relevant controls during the forthcoming year by both organisations.</w:t>
      </w:r>
      <w:r w:rsidRPr="00A3700D">
        <w:rPr>
          <w:rFonts w:cs="Arial"/>
        </w:rPr>
        <w:t xml:space="preserve"> </w:t>
      </w:r>
    </w:p>
    <w:p w14:paraId="794CBADB" w14:textId="77777777" w:rsidR="009868D1" w:rsidRPr="0073306A" w:rsidRDefault="009868D1" w:rsidP="009868D1">
      <w:pPr>
        <w:keepNext/>
        <w:keepLines/>
        <w:outlineLvl w:val="3"/>
        <w:rPr>
          <w:rFonts w:eastAsiaTheme="majorEastAsia" w:cs="Arial"/>
          <w:b/>
          <w:bCs/>
          <w:iCs/>
        </w:rPr>
      </w:pPr>
      <w:r w:rsidRPr="0073306A">
        <w:rPr>
          <w:rFonts w:eastAsiaTheme="majorEastAsia" w:cs="Arial"/>
          <w:b/>
          <w:bCs/>
          <w:iCs/>
        </w:rPr>
        <w:t>Control Issues</w:t>
      </w:r>
    </w:p>
    <w:p w14:paraId="6E5F98DD" w14:textId="6FFC374E" w:rsidR="009868D1" w:rsidRDefault="009868D1" w:rsidP="009868D1">
      <w:pPr>
        <w:rPr>
          <w:rFonts w:eastAsia="Times New Roman" w:cs="Arial"/>
        </w:rPr>
      </w:pPr>
      <w:r w:rsidRPr="0073306A">
        <w:rPr>
          <w:rFonts w:eastAsia="Times New Roman" w:cs="Arial"/>
        </w:rPr>
        <w:t>The CCG achieved a high level of performance across the operating framework requirements.</w:t>
      </w:r>
      <w:r>
        <w:rPr>
          <w:rFonts w:eastAsia="Times New Roman" w:cs="Arial"/>
        </w:rPr>
        <w:t xml:space="preserve"> For a significant </w:t>
      </w:r>
      <w:r w:rsidRPr="00D326D4">
        <w:rPr>
          <w:rFonts w:eastAsia="Times New Roman" w:cs="Arial"/>
        </w:rPr>
        <w:t xml:space="preserve">part of </w:t>
      </w:r>
      <w:r w:rsidR="00D04C55" w:rsidRPr="00D326D4">
        <w:rPr>
          <w:rFonts w:eastAsia="Times New Roman" w:cs="Arial"/>
        </w:rPr>
        <w:t>2021-22</w:t>
      </w:r>
      <w:r w:rsidRPr="00D326D4">
        <w:rPr>
          <w:rFonts w:eastAsia="Times New Roman" w:cs="Arial"/>
        </w:rPr>
        <w:t xml:space="preserve"> the CCG continued to focus on the leadership of the local system response to the Coronavirus Pandemic. This</w:t>
      </w:r>
      <w:r w:rsidRPr="004F5587">
        <w:rPr>
          <w:rFonts w:eastAsia="Times New Roman" w:cs="Arial"/>
        </w:rPr>
        <w:t xml:space="preserve"> has included taking steps to ensure the continuity and indeed accelerate, where appropriate, the resource flow through the local system whilst continuing to maintain a sound and robust control framework.</w:t>
      </w:r>
    </w:p>
    <w:p w14:paraId="4AB2BAD3" w14:textId="3085E9B5" w:rsidR="000B75A3" w:rsidRPr="000B75A3" w:rsidRDefault="009868D1" w:rsidP="000B75A3">
      <w:pPr>
        <w:rPr>
          <w:rFonts w:eastAsia="Times New Roman" w:cs="Arial"/>
        </w:rPr>
      </w:pPr>
      <w:r>
        <w:rPr>
          <w:rFonts w:eastAsia="Times New Roman" w:cs="Arial"/>
        </w:rPr>
        <w:t>Final performance reporting was disrupted on account of the major incident actions in response to the Coronavirus Pandemic, however,</w:t>
      </w:r>
      <w:r w:rsidRPr="0073306A">
        <w:rPr>
          <w:rFonts w:eastAsia="Times New Roman" w:cs="Arial"/>
        </w:rPr>
        <w:t xml:space="preserve"> performance </w:t>
      </w:r>
      <w:r>
        <w:rPr>
          <w:rFonts w:eastAsia="Times New Roman" w:cs="Arial"/>
        </w:rPr>
        <w:t>had been</w:t>
      </w:r>
      <w:r w:rsidRPr="0073306A">
        <w:rPr>
          <w:rFonts w:eastAsia="Times New Roman" w:cs="Arial"/>
        </w:rPr>
        <w:t xml:space="preserve"> below the target level </w:t>
      </w:r>
      <w:r>
        <w:rPr>
          <w:rFonts w:eastAsia="Times New Roman" w:cs="Arial"/>
        </w:rPr>
        <w:t xml:space="preserve">and unlikely to have recovered by the year-end </w:t>
      </w:r>
      <w:r w:rsidRPr="0073306A">
        <w:rPr>
          <w:rFonts w:eastAsia="Times New Roman" w:cs="Arial"/>
        </w:rPr>
        <w:t>in the following areas:</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8"/>
        <w:gridCol w:w="142"/>
        <w:gridCol w:w="1276"/>
        <w:gridCol w:w="1559"/>
        <w:gridCol w:w="1701"/>
      </w:tblGrid>
      <w:tr w:rsidR="009868D1" w:rsidRPr="00C76B69" w14:paraId="40AD4998" w14:textId="77777777" w:rsidTr="00E46C3B">
        <w:trPr>
          <w:trHeight w:val="510"/>
        </w:trPr>
        <w:tc>
          <w:tcPr>
            <w:tcW w:w="526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0CDCD76D" w14:textId="77777777" w:rsidR="009868D1" w:rsidRPr="000B75A3" w:rsidRDefault="009868D1" w:rsidP="000B75A3">
            <w:pPr>
              <w:spacing w:before="0" w:after="0"/>
              <w:rPr>
                <w:rFonts w:eastAsia="Times New Roman" w:cs="Arial"/>
                <w:b/>
                <w:bCs/>
                <w:sz w:val="20"/>
                <w:szCs w:val="20"/>
              </w:rPr>
            </w:pPr>
            <w:r w:rsidRPr="000B75A3">
              <w:rPr>
                <w:rFonts w:eastAsia="Times New Roman" w:cs="Arial"/>
                <w:b/>
                <w:bCs/>
                <w:sz w:val="20"/>
                <w:szCs w:val="20"/>
              </w:rPr>
              <w:t xml:space="preserve">NHS HULL CCG PERFORMANCE </w:t>
            </w:r>
          </w:p>
        </w:tc>
        <w:tc>
          <w:tcPr>
            <w:tcW w:w="127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0F4124AD" w14:textId="77777777" w:rsidR="009868D1" w:rsidRPr="000B75A3" w:rsidRDefault="009868D1" w:rsidP="00E46C3B">
            <w:pPr>
              <w:rPr>
                <w:rFonts w:eastAsia="Times New Roman"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5128BD8A" w14:textId="2CC04B5C" w:rsidR="009868D1" w:rsidRPr="000B75A3" w:rsidRDefault="009868D1" w:rsidP="000B75A3">
            <w:pPr>
              <w:spacing w:before="0" w:after="0"/>
              <w:rPr>
                <w:rFonts w:eastAsia="Times New Roman" w:cs="Arial"/>
                <w:b/>
                <w:bCs/>
                <w:sz w:val="20"/>
                <w:szCs w:val="20"/>
              </w:rPr>
            </w:pPr>
            <w:r w:rsidRPr="000B75A3">
              <w:rPr>
                <w:rFonts w:eastAsia="Times New Roman" w:cs="Arial"/>
                <w:b/>
                <w:bCs/>
                <w:sz w:val="20"/>
                <w:szCs w:val="20"/>
              </w:rPr>
              <w:t>Actual (2021</w:t>
            </w:r>
            <w:r w:rsidR="00886E22">
              <w:rPr>
                <w:rFonts w:eastAsia="Times New Roman" w:cs="Arial"/>
                <w:b/>
                <w:bCs/>
                <w:sz w:val="20"/>
                <w:szCs w:val="20"/>
              </w:rPr>
              <w:t>-</w:t>
            </w:r>
            <w:r w:rsidRPr="000B75A3">
              <w:rPr>
                <w:rFonts w:eastAsia="Times New Roman" w:cs="Arial"/>
                <w:b/>
                <w:bCs/>
                <w:sz w:val="20"/>
                <w:szCs w:val="20"/>
              </w:rPr>
              <w:t>22)</w:t>
            </w: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22FC35EB" w14:textId="77777777" w:rsidR="009868D1" w:rsidRPr="000B75A3" w:rsidRDefault="009868D1" w:rsidP="00E46C3B">
            <w:pPr>
              <w:rPr>
                <w:rFonts w:eastAsia="Times New Roman" w:cs="Arial"/>
                <w:b/>
                <w:bCs/>
                <w:sz w:val="20"/>
                <w:szCs w:val="20"/>
              </w:rPr>
            </w:pPr>
            <w:r w:rsidRPr="000B75A3">
              <w:rPr>
                <w:rFonts w:eastAsia="Times New Roman" w:cs="Arial"/>
                <w:b/>
                <w:bCs/>
                <w:sz w:val="20"/>
                <w:szCs w:val="20"/>
              </w:rPr>
              <w:t>Target</w:t>
            </w:r>
          </w:p>
        </w:tc>
      </w:tr>
      <w:tr w:rsidR="009868D1" w:rsidRPr="00C76B69" w14:paraId="16F78AA1" w14:textId="77777777" w:rsidTr="000B75A3">
        <w:trPr>
          <w:trHeight w:val="130"/>
        </w:trPr>
        <w:tc>
          <w:tcPr>
            <w:tcW w:w="526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2ED2229" w14:textId="77777777" w:rsidR="009868D1" w:rsidRPr="000B75A3" w:rsidRDefault="009868D1" w:rsidP="000B75A3">
            <w:pPr>
              <w:spacing w:before="0" w:after="0"/>
              <w:rPr>
                <w:rFonts w:eastAsia="Times New Roman" w:cs="Arial"/>
                <w:b/>
                <w:bCs/>
                <w:sz w:val="20"/>
                <w:szCs w:val="20"/>
              </w:rPr>
            </w:pPr>
            <w:r w:rsidRPr="000B75A3">
              <w:rPr>
                <w:rFonts w:eastAsia="Times New Roman" w:cs="Arial"/>
                <w:b/>
                <w:bCs/>
                <w:sz w:val="20"/>
                <w:szCs w:val="20"/>
              </w:rPr>
              <w:t>NHS NATIONAL REQUIREMENTS</w:t>
            </w:r>
          </w:p>
        </w:tc>
        <w:tc>
          <w:tcPr>
            <w:tcW w:w="127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E4465D8" w14:textId="77777777" w:rsidR="009868D1" w:rsidRPr="000B75A3" w:rsidRDefault="009868D1" w:rsidP="00E46C3B">
            <w:pPr>
              <w:rPr>
                <w:rFonts w:eastAsia="Times New Roman" w:cs="Arial"/>
                <w:b/>
                <w:bCs/>
                <w:sz w:val="20"/>
                <w:szCs w:val="20"/>
              </w:rPr>
            </w:pPr>
            <w:r w:rsidRPr="000B75A3">
              <w:rPr>
                <w:rFonts w:eastAsia="Times New Roman" w:cs="Arial"/>
                <w:b/>
                <w:bCs/>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103FF56" w14:textId="77777777" w:rsidR="009868D1" w:rsidRPr="000B75A3" w:rsidRDefault="009868D1" w:rsidP="00E46C3B">
            <w:pPr>
              <w:rPr>
                <w:rFonts w:eastAsia="Times New Roman"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167676D" w14:textId="77777777" w:rsidR="009868D1" w:rsidRPr="000B75A3" w:rsidRDefault="009868D1" w:rsidP="00E46C3B">
            <w:pPr>
              <w:rPr>
                <w:rFonts w:eastAsia="Times New Roman" w:cs="Arial"/>
                <w:b/>
                <w:bCs/>
                <w:sz w:val="20"/>
                <w:szCs w:val="20"/>
              </w:rPr>
            </w:pPr>
            <w:r w:rsidRPr="000B75A3">
              <w:rPr>
                <w:rFonts w:eastAsia="Times New Roman" w:cs="Arial"/>
                <w:b/>
                <w:bCs/>
                <w:sz w:val="20"/>
                <w:szCs w:val="20"/>
              </w:rPr>
              <w:t> </w:t>
            </w:r>
          </w:p>
        </w:tc>
      </w:tr>
      <w:tr w:rsidR="009868D1" w:rsidRPr="00C76B69" w14:paraId="2191BC98" w14:textId="77777777" w:rsidTr="00E46C3B">
        <w:trPr>
          <w:trHeight w:val="630"/>
        </w:trPr>
        <w:tc>
          <w:tcPr>
            <w:tcW w:w="52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8E07A6" w14:textId="77777777" w:rsidR="009868D1" w:rsidRPr="000B75A3" w:rsidRDefault="009868D1" w:rsidP="000B75A3">
            <w:pPr>
              <w:spacing w:before="0" w:after="0"/>
              <w:rPr>
                <w:rFonts w:eastAsia="Times New Roman" w:cs="Arial"/>
                <w:sz w:val="20"/>
                <w:szCs w:val="20"/>
              </w:rPr>
            </w:pPr>
            <w:r w:rsidRPr="000B75A3">
              <w:rPr>
                <w:rFonts w:eastAsia="Times New Roman" w:cs="Arial"/>
                <w:sz w:val="20"/>
                <w:szCs w:val="20"/>
              </w:rPr>
              <w:t>A&amp;E waiting time performance - All Types -% of patients who spent 4 hours or less in A&amp;E from arrival to transfer, admission or discharge (SUS data)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C837E2" w14:textId="77777777" w:rsidR="009868D1" w:rsidRPr="000B75A3" w:rsidRDefault="009868D1" w:rsidP="000B75A3">
            <w:pPr>
              <w:spacing w:before="0" w:after="0"/>
              <w:rPr>
                <w:rFonts w:eastAsia="Times New Roman" w:cs="Arial"/>
                <w:sz w:val="20"/>
                <w:szCs w:val="20"/>
              </w:rPr>
            </w:pPr>
            <w:r w:rsidRPr="000B75A3">
              <w:rPr>
                <w:rFonts w:eastAsia="Times New Roman" w:cs="Arial"/>
                <w:sz w:val="20"/>
                <w:szCs w:val="20"/>
              </w:rPr>
              <w:t>2021-22</w:t>
            </w:r>
          </w:p>
        </w:tc>
        <w:tc>
          <w:tcPr>
            <w:tcW w:w="155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C14A502" w14:textId="77777777" w:rsidR="009868D1" w:rsidRPr="000B75A3" w:rsidRDefault="009868D1" w:rsidP="000B75A3">
            <w:pPr>
              <w:spacing w:before="0" w:after="0"/>
              <w:rPr>
                <w:rFonts w:eastAsia="Times New Roman" w:cs="Arial"/>
                <w:sz w:val="20"/>
                <w:szCs w:val="20"/>
              </w:rPr>
            </w:pPr>
            <w:r w:rsidRPr="000B75A3">
              <w:rPr>
                <w:rFonts w:eastAsia="Times New Roman" w:cs="Arial"/>
                <w:sz w:val="20"/>
                <w:szCs w:val="20"/>
              </w:rPr>
              <w:t>76.7%</w:t>
            </w:r>
          </w:p>
          <w:p w14:paraId="0F0AF148" w14:textId="77777777" w:rsidR="009868D1" w:rsidRPr="000B75A3" w:rsidRDefault="009868D1" w:rsidP="000B75A3">
            <w:pPr>
              <w:spacing w:before="0" w:after="0"/>
              <w:rPr>
                <w:rFonts w:eastAsia="Times New Roman" w:cs="Arial"/>
                <w:sz w:val="20"/>
                <w:szCs w:val="20"/>
                <w:highlight w:val="yellow"/>
              </w:rPr>
            </w:pPr>
            <w:r w:rsidRPr="000B75A3">
              <w:rPr>
                <w:rFonts w:eastAsia="Times New Roman" w:cs="Arial"/>
                <w:sz w:val="20"/>
                <w:szCs w:val="20"/>
              </w:rPr>
              <w:t>(Apr 2021-Feb 2022)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D7096F" w14:textId="77777777" w:rsidR="009868D1" w:rsidRPr="000B75A3" w:rsidRDefault="009868D1" w:rsidP="000B75A3">
            <w:pPr>
              <w:spacing w:before="0" w:after="0"/>
              <w:rPr>
                <w:rFonts w:eastAsia="Times New Roman" w:cs="Arial"/>
                <w:sz w:val="20"/>
                <w:szCs w:val="20"/>
              </w:rPr>
            </w:pPr>
            <w:r w:rsidRPr="000B75A3">
              <w:rPr>
                <w:rFonts w:eastAsia="Times New Roman" w:cs="Arial"/>
                <w:sz w:val="20"/>
                <w:szCs w:val="20"/>
              </w:rPr>
              <w:t>95%</w:t>
            </w:r>
          </w:p>
        </w:tc>
      </w:tr>
      <w:tr w:rsidR="009868D1" w:rsidRPr="00C76B69" w14:paraId="2F578F77" w14:textId="77777777" w:rsidTr="00E46C3B">
        <w:trPr>
          <w:trHeight w:val="415"/>
        </w:trPr>
        <w:tc>
          <w:tcPr>
            <w:tcW w:w="9796" w:type="dxa"/>
            <w:gridSpan w:val="5"/>
            <w:tcBorders>
              <w:top w:val="single" w:sz="4" w:space="0" w:color="auto"/>
              <w:left w:val="single" w:sz="4" w:space="0" w:color="auto"/>
              <w:bottom w:val="single" w:sz="4" w:space="0" w:color="auto"/>
              <w:right w:val="single" w:sz="4" w:space="0" w:color="auto"/>
            </w:tcBorders>
            <w:shd w:val="clear" w:color="auto" w:fill="FFFFFF"/>
          </w:tcPr>
          <w:p w14:paraId="6EFCE1D1" w14:textId="77777777" w:rsidR="009868D1" w:rsidRPr="001739BC" w:rsidRDefault="009868D1" w:rsidP="00E46C3B">
            <w:pPr>
              <w:rPr>
                <w:rFonts w:eastAsia="Times New Roman" w:cs="Arial"/>
                <w:b/>
                <w:sz w:val="16"/>
                <w:szCs w:val="16"/>
                <w:u w:val="single"/>
              </w:rPr>
            </w:pPr>
            <w:r w:rsidRPr="001739BC">
              <w:rPr>
                <w:rFonts w:eastAsia="Times New Roman" w:cs="Arial"/>
                <w:b/>
                <w:sz w:val="16"/>
                <w:szCs w:val="16"/>
                <w:u w:val="single"/>
              </w:rPr>
              <w:t>Commentary</w:t>
            </w:r>
          </w:p>
          <w:p w14:paraId="766FFD84" w14:textId="77777777" w:rsidR="009868D1" w:rsidRPr="001739BC" w:rsidRDefault="009868D1" w:rsidP="00E46C3B">
            <w:pPr>
              <w:jc w:val="both"/>
              <w:rPr>
                <w:rFonts w:eastAsia="Times New Roman" w:cs="Arial"/>
                <w:b/>
                <w:sz w:val="16"/>
                <w:szCs w:val="16"/>
              </w:rPr>
            </w:pPr>
            <w:r w:rsidRPr="001739BC">
              <w:rPr>
                <w:rFonts w:eastAsia="Times New Roman" w:cs="Arial"/>
                <w:b/>
                <w:sz w:val="16"/>
                <w:szCs w:val="16"/>
              </w:rPr>
              <w:lastRenderedPageBreak/>
              <w:t>Performance against the A&amp;E operational standard whereby patients should spend no more than 4 hours in A&amp;E from arrival to admission, transfer or discharge has been variable during 2021-22 to date.</w:t>
            </w:r>
          </w:p>
          <w:p w14:paraId="415DB50D" w14:textId="77777777" w:rsidR="009868D1" w:rsidRPr="001739BC" w:rsidRDefault="009868D1" w:rsidP="00E46C3B">
            <w:pPr>
              <w:jc w:val="both"/>
              <w:rPr>
                <w:rFonts w:eastAsia="Times New Roman" w:cs="Arial"/>
                <w:b/>
                <w:sz w:val="16"/>
                <w:szCs w:val="16"/>
              </w:rPr>
            </w:pPr>
            <w:r w:rsidRPr="001739BC">
              <w:rPr>
                <w:rFonts w:eastAsia="Times New Roman" w:cs="Arial"/>
                <w:b/>
                <w:sz w:val="16"/>
                <w:szCs w:val="16"/>
              </w:rPr>
              <w:t>Throughout 2021-22, and the pandemic, there has been significant and continued demand on the urgent and emergency care pathways with flow through A&amp;E being impacted by increasing numbers of individuals attending with suspected and confirmed Covid.  This required the duplication of pathways to ensure that those with no signs of Covid were managed separately to those with suspected/confirmed Covid.  We have also seen attendance, within the Urgent Treatment Centre (UTC) setting at Bransholme, surpass pre-pandemic levels from January 2022 and continuing to rise.</w:t>
            </w:r>
          </w:p>
          <w:p w14:paraId="42F7968E" w14:textId="77777777" w:rsidR="009868D1" w:rsidRPr="000B75A3" w:rsidRDefault="009868D1" w:rsidP="00E46C3B">
            <w:pPr>
              <w:jc w:val="both"/>
              <w:rPr>
                <w:rFonts w:eastAsia="Times New Roman" w:cs="Arial"/>
                <w:sz w:val="16"/>
                <w:szCs w:val="16"/>
              </w:rPr>
            </w:pPr>
            <w:r w:rsidRPr="001739BC">
              <w:rPr>
                <w:rFonts w:eastAsia="Times New Roman" w:cs="Arial"/>
                <w:b/>
                <w:sz w:val="16"/>
                <w:szCs w:val="16"/>
              </w:rPr>
              <w:t>Work continues with NHS 111 and 999 to support them undertaking ‘Hear and Treat’ conversations, where they refer patients directly to the most appropriate service to meet their need.  Further work is being undertaken to review all the different services that NHS 111 and 999, and other health and care services, can access and direct individuals to. This includes the development of a 2 Hour Crisis Response Service, to respond quickly to individuals in the community, who can be supported to stay at home with the right care. This reduces the need for a number of individuals having to go to A&amp;E as their care can be better delivered by a different service, ensuring the patients receive the ‘right treatment, in the right place, at the right time’, and the best outcome for them.</w:t>
            </w:r>
          </w:p>
        </w:tc>
      </w:tr>
      <w:tr w:rsidR="009868D1" w:rsidRPr="00C76B69" w14:paraId="444D08BB" w14:textId="77777777" w:rsidTr="00E46C3B">
        <w:trPr>
          <w:trHeight w:val="510"/>
        </w:trPr>
        <w:tc>
          <w:tcPr>
            <w:tcW w:w="511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D27A5D1" w14:textId="77777777" w:rsidR="009868D1" w:rsidRPr="000B75A3" w:rsidRDefault="009868D1" w:rsidP="00E46C3B">
            <w:pPr>
              <w:rPr>
                <w:rFonts w:eastAsia="Times New Roman"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51117C0" w14:textId="77777777" w:rsidR="009868D1" w:rsidRPr="000B75A3" w:rsidRDefault="009868D1" w:rsidP="00E46C3B">
            <w:pPr>
              <w:rPr>
                <w:rFonts w:eastAsia="Times New Roman"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BC8C589" w14:textId="77777777" w:rsidR="009868D1" w:rsidRPr="000B75A3" w:rsidRDefault="009868D1" w:rsidP="000B75A3">
            <w:pPr>
              <w:spacing w:before="0" w:after="0"/>
              <w:rPr>
                <w:rFonts w:eastAsia="Times New Roman" w:cs="Arial"/>
                <w:b/>
                <w:bCs/>
                <w:sz w:val="20"/>
                <w:szCs w:val="20"/>
              </w:rPr>
            </w:pPr>
            <w:r w:rsidRPr="000B75A3">
              <w:rPr>
                <w:rFonts w:eastAsia="Times New Roman" w:cs="Arial"/>
                <w:b/>
                <w:bCs/>
                <w:sz w:val="20"/>
                <w:szCs w:val="20"/>
              </w:rPr>
              <w:t>Actual</w:t>
            </w:r>
          </w:p>
          <w:p w14:paraId="604F2017" w14:textId="77777777" w:rsidR="009868D1" w:rsidRPr="000B75A3" w:rsidRDefault="009868D1" w:rsidP="000B75A3">
            <w:pPr>
              <w:spacing w:before="0" w:after="0"/>
              <w:rPr>
                <w:rFonts w:eastAsia="Times New Roman" w:cs="Arial"/>
                <w:b/>
                <w:bCs/>
                <w:sz w:val="20"/>
                <w:szCs w:val="20"/>
              </w:rPr>
            </w:pPr>
            <w:r w:rsidRPr="000B75A3">
              <w:rPr>
                <w:rFonts w:eastAsia="Times New Roman" w:cs="Arial"/>
                <w:b/>
                <w:bCs/>
                <w:sz w:val="20"/>
                <w:szCs w:val="20"/>
              </w:rPr>
              <w:t>(Month)</w:t>
            </w: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68EEDFE" w14:textId="77777777" w:rsidR="009868D1" w:rsidRPr="000B75A3" w:rsidRDefault="009868D1" w:rsidP="00E46C3B">
            <w:pPr>
              <w:rPr>
                <w:rFonts w:eastAsia="Times New Roman" w:cs="Arial"/>
                <w:b/>
                <w:bCs/>
                <w:sz w:val="20"/>
                <w:szCs w:val="20"/>
              </w:rPr>
            </w:pPr>
            <w:r w:rsidRPr="000B75A3">
              <w:rPr>
                <w:rFonts w:eastAsia="Times New Roman" w:cs="Arial"/>
                <w:b/>
                <w:bCs/>
                <w:sz w:val="20"/>
                <w:szCs w:val="20"/>
              </w:rPr>
              <w:t>Target</w:t>
            </w:r>
          </w:p>
        </w:tc>
      </w:tr>
      <w:tr w:rsidR="009868D1" w:rsidRPr="00C76B69" w14:paraId="330531BD" w14:textId="77777777" w:rsidTr="00E46C3B">
        <w:trPr>
          <w:trHeight w:val="69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54D782" w14:textId="77777777" w:rsidR="009868D1" w:rsidRPr="000B75A3" w:rsidRDefault="009868D1" w:rsidP="000B75A3">
            <w:pPr>
              <w:spacing w:before="0" w:after="0"/>
              <w:rPr>
                <w:rFonts w:eastAsia="Times New Roman" w:cs="Arial"/>
                <w:sz w:val="20"/>
                <w:szCs w:val="20"/>
              </w:rPr>
            </w:pPr>
            <w:r w:rsidRPr="000B75A3">
              <w:rPr>
                <w:rFonts w:eastAsia="Times New Roman" w:cs="Arial"/>
                <w:sz w:val="20"/>
                <w:szCs w:val="20"/>
              </w:rPr>
              <w:t>RTT - The percentage of incomplete pathways within 18 weeks for patients on incomplete pathways at the end of the period.</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DC6D72" w14:textId="77777777" w:rsidR="009868D1" w:rsidRPr="000B75A3" w:rsidRDefault="009868D1" w:rsidP="000B75A3">
            <w:pPr>
              <w:spacing w:before="0" w:after="0"/>
              <w:rPr>
                <w:rFonts w:eastAsia="Times New Roman" w:cs="Arial"/>
                <w:sz w:val="20"/>
                <w:szCs w:val="20"/>
              </w:rPr>
            </w:pPr>
            <w:r w:rsidRPr="000B75A3">
              <w:rPr>
                <w:rFonts w:eastAsia="Times New Roman" w:cs="Arial"/>
                <w:sz w:val="20"/>
                <w:szCs w:val="20"/>
              </w:rPr>
              <w:t>2021-22</w:t>
            </w:r>
          </w:p>
        </w:tc>
        <w:tc>
          <w:tcPr>
            <w:tcW w:w="155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A5F7260" w14:textId="77777777" w:rsidR="009868D1" w:rsidRPr="000B75A3" w:rsidRDefault="009868D1" w:rsidP="000B75A3">
            <w:pPr>
              <w:spacing w:before="0" w:after="0"/>
              <w:rPr>
                <w:rFonts w:eastAsia="Times New Roman" w:cs="Arial"/>
                <w:sz w:val="20"/>
                <w:szCs w:val="20"/>
              </w:rPr>
            </w:pPr>
            <w:r w:rsidRPr="000B75A3">
              <w:rPr>
                <w:rFonts w:eastAsia="Times New Roman" w:cs="Arial"/>
                <w:sz w:val="20"/>
                <w:szCs w:val="20"/>
              </w:rPr>
              <w:t>58.3%</w:t>
            </w:r>
          </w:p>
          <w:p w14:paraId="7AB39D0C" w14:textId="77777777" w:rsidR="009868D1" w:rsidRPr="000B75A3" w:rsidRDefault="009868D1" w:rsidP="000B75A3">
            <w:pPr>
              <w:spacing w:before="0" w:after="0"/>
              <w:rPr>
                <w:rFonts w:eastAsia="Times New Roman" w:cs="Arial"/>
                <w:sz w:val="20"/>
                <w:szCs w:val="20"/>
              </w:rPr>
            </w:pPr>
            <w:r w:rsidRPr="000B75A3">
              <w:rPr>
                <w:rFonts w:eastAsia="Times New Roman" w:cs="Arial"/>
                <w:sz w:val="20"/>
                <w:szCs w:val="20"/>
              </w:rPr>
              <w:t>(Jan 2022)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CBCD6" w14:textId="77777777" w:rsidR="009868D1" w:rsidRPr="000B75A3" w:rsidRDefault="009868D1" w:rsidP="000B75A3">
            <w:pPr>
              <w:spacing w:before="0" w:after="0"/>
              <w:rPr>
                <w:rFonts w:eastAsia="Times New Roman" w:cs="Arial"/>
                <w:sz w:val="20"/>
                <w:szCs w:val="20"/>
              </w:rPr>
            </w:pPr>
            <w:r w:rsidRPr="000B75A3">
              <w:rPr>
                <w:rFonts w:eastAsia="Times New Roman" w:cs="Arial"/>
                <w:sz w:val="20"/>
                <w:szCs w:val="20"/>
              </w:rPr>
              <w:t>92%</w:t>
            </w:r>
          </w:p>
        </w:tc>
      </w:tr>
      <w:tr w:rsidR="009868D1" w:rsidRPr="00C76B69" w14:paraId="0094F9C1" w14:textId="77777777" w:rsidTr="00E46C3B">
        <w:trPr>
          <w:trHeight w:val="69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tcPr>
          <w:p w14:paraId="6951EAE3" w14:textId="77777777" w:rsidR="009868D1" w:rsidRPr="000B75A3" w:rsidRDefault="009868D1" w:rsidP="000B75A3">
            <w:pPr>
              <w:spacing w:before="0" w:after="0"/>
              <w:rPr>
                <w:rFonts w:eastAsia="Times New Roman" w:cs="Arial"/>
                <w:sz w:val="20"/>
                <w:szCs w:val="20"/>
              </w:rPr>
            </w:pPr>
            <w:r w:rsidRPr="000B75A3">
              <w:rPr>
                <w:rFonts w:eastAsia="Times New Roman" w:cs="Arial"/>
                <w:sz w:val="20"/>
                <w:szCs w:val="20"/>
              </w:rPr>
              <w:t>Number of patients waiting 52+ weeks on incomplete pathways</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ACEE65" w14:textId="77777777" w:rsidR="009868D1" w:rsidRPr="000B75A3" w:rsidRDefault="009868D1" w:rsidP="000B75A3">
            <w:pPr>
              <w:spacing w:before="0" w:after="0"/>
              <w:rPr>
                <w:rFonts w:eastAsia="Times New Roman" w:cs="Arial"/>
                <w:sz w:val="20"/>
                <w:szCs w:val="20"/>
              </w:rPr>
            </w:pPr>
            <w:r w:rsidRPr="000B75A3">
              <w:rPr>
                <w:rFonts w:eastAsia="Times New Roman" w:cs="Arial"/>
                <w:sz w:val="20"/>
                <w:szCs w:val="20"/>
              </w:rPr>
              <w:t>2021-22</w:t>
            </w:r>
          </w:p>
        </w:tc>
        <w:tc>
          <w:tcPr>
            <w:tcW w:w="155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34249B2" w14:textId="77777777" w:rsidR="009868D1" w:rsidRPr="000B75A3" w:rsidRDefault="009868D1" w:rsidP="000B75A3">
            <w:pPr>
              <w:spacing w:before="0" w:after="0"/>
              <w:rPr>
                <w:rFonts w:eastAsia="Times New Roman" w:cs="Arial"/>
                <w:sz w:val="20"/>
                <w:szCs w:val="20"/>
              </w:rPr>
            </w:pPr>
            <w:r w:rsidRPr="000B75A3">
              <w:rPr>
                <w:rFonts w:eastAsia="Times New Roman" w:cs="Arial"/>
                <w:sz w:val="20"/>
                <w:szCs w:val="20"/>
              </w:rPr>
              <w:t>2,288</w:t>
            </w:r>
          </w:p>
          <w:p w14:paraId="11120390" w14:textId="77777777" w:rsidR="009868D1" w:rsidRPr="000B75A3" w:rsidRDefault="009868D1" w:rsidP="000B75A3">
            <w:pPr>
              <w:spacing w:before="0" w:after="0"/>
              <w:rPr>
                <w:rFonts w:eastAsia="Times New Roman" w:cs="Arial"/>
                <w:sz w:val="20"/>
                <w:szCs w:val="20"/>
              </w:rPr>
            </w:pPr>
            <w:r w:rsidRPr="000B75A3">
              <w:rPr>
                <w:rFonts w:eastAsia="Times New Roman" w:cs="Arial"/>
                <w:sz w:val="20"/>
                <w:szCs w:val="20"/>
              </w:rPr>
              <w:t>(Jan 2022)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B1F733E" w14:textId="77777777" w:rsidR="009868D1" w:rsidRPr="000B75A3" w:rsidRDefault="009868D1" w:rsidP="000B75A3">
            <w:pPr>
              <w:spacing w:before="0" w:after="0"/>
              <w:rPr>
                <w:rFonts w:eastAsia="Times New Roman" w:cs="Arial"/>
                <w:sz w:val="20"/>
                <w:szCs w:val="20"/>
              </w:rPr>
            </w:pPr>
            <w:r w:rsidRPr="000B75A3">
              <w:rPr>
                <w:rFonts w:eastAsia="Times New Roman" w:cs="Arial"/>
                <w:sz w:val="20"/>
                <w:szCs w:val="20"/>
              </w:rPr>
              <w:t>0</w:t>
            </w:r>
          </w:p>
        </w:tc>
      </w:tr>
      <w:tr w:rsidR="009868D1" w:rsidRPr="00C76B69" w14:paraId="546363C2" w14:textId="77777777" w:rsidTr="00E46C3B">
        <w:trPr>
          <w:trHeight w:val="274"/>
        </w:trPr>
        <w:tc>
          <w:tcPr>
            <w:tcW w:w="979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E3E07B3" w14:textId="77777777" w:rsidR="009868D1" w:rsidRPr="001739BC" w:rsidRDefault="009868D1" w:rsidP="00E46C3B">
            <w:pPr>
              <w:rPr>
                <w:rFonts w:eastAsia="Times New Roman" w:cs="Arial"/>
                <w:b/>
                <w:sz w:val="18"/>
                <w:szCs w:val="18"/>
                <w:u w:val="single"/>
              </w:rPr>
            </w:pPr>
            <w:r w:rsidRPr="001739BC">
              <w:rPr>
                <w:rFonts w:eastAsia="Times New Roman" w:cs="Arial"/>
                <w:b/>
                <w:sz w:val="18"/>
                <w:szCs w:val="18"/>
                <w:u w:val="single"/>
              </w:rPr>
              <w:t>Commentary</w:t>
            </w:r>
          </w:p>
          <w:p w14:paraId="5CBA4CC5" w14:textId="77777777" w:rsidR="009868D1" w:rsidRPr="001739BC" w:rsidRDefault="009868D1" w:rsidP="00E46C3B">
            <w:pPr>
              <w:jc w:val="both"/>
              <w:rPr>
                <w:rFonts w:eastAsia="Times New Roman" w:cs="Arial"/>
                <w:b/>
                <w:sz w:val="18"/>
                <w:szCs w:val="18"/>
              </w:rPr>
            </w:pPr>
            <w:r w:rsidRPr="001739BC">
              <w:rPr>
                <w:rFonts w:eastAsia="Times New Roman" w:cs="Arial"/>
                <w:b/>
                <w:sz w:val="18"/>
                <w:szCs w:val="18"/>
              </w:rPr>
              <w:t xml:space="preserve">The NHS constitution states patients should wait no more than 18 weeks from GP Referral to Treatment (RTT).  Delivery of the target has been challenging as a result of increased demand and capacity issues across the local system with the redeployment of staff to meet the ongoing needs of wards and intensive care bedded areas in support of the pandemic response, reducing the capacity to undertake less urgent interventions. </w:t>
            </w:r>
          </w:p>
          <w:p w14:paraId="722018C6" w14:textId="77777777" w:rsidR="009868D1" w:rsidRPr="000B75A3" w:rsidRDefault="009868D1" w:rsidP="00E46C3B">
            <w:pPr>
              <w:jc w:val="both"/>
              <w:rPr>
                <w:rFonts w:eastAsia="Times New Roman" w:cs="Arial"/>
                <w:sz w:val="20"/>
                <w:szCs w:val="20"/>
              </w:rPr>
            </w:pPr>
            <w:r w:rsidRPr="001739BC">
              <w:rPr>
                <w:rFonts w:eastAsia="Times New Roman" w:cs="Arial"/>
                <w:b/>
                <w:sz w:val="18"/>
                <w:szCs w:val="18"/>
              </w:rPr>
              <w:t>The Trust has continued to work to national guidance and have implemented recovery plans to ensure patients in need are supported.</w:t>
            </w:r>
          </w:p>
        </w:tc>
      </w:tr>
    </w:tbl>
    <w:p w14:paraId="30CEF3DC" w14:textId="77777777" w:rsidR="009868D1" w:rsidRDefault="009868D1" w:rsidP="009868D1">
      <w:pPr>
        <w:rPr>
          <w:rFonts w:eastAsia="Times New Roman" w:cs="Arial"/>
        </w:rPr>
      </w:pPr>
    </w:p>
    <w:p w14:paraId="0E6E0309" w14:textId="77777777" w:rsidR="009868D1" w:rsidRPr="00BC534A" w:rsidRDefault="009868D1" w:rsidP="009868D1">
      <w:pPr>
        <w:keepNext/>
        <w:keepLines/>
        <w:outlineLvl w:val="3"/>
        <w:rPr>
          <w:rFonts w:eastAsiaTheme="majorEastAsia" w:cs="Arial"/>
          <w:b/>
          <w:bCs/>
          <w:iCs/>
        </w:rPr>
      </w:pPr>
      <w:r w:rsidRPr="00BC534A">
        <w:rPr>
          <w:rFonts w:eastAsiaTheme="majorEastAsia" w:cs="Arial"/>
          <w:b/>
          <w:bCs/>
          <w:iCs/>
        </w:rPr>
        <w:t>Review of economy, efficiency and effectiveness of the use of resources</w:t>
      </w:r>
      <w:bookmarkEnd w:id="128"/>
    </w:p>
    <w:p w14:paraId="4F4700B0" w14:textId="0559003B" w:rsidR="009868D1" w:rsidRPr="00BC534A" w:rsidRDefault="009868D1" w:rsidP="009868D1">
      <w:pPr>
        <w:rPr>
          <w:rFonts w:eastAsia="Times New Roman" w:cs="Arial"/>
        </w:rPr>
      </w:pPr>
      <w:r w:rsidRPr="00BC534A">
        <w:rPr>
          <w:rFonts w:eastAsia="Times New Roman" w:cs="Arial"/>
        </w:rPr>
        <w:t xml:space="preserve">The Chief Finance Officer has delegated responsibility to determine arrangements to ensure a sound system of financial control. The CCG continues to meet all of its statutory financial duties. Budgets were established and maintained against all CCG business areas and performance monitored via a Quality and Performance Report as a standing item at the Governing Body and Quality and Performance Committee. </w:t>
      </w:r>
    </w:p>
    <w:p w14:paraId="73D901E3" w14:textId="1C63A08B" w:rsidR="009868D1" w:rsidRDefault="009868D1" w:rsidP="009868D1">
      <w:pPr>
        <w:rPr>
          <w:rFonts w:eastAsia="Times New Roman" w:cs="Arial"/>
        </w:rPr>
      </w:pPr>
      <w:r w:rsidRPr="00BC534A">
        <w:rPr>
          <w:rFonts w:eastAsia="Times New Roman" w:cs="Arial"/>
        </w:rPr>
        <w:t xml:space="preserve">Individual budget holders have regular budget review meetings to ensure that any cost pressures are adequately considered, managed or escalated as necessary. </w:t>
      </w:r>
    </w:p>
    <w:p w14:paraId="5C821671" w14:textId="426A7C60" w:rsidR="009868D1" w:rsidRDefault="009868D1" w:rsidP="009868D1">
      <w:pPr>
        <w:rPr>
          <w:rFonts w:eastAsia="Times New Roman" w:cs="Arial"/>
        </w:rPr>
      </w:pPr>
      <w:r w:rsidRPr="00BC534A">
        <w:rPr>
          <w:rFonts w:eastAsia="Times New Roman" w:cs="Arial"/>
        </w:rPr>
        <w:t>The Integrated Audit and Governance Committee receive a regular update from the Quality and Performance Committee as to the economic, efficient and effective use of resources by the CCG. The Integrated Audit and Governance Committee advise the Governing Body on the assurances available with regards to the economic, efficient and effective use of resources.</w:t>
      </w:r>
    </w:p>
    <w:p w14:paraId="774E47C8" w14:textId="0A323769" w:rsidR="009868D1" w:rsidRPr="0073306A" w:rsidRDefault="009868D1" w:rsidP="009868D1">
      <w:pPr>
        <w:rPr>
          <w:rFonts w:eastAsia="Times New Roman" w:cs="Arial"/>
        </w:rPr>
      </w:pPr>
      <w:r w:rsidRPr="00BC534A">
        <w:rPr>
          <w:rFonts w:eastAsia="Times New Roman" w:cs="Arial"/>
        </w:rPr>
        <w:t>An internal audit programme of activity is agreed and established to assess the adequacy of assurances available to the CCG in relation to the economic, efficient and effective use of resources. The findings are reported to the Integrated Audit and Governance Committee.</w:t>
      </w:r>
    </w:p>
    <w:p w14:paraId="1124B999" w14:textId="77777777" w:rsidR="009868D1" w:rsidRPr="00BC534A" w:rsidRDefault="009868D1" w:rsidP="009868D1">
      <w:pPr>
        <w:autoSpaceDE w:val="0"/>
        <w:autoSpaceDN w:val="0"/>
        <w:rPr>
          <w:rFonts w:cs="Arial"/>
          <w:b/>
        </w:rPr>
      </w:pPr>
      <w:bookmarkStart w:id="129" w:name="_Toc437807158"/>
      <w:r w:rsidRPr="00BC534A">
        <w:rPr>
          <w:rFonts w:cs="Arial"/>
          <w:b/>
        </w:rPr>
        <w:t>Delegation of functions</w:t>
      </w:r>
    </w:p>
    <w:p w14:paraId="59C6D554" w14:textId="43846407" w:rsidR="009868D1" w:rsidRPr="001739BC" w:rsidRDefault="009868D1" w:rsidP="009868D1">
      <w:pPr>
        <w:autoSpaceDE w:val="0"/>
        <w:autoSpaceDN w:val="0"/>
        <w:rPr>
          <w:rFonts w:cs="Arial"/>
          <w:color w:val="FF0000"/>
        </w:rPr>
      </w:pPr>
      <w:r w:rsidRPr="00BC534A">
        <w:rPr>
          <w:rFonts w:cs="Arial"/>
        </w:rPr>
        <w:lastRenderedPageBreak/>
        <w:t>The CCG undertakes a regular process of review of its internal control mechanisms, including an annual internal audit plan. All internal audit reports are agreed by senior officers of the CCG and reviewed by the Integrated Audit and Governance Committee.</w:t>
      </w:r>
    </w:p>
    <w:p w14:paraId="6E2B1828" w14:textId="48FE32D0" w:rsidR="009868D1" w:rsidRPr="0073306A" w:rsidRDefault="009868D1" w:rsidP="009868D1">
      <w:pPr>
        <w:autoSpaceDE w:val="0"/>
        <w:autoSpaceDN w:val="0"/>
        <w:rPr>
          <w:rFonts w:cs="Arial"/>
          <w:color w:val="000000"/>
        </w:rPr>
      </w:pPr>
      <w:r w:rsidRPr="0073306A">
        <w:rPr>
          <w:rFonts w:cs="Arial"/>
          <w:color w:val="000000"/>
        </w:rPr>
        <w:t>A review of the effectiveness of the CCG governance structure and processes has been undertaken during the year; including a review of committee’s terms of reference. Committee action plans were developed and progress against their delivery monitored by the Integrated Audit and Governance Committee.</w:t>
      </w:r>
    </w:p>
    <w:p w14:paraId="7B8A9974" w14:textId="5AF04056" w:rsidR="009868D1" w:rsidRPr="001739BC" w:rsidRDefault="009868D1" w:rsidP="009868D1">
      <w:pPr>
        <w:autoSpaceDE w:val="0"/>
        <w:autoSpaceDN w:val="0"/>
        <w:rPr>
          <w:rFonts w:cs="Arial"/>
          <w:highlight w:val="yellow"/>
        </w:rPr>
      </w:pPr>
      <w:r w:rsidRPr="00BC534A">
        <w:rPr>
          <w:rFonts w:cs="Arial"/>
        </w:rPr>
        <w:t>Budgets were established and maintained against all CCG business areas and performance monitored via a quality and performance report as a standing item at the Governing Body and Quality and Performance Committee. Individual budget holders have regular budget review meetings to ensure that any cost pressures are adequately considered, managed or escalated as necessary.</w:t>
      </w:r>
      <w:bookmarkEnd w:id="129"/>
    </w:p>
    <w:p w14:paraId="0F2DF82C" w14:textId="77777777" w:rsidR="009868D1" w:rsidRPr="00670907" w:rsidRDefault="009868D1" w:rsidP="009868D1">
      <w:pPr>
        <w:autoSpaceDE w:val="0"/>
        <w:autoSpaceDN w:val="0"/>
        <w:rPr>
          <w:rFonts w:cs="Arial"/>
          <w:b/>
        </w:rPr>
      </w:pPr>
      <w:r w:rsidRPr="00670907">
        <w:rPr>
          <w:rFonts w:cs="Arial"/>
          <w:b/>
        </w:rPr>
        <w:t xml:space="preserve">Counter fraud arrangements – </w:t>
      </w:r>
      <w:r w:rsidRPr="00670907">
        <w:rPr>
          <w:rFonts w:cs="Arial"/>
          <w:b/>
          <w:highlight w:val="yellow"/>
        </w:rPr>
        <w:t>Draft Final to be issued end of May 2022</w:t>
      </w:r>
    </w:p>
    <w:p w14:paraId="71965B5D" w14:textId="77777777" w:rsidR="009868D1" w:rsidRPr="00670907" w:rsidRDefault="009868D1" w:rsidP="009868D1">
      <w:pPr>
        <w:rPr>
          <w:rFonts w:cs="Arial"/>
        </w:rPr>
      </w:pPr>
      <w:r w:rsidRPr="00670907">
        <w:rPr>
          <w:rFonts w:cs="Arial"/>
        </w:rPr>
        <w:t>The Integrated Audit and Governance Committee (IAGC) has assured itself that the organisation has adequate arrangements in place for countering fraud and regularly reviews the outcomes of counter fraud work. The CCG has an accredited Local Counter Fraud Specialist (LCFS) in place to undertake work against the Counter Fraud Functional Standard; the LCFS resource is contracted in from Audit Yorkshire and is part of a wider Fraud Team resource with additional LCFS resource available as and when required.  The Chief Finance Officer is accountable for fraud work undertaken and a Counter Fraud Annual Report (detailing counter fraud work undertaken against each requirement of the standard) is reported to the Integrated Audit and Governance Committee annually.</w:t>
      </w:r>
    </w:p>
    <w:p w14:paraId="09AC167C" w14:textId="23DB942F" w:rsidR="009868D1" w:rsidRPr="001739BC" w:rsidRDefault="009868D1" w:rsidP="001739BC">
      <w:pPr>
        <w:autoSpaceDE w:val="0"/>
        <w:autoSpaceDN w:val="0"/>
        <w:rPr>
          <w:rFonts w:cs="Arial"/>
        </w:rPr>
      </w:pPr>
      <w:r w:rsidRPr="00670907">
        <w:rPr>
          <w:rFonts w:cs="Arial"/>
        </w:rPr>
        <w:t>There is an approved and proportionate risk-based counter-fraud work plan in place which is monitored at each Integrated Audit and Governance Committee meeting. In line with the requirements of the Counter Fraud Functional Standard, which first became effective 1st April 2021 and are reviewed annually, the CCG completed an online Counter Fraud Functional Standard Return (CFFSR) to assess the work completed around anti-fraud, bribery and corruption work and assessed itself as an ‘Amber’ rating.   This self-assessment (CFFSR) detailing our scoring was approved by the Chief Finance Officer and Audit Committee Chair prior to submission.</w:t>
      </w:r>
    </w:p>
    <w:p w14:paraId="29E746C0" w14:textId="77777777" w:rsidR="009868D1" w:rsidRPr="00670907" w:rsidRDefault="009868D1" w:rsidP="009868D1">
      <w:pPr>
        <w:keepNext/>
        <w:keepLines/>
        <w:outlineLvl w:val="3"/>
        <w:rPr>
          <w:rFonts w:eastAsiaTheme="majorEastAsia" w:cs="Arial"/>
          <w:bCs/>
          <w:iCs/>
        </w:rPr>
      </w:pPr>
      <w:bookmarkStart w:id="130" w:name="_Toc437807162"/>
      <w:bookmarkStart w:id="131" w:name="_Toc437807167"/>
      <w:r w:rsidRPr="00670907">
        <w:rPr>
          <w:rFonts w:eastAsiaTheme="majorEastAsia" w:cs="Arial"/>
          <w:b/>
          <w:bCs/>
          <w:iCs/>
        </w:rPr>
        <w:t>Head of Internal Audit Opinion</w:t>
      </w:r>
      <w:bookmarkEnd w:id="130"/>
      <w:r w:rsidRPr="00670907">
        <w:rPr>
          <w:rFonts w:cs="Arial"/>
        </w:rPr>
        <w:t xml:space="preserve">. – </w:t>
      </w:r>
      <w:r w:rsidRPr="00670907">
        <w:rPr>
          <w:rFonts w:cs="Arial"/>
          <w:b/>
          <w:bCs/>
          <w:highlight w:val="yellow"/>
        </w:rPr>
        <w:t>Draft opinion – final to be issued</w:t>
      </w:r>
      <w:r w:rsidRPr="00670907">
        <w:rPr>
          <w:rFonts w:cs="Arial"/>
        </w:rPr>
        <w:t xml:space="preserve"> </w:t>
      </w:r>
    </w:p>
    <w:p w14:paraId="024917C3" w14:textId="3512BB87" w:rsidR="009868D1" w:rsidRDefault="009868D1" w:rsidP="009868D1">
      <w:pPr>
        <w:rPr>
          <w:rFonts w:eastAsia="Times New Roman" w:cs="Arial"/>
        </w:rPr>
      </w:pPr>
      <w:r w:rsidRPr="00670907">
        <w:rPr>
          <w:rFonts w:eastAsia="Times New Roman" w:cs="Arial"/>
        </w:rPr>
        <w:t xml:space="preserve">Following completion of the planned audit work for the financial year for the CCG, the Head of Internal Audit issued an independent and objective opinion on the adequacy and effectiveness of the CCG’s system of risk management, governance and internal control. </w:t>
      </w:r>
    </w:p>
    <w:p w14:paraId="1B275235" w14:textId="39D08C37" w:rsidR="009868D1" w:rsidRPr="001739BC" w:rsidRDefault="009868D1" w:rsidP="001739BC">
      <w:pPr>
        <w:rPr>
          <w:rFonts w:eastAsia="Times New Roman" w:cs="Arial"/>
        </w:rPr>
      </w:pPr>
      <w:r w:rsidRPr="00670907">
        <w:rPr>
          <w:rFonts w:eastAsia="Times New Roman" w:cs="Arial"/>
        </w:rPr>
        <w:t>The Head of Internal Audit concluded that:</w:t>
      </w:r>
    </w:p>
    <w:p w14:paraId="4E8986C8" w14:textId="65AC37B5" w:rsidR="009868D1" w:rsidRPr="00670907" w:rsidRDefault="009868D1" w:rsidP="009868D1">
      <w:pPr>
        <w:tabs>
          <w:tab w:val="center" w:pos="4170"/>
        </w:tabs>
        <w:rPr>
          <w:rFonts w:eastAsia="Cambria"/>
          <w:lang w:eastAsia="x-none"/>
        </w:rPr>
      </w:pPr>
      <w:r w:rsidRPr="00670907">
        <w:rPr>
          <w:rFonts w:eastAsia="Cambria" w:cs="Arial"/>
          <w:lang w:val="x-none" w:eastAsia="x-none"/>
        </w:rPr>
        <w:t>Our</w:t>
      </w:r>
      <w:r w:rsidRPr="00670907">
        <w:rPr>
          <w:rFonts w:eastAsia="Cambria" w:cs="Arial"/>
          <w:lang w:eastAsia="x-none"/>
        </w:rPr>
        <w:t xml:space="preserve"> draft </w:t>
      </w:r>
      <w:r w:rsidRPr="00670907">
        <w:rPr>
          <w:rFonts w:eastAsia="Cambria" w:cs="Arial"/>
          <w:b/>
          <w:lang w:val="x-none" w:eastAsia="x-none"/>
        </w:rPr>
        <w:t>overall opinion</w:t>
      </w:r>
      <w:r w:rsidRPr="00670907">
        <w:rPr>
          <w:rFonts w:eastAsia="Cambria" w:cs="Arial"/>
          <w:lang w:val="x-none" w:eastAsia="x-none"/>
        </w:rPr>
        <w:t xml:space="preserve"> for the period 1 April 202</w:t>
      </w:r>
      <w:r w:rsidRPr="00670907">
        <w:rPr>
          <w:rFonts w:eastAsia="Cambria" w:cs="Arial"/>
          <w:lang w:eastAsia="x-none"/>
        </w:rPr>
        <w:t>1</w:t>
      </w:r>
      <w:r w:rsidRPr="00670907">
        <w:rPr>
          <w:rFonts w:eastAsia="Cambria" w:cs="Arial"/>
          <w:lang w:val="x-none" w:eastAsia="x-none"/>
        </w:rPr>
        <w:t xml:space="preserve"> to 31 March 202</w:t>
      </w:r>
      <w:r w:rsidRPr="00670907">
        <w:rPr>
          <w:rFonts w:eastAsia="Cambria" w:cs="Arial"/>
          <w:lang w:eastAsia="x-none"/>
        </w:rPr>
        <w:t>2</w:t>
      </w:r>
      <w:r w:rsidRPr="00670907">
        <w:rPr>
          <w:rFonts w:eastAsia="Cambria" w:cs="Arial"/>
          <w:lang w:val="x-none" w:eastAsia="x-none"/>
        </w:rPr>
        <w:t xml:space="preserve"> is:</w:t>
      </w:r>
    </w:p>
    <w:p w14:paraId="014C539B" w14:textId="109FFC37" w:rsidR="009868D1" w:rsidRPr="001739BC" w:rsidRDefault="009868D1" w:rsidP="001739BC">
      <w:pPr>
        <w:tabs>
          <w:tab w:val="center" w:pos="4170"/>
        </w:tabs>
        <w:rPr>
          <w:rFonts w:eastAsia="Cambria" w:cs="Arial"/>
          <w:lang w:eastAsia="x-none"/>
        </w:rPr>
      </w:pPr>
      <w:r w:rsidRPr="00670907">
        <w:rPr>
          <w:rFonts w:eastAsia="Times New Roman" w:cs="Arial"/>
        </w:rPr>
        <w:t xml:space="preserve">From their review of the CCG’s systems of internal control, they are providing </w:t>
      </w:r>
      <w:r w:rsidRPr="00670907">
        <w:rPr>
          <w:rFonts w:eastAsia="Cambria" w:cs="Arial"/>
          <w:bCs/>
          <w:lang w:eastAsia="x-none"/>
        </w:rPr>
        <w:t>significant assurance can be given that there is a good system of governance, risk management and internal control designed to meet the organisation’s objectives and that controls are generally being applied consistently.</w:t>
      </w:r>
    </w:p>
    <w:p w14:paraId="16A2FFD1" w14:textId="3B883A84" w:rsidR="009868D1" w:rsidRPr="0062761B" w:rsidRDefault="009868D1" w:rsidP="009868D1">
      <w:pPr>
        <w:rPr>
          <w:rFonts w:eastAsia="SimSun" w:cs="Arial"/>
          <w:bCs/>
        </w:rPr>
      </w:pPr>
      <w:r w:rsidRPr="00670907">
        <w:rPr>
          <w:rFonts w:eastAsia="SimSun" w:cs="Arial"/>
        </w:rPr>
        <w:t xml:space="preserve">The </w:t>
      </w:r>
      <w:r w:rsidRPr="00670907">
        <w:rPr>
          <w:rFonts w:eastAsia="SimSun" w:cs="Arial"/>
          <w:bCs/>
        </w:rPr>
        <w:t>core and risk based reviews issued by Audit Yorkshire for 2021</w:t>
      </w:r>
      <w:r w:rsidR="0062761B">
        <w:rPr>
          <w:rFonts w:eastAsia="SimSun" w:cs="Arial"/>
          <w:bCs/>
        </w:rPr>
        <w:t>-</w:t>
      </w:r>
      <w:r w:rsidRPr="00670907">
        <w:rPr>
          <w:rFonts w:eastAsia="SimSun" w:cs="Arial"/>
          <w:bCs/>
        </w:rPr>
        <w:t>22 were as follows: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3827"/>
      </w:tblGrid>
      <w:tr w:rsidR="009868D1" w:rsidRPr="00670907" w14:paraId="0B9F1556" w14:textId="77777777" w:rsidTr="0062761B">
        <w:tc>
          <w:tcPr>
            <w:tcW w:w="535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63CBC90" w14:textId="77777777" w:rsidR="009868D1" w:rsidRPr="00670907" w:rsidRDefault="009868D1" w:rsidP="0062761B">
            <w:pPr>
              <w:pStyle w:val="ListParagraph"/>
              <w:spacing w:before="0"/>
              <w:rPr>
                <w:rFonts w:eastAsia="SimSun" w:cs="Arial"/>
                <w:b/>
              </w:rPr>
            </w:pPr>
            <w:r w:rsidRPr="00670907">
              <w:rPr>
                <w:rFonts w:eastAsia="SimSun" w:cs="Arial"/>
              </w:rPr>
              <w:br w:type="page"/>
            </w:r>
            <w:r w:rsidRPr="00670907">
              <w:rPr>
                <w:rFonts w:eastAsia="SimSun" w:cs="Arial"/>
                <w:b/>
              </w:rPr>
              <w:t>Audit Area</w:t>
            </w:r>
          </w:p>
        </w:tc>
        <w:tc>
          <w:tcPr>
            <w:tcW w:w="38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31A864D" w14:textId="77777777" w:rsidR="009868D1" w:rsidRPr="00670907" w:rsidRDefault="009868D1" w:rsidP="0062761B">
            <w:pPr>
              <w:pStyle w:val="ListParagraph"/>
              <w:spacing w:after="0"/>
              <w:rPr>
                <w:rFonts w:eastAsia="SimSun" w:cs="Arial"/>
                <w:b/>
              </w:rPr>
            </w:pPr>
            <w:r w:rsidRPr="00670907">
              <w:rPr>
                <w:rFonts w:eastAsia="SimSun" w:cs="Arial"/>
                <w:b/>
              </w:rPr>
              <w:t>Assurance Level</w:t>
            </w:r>
          </w:p>
        </w:tc>
      </w:tr>
      <w:tr w:rsidR="009868D1" w:rsidRPr="00670907" w14:paraId="5FA5CE31" w14:textId="77777777" w:rsidTr="00E46C3B">
        <w:tc>
          <w:tcPr>
            <w:tcW w:w="5353" w:type="dxa"/>
            <w:tcBorders>
              <w:top w:val="single" w:sz="4" w:space="0" w:color="auto"/>
              <w:left w:val="single" w:sz="4" w:space="0" w:color="auto"/>
              <w:bottom w:val="single" w:sz="4" w:space="0" w:color="auto"/>
              <w:right w:val="single" w:sz="4" w:space="0" w:color="auto"/>
            </w:tcBorders>
          </w:tcPr>
          <w:p w14:paraId="71024427" w14:textId="77777777" w:rsidR="009868D1" w:rsidRPr="00670907" w:rsidRDefault="009868D1" w:rsidP="00E46C3B">
            <w:pPr>
              <w:pStyle w:val="ListParagraph"/>
              <w:rPr>
                <w:rFonts w:eastAsia="SimSun" w:cs="Arial"/>
              </w:rPr>
            </w:pPr>
            <w:r w:rsidRPr="00670907">
              <w:rPr>
                <w:rFonts w:eastAsia="SimSun" w:cs="Arial"/>
              </w:rPr>
              <w:lastRenderedPageBreak/>
              <w:t>Governance and Risk Management Arrangements</w:t>
            </w:r>
          </w:p>
        </w:tc>
        <w:tc>
          <w:tcPr>
            <w:tcW w:w="3827" w:type="dxa"/>
            <w:tcBorders>
              <w:top w:val="single" w:sz="4" w:space="0" w:color="auto"/>
              <w:left w:val="single" w:sz="4" w:space="0" w:color="auto"/>
              <w:bottom w:val="single" w:sz="4" w:space="0" w:color="auto"/>
              <w:right w:val="single" w:sz="4" w:space="0" w:color="auto"/>
            </w:tcBorders>
          </w:tcPr>
          <w:p w14:paraId="7EFD8A0B" w14:textId="77777777" w:rsidR="009868D1" w:rsidRPr="00670907" w:rsidRDefault="009868D1" w:rsidP="00E46C3B">
            <w:pPr>
              <w:pStyle w:val="ListParagraph"/>
              <w:rPr>
                <w:rFonts w:eastAsia="SimSun" w:cs="Arial"/>
              </w:rPr>
            </w:pPr>
            <w:r w:rsidRPr="00670907">
              <w:rPr>
                <w:rFonts w:eastAsia="SimSun" w:cs="Arial"/>
              </w:rPr>
              <w:t>High</w:t>
            </w:r>
          </w:p>
        </w:tc>
      </w:tr>
      <w:tr w:rsidR="009868D1" w:rsidRPr="00670907" w14:paraId="14FA76DC" w14:textId="77777777" w:rsidTr="00E46C3B">
        <w:tc>
          <w:tcPr>
            <w:tcW w:w="5353" w:type="dxa"/>
            <w:tcBorders>
              <w:top w:val="single" w:sz="4" w:space="0" w:color="auto"/>
              <w:left w:val="single" w:sz="4" w:space="0" w:color="auto"/>
              <w:bottom w:val="single" w:sz="4" w:space="0" w:color="auto"/>
              <w:right w:val="single" w:sz="4" w:space="0" w:color="auto"/>
            </w:tcBorders>
            <w:vAlign w:val="center"/>
          </w:tcPr>
          <w:p w14:paraId="76E413ED" w14:textId="77777777" w:rsidR="009868D1" w:rsidRPr="00670907" w:rsidRDefault="009868D1" w:rsidP="00E46C3B">
            <w:pPr>
              <w:pStyle w:val="ListParagraph"/>
              <w:rPr>
                <w:rFonts w:eastAsia="SimSun" w:cs="Arial"/>
              </w:rPr>
            </w:pPr>
            <w:r w:rsidRPr="00670907">
              <w:rPr>
                <w:rFonts w:eastAsia="SimSun" w:cs="Arial"/>
              </w:rPr>
              <w:t>Conflicts of Interest</w:t>
            </w:r>
          </w:p>
        </w:tc>
        <w:tc>
          <w:tcPr>
            <w:tcW w:w="3827" w:type="dxa"/>
            <w:tcBorders>
              <w:top w:val="single" w:sz="4" w:space="0" w:color="auto"/>
              <w:left w:val="single" w:sz="4" w:space="0" w:color="auto"/>
              <w:bottom w:val="single" w:sz="4" w:space="0" w:color="auto"/>
              <w:right w:val="single" w:sz="4" w:space="0" w:color="auto"/>
            </w:tcBorders>
          </w:tcPr>
          <w:p w14:paraId="26DD5B0B" w14:textId="77777777" w:rsidR="009868D1" w:rsidRPr="00670907" w:rsidRDefault="009868D1" w:rsidP="00E46C3B">
            <w:pPr>
              <w:pStyle w:val="ListParagraph"/>
              <w:rPr>
                <w:rFonts w:eastAsia="SimSun" w:cs="Arial"/>
              </w:rPr>
            </w:pPr>
            <w:r w:rsidRPr="00670907">
              <w:rPr>
                <w:rFonts w:eastAsia="SimSun" w:cs="Arial"/>
              </w:rPr>
              <w:t>High</w:t>
            </w:r>
          </w:p>
        </w:tc>
      </w:tr>
      <w:tr w:rsidR="009868D1" w:rsidRPr="00670907" w14:paraId="21A6F4E6" w14:textId="77777777" w:rsidTr="00E46C3B">
        <w:tc>
          <w:tcPr>
            <w:tcW w:w="5353" w:type="dxa"/>
            <w:tcBorders>
              <w:top w:val="single" w:sz="4" w:space="0" w:color="auto"/>
              <w:left w:val="single" w:sz="4" w:space="0" w:color="auto"/>
              <w:bottom w:val="single" w:sz="4" w:space="0" w:color="auto"/>
              <w:right w:val="single" w:sz="4" w:space="0" w:color="auto"/>
            </w:tcBorders>
            <w:vAlign w:val="center"/>
          </w:tcPr>
          <w:p w14:paraId="67AEA2CC" w14:textId="77777777" w:rsidR="009868D1" w:rsidRPr="00670907" w:rsidRDefault="009868D1" w:rsidP="00E46C3B">
            <w:pPr>
              <w:pStyle w:val="ListParagraph"/>
              <w:rPr>
                <w:rFonts w:eastAsia="SimSun" w:cs="Arial"/>
              </w:rPr>
            </w:pPr>
            <w:r w:rsidRPr="00670907">
              <w:rPr>
                <w:rFonts w:eastAsia="Cambria" w:cs="Arial"/>
                <w:lang w:eastAsia="x-none"/>
              </w:rPr>
              <w:t>Patient &amp; Public Engagement and Experience</w:t>
            </w:r>
          </w:p>
        </w:tc>
        <w:tc>
          <w:tcPr>
            <w:tcW w:w="3827" w:type="dxa"/>
            <w:tcBorders>
              <w:top w:val="single" w:sz="4" w:space="0" w:color="auto"/>
              <w:left w:val="single" w:sz="4" w:space="0" w:color="auto"/>
              <w:bottom w:val="single" w:sz="4" w:space="0" w:color="auto"/>
              <w:right w:val="single" w:sz="4" w:space="0" w:color="auto"/>
            </w:tcBorders>
          </w:tcPr>
          <w:p w14:paraId="31A853E3" w14:textId="77777777" w:rsidR="009868D1" w:rsidRPr="00670907" w:rsidRDefault="009868D1" w:rsidP="00E46C3B">
            <w:pPr>
              <w:pStyle w:val="ListParagraph"/>
              <w:rPr>
                <w:rFonts w:eastAsia="SimSun" w:cs="Arial"/>
              </w:rPr>
            </w:pPr>
            <w:r w:rsidRPr="00670907">
              <w:rPr>
                <w:rFonts w:eastAsia="SimSun" w:cs="Arial"/>
              </w:rPr>
              <w:t>High</w:t>
            </w:r>
          </w:p>
        </w:tc>
      </w:tr>
    </w:tbl>
    <w:p w14:paraId="1D0DCF55" w14:textId="77777777" w:rsidR="009868D1" w:rsidRDefault="009868D1" w:rsidP="009868D1">
      <w:pPr>
        <w:rPr>
          <w:rFonts w:eastAsia="SimSun" w:cs="Arial"/>
        </w:rPr>
      </w:pPr>
    </w:p>
    <w:p w14:paraId="35D7B710" w14:textId="77777777" w:rsidR="009868D1" w:rsidRPr="00A3700D" w:rsidRDefault="009868D1" w:rsidP="009868D1">
      <w:pPr>
        <w:keepNext/>
        <w:keepLines/>
        <w:outlineLvl w:val="3"/>
        <w:rPr>
          <w:rFonts w:eastAsiaTheme="majorEastAsia" w:cs="Arial"/>
          <w:bCs/>
          <w:iCs/>
          <w:color w:val="FF0000"/>
        </w:rPr>
      </w:pPr>
      <w:bookmarkStart w:id="132" w:name="_Toc437807159"/>
      <w:r w:rsidRPr="0073306A">
        <w:rPr>
          <w:rFonts w:eastAsiaTheme="majorEastAsia" w:cs="Arial"/>
          <w:b/>
          <w:bCs/>
          <w:iCs/>
        </w:rPr>
        <w:t xml:space="preserve">Review of the effectiveness of governance, risk management and internal </w:t>
      </w:r>
      <w:r w:rsidRPr="0056699A">
        <w:rPr>
          <w:rFonts w:eastAsiaTheme="majorEastAsia" w:cs="Arial"/>
          <w:b/>
          <w:bCs/>
          <w:iCs/>
        </w:rPr>
        <w:t>control</w:t>
      </w:r>
      <w:bookmarkEnd w:id="132"/>
      <w:r w:rsidRPr="00A3700D">
        <w:rPr>
          <w:rFonts w:cs="Arial"/>
          <w:b/>
          <w:bCs/>
          <w:highlight w:val="yellow"/>
        </w:rPr>
        <w:t xml:space="preserve"> </w:t>
      </w:r>
    </w:p>
    <w:p w14:paraId="41F9C791" w14:textId="1AE1F80B" w:rsidR="009868D1" w:rsidRDefault="009868D1" w:rsidP="009868D1">
      <w:pPr>
        <w:rPr>
          <w:rFonts w:eastAsia="Times New Roman" w:cs="Arial"/>
        </w:rPr>
      </w:pPr>
      <w:r w:rsidRPr="0073306A">
        <w:rPr>
          <w:rFonts w:eastAsia="Times New Roman" w:cs="Arial"/>
        </w:rPr>
        <w:t xml:space="preserve">My review of the effectiveness of the system of internal control is informed by the work of the internal auditors, executive managers and clinical leads within the Clinical Commissioning Group who have responsibility for the development and maintenance of the internal control framework. I have drawn on performance information available to me. My review is also informed by comments made by the external auditors in their annual audit letter and other reports. </w:t>
      </w:r>
    </w:p>
    <w:p w14:paraId="2669E9B5" w14:textId="77777777" w:rsidR="009868D1" w:rsidRPr="0073306A" w:rsidRDefault="009868D1" w:rsidP="009868D1">
      <w:pPr>
        <w:rPr>
          <w:rFonts w:eastAsia="Times New Roman" w:cs="Arial"/>
        </w:rPr>
      </w:pPr>
      <w:r w:rsidRPr="0073306A">
        <w:rPr>
          <w:rFonts w:eastAsia="Times New Roman" w:cs="Arial"/>
        </w:rPr>
        <w:t xml:space="preserve">Our assurance framework provides me with evidence that the effectiveness of controls that manage risks to the </w:t>
      </w:r>
      <w:r>
        <w:rPr>
          <w:rFonts w:eastAsia="Times New Roman" w:cs="Arial"/>
        </w:rPr>
        <w:t>CCG</w:t>
      </w:r>
      <w:r w:rsidRPr="0073306A">
        <w:rPr>
          <w:rFonts w:eastAsia="Times New Roman" w:cs="Arial"/>
        </w:rPr>
        <w:t xml:space="preserve"> achieving its principles objectives have been reviewed. </w:t>
      </w:r>
    </w:p>
    <w:p w14:paraId="48378B09" w14:textId="77777777" w:rsidR="009868D1" w:rsidRPr="0073306A" w:rsidRDefault="009868D1" w:rsidP="0062761B">
      <w:pPr>
        <w:spacing w:after="0"/>
        <w:rPr>
          <w:rFonts w:eastAsia="Times New Roman" w:cs="Arial"/>
        </w:rPr>
      </w:pPr>
      <w:r w:rsidRPr="0073306A">
        <w:rPr>
          <w:rFonts w:eastAsia="Times New Roman" w:cs="Arial"/>
        </w:rPr>
        <w:t xml:space="preserve">I have been advised on the implications of the result of this review by: </w:t>
      </w:r>
    </w:p>
    <w:p w14:paraId="15DDC0A6" w14:textId="77777777" w:rsidR="009868D1" w:rsidRPr="0073306A" w:rsidRDefault="009868D1" w:rsidP="009868D1">
      <w:pPr>
        <w:numPr>
          <w:ilvl w:val="0"/>
          <w:numId w:val="3"/>
        </w:numPr>
        <w:spacing w:before="0" w:after="0"/>
        <w:ind w:left="1134" w:hanging="567"/>
        <w:rPr>
          <w:rFonts w:eastAsia="SimSun" w:cs="Arial"/>
        </w:rPr>
      </w:pPr>
      <w:r w:rsidRPr="0073306A">
        <w:rPr>
          <w:rFonts w:eastAsia="SimSun" w:cs="Arial"/>
        </w:rPr>
        <w:t>The Governing Body;</w:t>
      </w:r>
    </w:p>
    <w:p w14:paraId="773454C0" w14:textId="77777777" w:rsidR="009868D1" w:rsidRPr="0073306A" w:rsidRDefault="009868D1" w:rsidP="009868D1">
      <w:pPr>
        <w:numPr>
          <w:ilvl w:val="0"/>
          <w:numId w:val="3"/>
        </w:numPr>
        <w:spacing w:before="0" w:after="0"/>
        <w:ind w:left="1134" w:hanging="567"/>
        <w:rPr>
          <w:rFonts w:eastAsia="SimSun" w:cs="Arial"/>
        </w:rPr>
      </w:pPr>
      <w:r w:rsidRPr="0073306A">
        <w:rPr>
          <w:rFonts w:eastAsia="SimSun" w:cs="Arial"/>
        </w:rPr>
        <w:t>The Integrated Audit and Governance Committee;</w:t>
      </w:r>
    </w:p>
    <w:p w14:paraId="2DA44FA6" w14:textId="77777777" w:rsidR="009868D1" w:rsidRPr="0073306A" w:rsidRDefault="009868D1" w:rsidP="009868D1">
      <w:pPr>
        <w:numPr>
          <w:ilvl w:val="0"/>
          <w:numId w:val="3"/>
        </w:numPr>
        <w:spacing w:before="0" w:after="0"/>
        <w:ind w:left="1134" w:hanging="567"/>
        <w:rPr>
          <w:rFonts w:eastAsia="SimSun" w:cs="Arial"/>
        </w:rPr>
      </w:pPr>
      <w:r w:rsidRPr="0073306A">
        <w:rPr>
          <w:rFonts w:cs="Arial"/>
        </w:rPr>
        <w:t>The CCG’s governance, risk management and internal control arrangements;</w:t>
      </w:r>
    </w:p>
    <w:p w14:paraId="13905D90" w14:textId="77777777" w:rsidR="009868D1" w:rsidRPr="0073306A" w:rsidRDefault="009868D1" w:rsidP="009868D1">
      <w:pPr>
        <w:numPr>
          <w:ilvl w:val="0"/>
          <w:numId w:val="3"/>
        </w:numPr>
        <w:spacing w:before="0" w:after="0"/>
        <w:ind w:left="1134" w:hanging="567"/>
        <w:rPr>
          <w:rFonts w:eastAsia="SimSun" w:cs="Arial"/>
        </w:rPr>
      </w:pPr>
      <w:r w:rsidRPr="0073306A">
        <w:rPr>
          <w:rFonts w:cs="Arial"/>
        </w:rPr>
        <w:t>The work undertaken by the CCG’s internal auditors which has not identified any significant weaknesses in internal control;</w:t>
      </w:r>
    </w:p>
    <w:p w14:paraId="24621104" w14:textId="77777777" w:rsidR="009868D1" w:rsidRPr="0073306A" w:rsidRDefault="009868D1" w:rsidP="009868D1">
      <w:pPr>
        <w:numPr>
          <w:ilvl w:val="0"/>
          <w:numId w:val="3"/>
        </w:numPr>
        <w:spacing w:before="0" w:after="0"/>
        <w:ind w:left="1134" w:hanging="567"/>
        <w:rPr>
          <w:rFonts w:eastAsia="SimSun" w:cs="Arial"/>
        </w:rPr>
      </w:pPr>
      <w:r w:rsidRPr="0073306A">
        <w:rPr>
          <w:rFonts w:cs="Arial"/>
        </w:rPr>
        <w:t xml:space="preserve">The results of national staff surveys; and </w:t>
      </w:r>
    </w:p>
    <w:p w14:paraId="09670C0B" w14:textId="1EC77854" w:rsidR="0062761B" w:rsidRPr="0062761B" w:rsidRDefault="009868D1" w:rsidP="0062761B">
      <w:pPr>
        <w:numPr>
          <w:ilvl w:val="0"/>
          <w:numId w:val="3"/>
        </w:numPr>
        <w:spacing w:before="0" w:after="0"/>
        <w:ind w:left="1134" w:hanging="567"/>
        <w:rPr>
          <w:rFonts w:eastAsia="SimSun" w:cs="Arial"/>
        </w:rPr>
      </w:pPr>
      <w:r w:rsidRPr="0073306A">
        <w:rPr>
          <w:rFonts w:cs="Arial"/>
        </w:rPr>
        <w:t xml:space="preserve">The statutory external audit undertaken by Mazars, who will provide an opinion on the financial statements and form a conclusion on the CCG’s arrangements for ensuring economy, efficiency and effectiveness in </w:t>
      </w:r>
      <w:r>
        <w:rPr>
          <w:rFonts w:cs="Arial"/>
        </w:rPr>
        <w:t>its use of resources during 2021-22</w:t>
      </w:r>
      <w:r w:rsidRPr="0073306A">
        <w:rPr>
          <w:rFonts w:eastAsia="SimSun" w:cs="Arial"/>
        </w:rPr>
        <w:t xml:space="preserve">. </w:t>
      </w:r>
    </w:p>
    <w:p w14:paraId="4B47CFB8" w14:textId="2C6A69BC" w:rsidR="009868D1" w:rsidRPr="0062761B" w:rsidRDefault="009868D1" w:rsidP="0062761B">
      <w:r w:rsidRPr="0062761B">
        <w:t xml:space="preserve">The role and conclusions of each were that a satisfactory framework was in place throughout the year. </w:t>
      </w:r>
    </w:p>
    <w:p w14:paraId="1CF8A0BC" w14:textId="77777777" w:rsidR="009868D1" w:rsidRPr="0062761B" w:rsidRDefault="009868D1" w:rsidP="0062761B">
      <w:pPr>
        <w:rPr>
          <w:b/>
          <w:bCs/>
        </w:rPr>
      </w:pPr>
      <w:r w:rsidRPr="0062761B">
        <w:rPr>
          <w:b/>
          <w:bCs/>
        </w:rPr>
        <w:t>Conclusion</w:t>
      </w:r>
      <w:bookmarkEnd w:id="131"/>
    </w:p>
    <w:bookmarkEnd w:id="112"/>
    <w:bookmarkEnd w:id="113"/>
    <w:bookmarkEnd w:id="114"/>
    <w:bookmarkEnd w:id="115"/>
    <w:bookmarkEnd w:id="116"/>
    <w:bookmarkEnd w:id="117"/>
    <w:p w14:paraId="1FCB7CF9" w14:textId="6DCDD062" w:rsidR="00D15093" w:rsidRDefault="009868D1" w:rsidP="0062761B">
      <w:r w:rsidRPr="0062761B">
        <w:t>With the exception of the internal control issues that I have outlined in this statement, my review confirms that the CCG overall has a sound system of internal controls that supports the achievement of its policies, aims and objectives and that those control issues have been or are being addressed.</w:t>
      </w:r>
    </w:p>
    <w:p w14:paraId="0BC0334B" w14:textId="77777777" w:rsidR="00D15093" w:rsidRDefault="00D15093">
      <w:pPr>
        <w:tabs>
          <w:tab w:val="clear" w:pos="2835"/>
          <w:tab w:val="clear" w:pos="5670"/>
          <w:tab w:val="clear" w:pos="9016"/>
        </w:tabs>
        <w:spacing w:before="0" w:after="200"/>
      </w:pPr>
      <w:r>
        <w:br w:type="page"/>
      </w:r>
    </w:p>
    <w:p w14:paraId="79531555" w14:textId="36208896" w:rsidR="00422C7A" w:rsidRPr="00D22211" w:rsidRDefault="009F1A38" w:rsidP="00B71FAD">
      <w:pPr>
        <w:pStyle w:val="Heading2"/>
      </w:pPr>
      <w:bookmarkStart w:id="133" w:name="_Toc103695052"/>
      <w:r w:rsidRPr="00A558A4">
        <w:lastRenderedPageBreak/>
        <w:t>Remuneration Report</w:t>
      </w:r>
      <w:bookmarkEnd w:id="107"/>
      <w:bookmarkEnd w:id="108"/>
      <w:bookmarkEnd w:id="133"/>
      <w:r w:rsidR="00D66981">
        <w:t xml:space="preserve"> </w:t>
      </w:r>
    </w:p>
    <w:p w14:paraId="4E361B72" w14:textId="77777777" w:rsidR="00B11172" w:rsidRDefault="00B11172" w:rsidP="00B11172">
      <w:pPr>
        <w:pStyle w:val="Heading3"/>
      </w:pPr>
      <w:bookmarkStart w:id="134" w:name="_Toc103695053"/>
      <w:bookmarkEnd w:id="75"/>
      <w:r>
        <w:t>Remuneration</w:t>
      </w:r>
      <w:bookmarkEnd w:id="134"/>
      <w:r>
        <w:t xml:space="preserve"> </w:t>
      </w:r>
      <w:r>
        <w:rPr>
          <w:rFonts w:eastAsia="Times New Roman"/>
        </w:rPr>
        <w:t xml:space="preserve"> </w:t>
      </w:r>
    </w:p>
    <w:p w14:paraId="0CC7BFC1" w14:textId="77777777" w:rsidR="00B11172" w:rsidRDefault="00B11172" w:rsidP="00816C8C">
      <w:pPr>
        <w:rPr>
          <w:rFonts w:cs="Arial"/>
        </w:rPr>
      </w:pPr>
      <w:r>
        <w:rPr>
          <w:rFonts w:cs="Arial"/>
        </w:rPr>
        <w:t xml:space="preserve">The Remuneration and Staff Report 2021-22 sets out the organisation’s remuneration policy for directors and senior managers. It reports on how that policy has been implemented and sets out the amounts awarded to directors and senior managers. </w:t>
      </w:r>
    </w:p>
    <w:p w14:paraId="661412B2" w14:textId="77777777" w:rsidR="00B11172" w:rsidRDefault="00B11172" w:rsidP="00816C8C">
      <w:pPr>
        <w:rPr>
          <w:rFonts w:cs="Arial"/>
        </w:rPr>
      </w:pPr>
      <w:r>
        <w:rPr>
          <w:rFonts w:cs="Arial"/>
        </w:rPr>
        <w:t xml:space="preserve">The definition of “senior manager” is - those persons in senior positions having authority or responsibility for directing or controlling the major activities of the CCG. This means those who influence the decisions of the CCG as a whole rather than the decisions of individual directorates or departments. Such persons will include advisory and lay members. It is usually considered that regular attendees of the CCG’s Board meetings are its senior managers.  </w:t>
      </w:r>
    </w:p>
    <w:p w14:paraId="2B1E30B9" w14:textId="77777777" w:rsidR="00B11172" w:rsidRDefault="00B11172" w:rsidP="00816C8C">
      <w:pPr>
        <w:pStyle w:val="Heading3"/>
        <w:rPr>
          <w:rFonts w:eastAsia="Arial" w:cs="Arial"/>
          <w:spacing w:val="-1"/>
        </w:rPr>
      </w:pPr>
      <w:bookmarkStart w:id="135" w:name="_Toc103695054"/>
      <w:r>
        <w:rPr>
          <w:lang w:val="en-US"/>
        </w:rPr>
        <w:t>Remuneration policy 2021-22</w:t>
      </w:r>
      <w:bookmarkEnd w:id="135"/>
      <w:r>
        <w:rPr>
          <w:rFonts w:eastAsia="Arial" w:cs="Arial"/>
          <w:spacing w:val="-1"/>
        </w:rPr>
        <w:t xml:space="preserve">  </w:t>
      </w:r>
    </w:p>
    <w:p w14:paraId="403FFEED" w14:textId="571F4E33" w:rsidR="00B11172" w:rsidRDefault="00B11172" w:rsidP="00816C8C">
      <w:pPr>
        <w:rPr>
          <w:rFonts w:eastAsia="Arial" w:cs="Arial"/>
        </w:rPr>
      </w:pPr>
      <w:r>
        <w:rPr>
          <w:rFonts w:eastAsia="Arial" w:cs="Arial"/>
          <w:spacing w:val="-1"/>
        </w:rPr>
        <w:t>NH</w:t>
      </w:r>
      <w:r>
        <w:rPr>
          <w:rFonts w:eastAsia="Arial" w:cs="Arial"/>
        </w:rPr>
        <w:t xml:space="preserve">S </w:t>
      </w:r>
      <w:r>
        <w:rPr>
          <w:rFonts w:eastAsia="Arial" w:cs="Arial"/>
          <w:spacing w:val="-1"/>
        </w:rPr>
        <w:t>H</w:t>
      </w:r>
      <w:r>
        <w:rPr>
          <w:rFonts w:eastAsia="Arial" w:cs="Arial"/>
        </w:rPr>
        <w:t>u</w:t>
      </w:r>
      <w:r>
        <w:rPr>
          <w:rFonts w:eastAsia="Arial" w:cs="Arial"/>
          <w:spacing w:val="-1"/>
        </w:rPr>
        <w:t>l</w:t>
      </w:r>
      <w:r>
        <w:rPr>
          <w:rFonts w:eastAsia="Arial" w:cs="Arial"/>
        </w:rPr>
        <w:t xml:space="preserve">l </w:t>
      </w:r>
      <w:r>
        <w:rPr>
          <w:rFonts w:eastAsia="Arial" w:cs="Arial"/>
          <w:spacing w:val="-1"/>
        </w:rPr>
        <w:t>CC</w:t>
      </w:r>
      <w:r>
        <w:rPr>
          <w:rFonts w:eastAsia="Arial" w:cs="Arial"/>
        </w:rPr>
        <w:t xml:space="preserve">G </w:t>
      </w:r>
      <w:r>
        <w:rPr>
          <w:rFonts w:eastAsia="Arial" w:cs="Arial"/>
          <w:spacing w:val="3"/>
        </w:rPr>
        <w:t>f</w:t>
      </w:r>
      <w:r>
        <w:rPr>
          <w:rFonts w:eastAsia="Arial" w:cs="Arial"/>
        </w:rPr>
        <w:t>o</w:t>
      </w:r>
      <w:r>
        <w:rPr>
          <w:rFonts w:eastAsia="Arial" w:cs="Arial"/>
          <w:spacing w:val="-1"/>
        </w:rPr>
        <w:t>ll</w:t>
      </w:r>
      <w:r>
        <w:rPr>
          <w:rFonts w:eastAsia="Arial" w:cs="Arial"/>
        </w:rPr>
        <w:t>o</w:t>
      </w:r>
      <w:r>
        <w:rPr>
          <w:rFonts w:eastAsia="Arial" w:cs="Arial"/>
          <w:spacing w:val="-4"/>
        </w:rPr>
        <w:t>w</w:t>
      </w:r>
      <w:r>
        <w:rPr>
          <w:rFonts w:eastAsia="Arial" w:cs="Arial"/>
        </w:rPr>
        <w:t>s</w:t>
      </w:r>
      <w:r>
        <w:rPr>
          <w:rFonts w:eastAsia="Arial" w:cs="Arial"/>
          <w:spacing w:val="1"/>
        </w:rPr>
        <w:t xml:space="preserve"> </w:t>
      </w:r>
      <w:r>
        <w:rPr>
          <w:rFonts w:eastAsia="Arial" w:cs="Arial"/>
        </w:rPr>
        <w:t xml:space="preserve">NHS England, and other relevant, </w:t>
      </w:r>
      <w:r>
        <w:rPr>
          <w:rFonts w:eastAsia="Arial" w:cs="Arial"/>
          <w:spacing w:val="2"/>
        </w:rPr>
        <w:t>g</w:t>
      </w:r>
      <w:r>
        <w:rPr>
          <w:rFonts w:eastAsia="Arial" w:cs="Arial"/>
        </w:rPr>
        <w:t>u</w:t>
      </w:r>
      <w:r>
        <w:rPr>
          <w:rFonts w:eastAsia="Arial" w:cs="Arial"/>
          <w:spacing w:val="-1"/>
        </w:rPr>
        <w:t>i</w:t>
      </w:r>
      <w:r>
        <w:rPr>
          <w:rFonts w:eastAsia="Arial" w:cs="Arial"/>
        </w:rPr>
        <w:t>d</w:t>
      </w:r>
      <w:r>
        <w:rPr>
          <w:rFonts w:eastAsia="Arial" w:cs="Arial"/>
          <w:spacing w:val="-1"/>
        </w:rPr>
        <w:t>a</w:t>
      </w:r>
      <w:r>
        <w:rPr>
          <w:rFonts w:eastAsia="Arial" w:cs="Arial"/>
        </w:rPr>
        <w:t>nce</w:t>
      </w:r>
      <w:r>
        <w:rPr>
          <w:rFonts w:eastAsia="Arial" w:cs="Arial"/>
          <w:spacing w:val="-2"/>
        </w:rPr>
        <w:t xml:space="preserve"> </w:t>
      </w:r>
      <w:r>
        <w:rPr>
          <w:rFonts w:eastAsia="Arial" w:cs="Arial"/>
          <w:spacing w:val="-1"/>
        </w:rPr>
        <w:t>i</w:t>
      </w:r>
      <w:r>
        <w:rPr>
          <w:rFonts w:eastAsia="Arial" w:cs="Arial"/>
        </w:rPr>
        <w:t xml:space="preserve">n </w:t>
      </w:r>
      <w:r>
        <w:rPr>
          <w:rFonts w:eastAsia="Arial" w:cs="Arial"/>
          <w:spacing w:val="1"/>
        </w:rPr>
        <w:t>r</w:t>
      </w:r>
      <w:r>
        <w:rPr>
          <w:rFonts w:eastAsia="Arial" w:cs="Arial"/>
          <w:spacing w:val="-3"/>
        </w:rPr>
        <w:t>e</w:t>
      </w:r>
      <w:r>
        <w:rPr>
          <w:rFonts w:eastAsia="Arial" w:cs="Arial"/>
          <w:spacing w:val="1"/>
        </w:rPr>
        <w:t>m</w:t>
      </w:r>
      <w:r>
        <w:rPr>
          <w:rFonts w:eastAsia="Arial" w:cs="Arial"/>
          <w:spacing w:val="-3"/>
        </w:rPr>
        <w:t>u</w:t>
      </w:r>
      <w:r>
        <w:rPr>
          <w:rFonts w:eastAsia="Arial" w:cs="Arial"/>
        </w:rPr>
        <w:t>n</w:t>
      </w:r>
      <w:r>
        <w:rPr>
          <w:rFonts w:eastAsia="Arial" w:cs="Arial"/>
          <w:spacing w:val="-1"/>
        </w:rPr>
        <w:t>e</w:t>
      </w:r>
      <w:r>
        <w:rPr>
          <w:rFonts w:eastAsia="Arial" w:cs="Arial"/>
          <w:spacing w:val="1"/>
        </w:rPr>
        <w:t>r</w:t>
      </w:r>
      <w:r>
        <w:rPr>
          <w:rFonts w:eastAsia="Arial" w:cs="Arial"/>
        </w:rPr>
        <w:t>ati</w:t>
      </w:r>
      <w:r>
        <w:rPr>
          <w:rFonts w:eastAsia="Arial" w:cs="Arial"/>
          <w:spacing w:val="-1"/>
        </w:rPr>
        <w:t>o</w:t>
      </w:r>
      <w:r>
        <w:rPr>
          <w:rFonts w:eastAsia="Arial" w:cs="Arial"/>
        </w:rPr>
        <w:t>n</w:t>
      </w:r>
      <w:r>
        <w:rPr>
          <w:rFonts w:eastAsia="Arial" w:cs="Arial"/>
          <w:spacing w:val="-2"/>
        </w:rPr>
        <w:t xml:space="preserve"> </w:t>
      </w:r>
      <w:r>
        <w:rPr>
          <w:rFonts w:eastAsia="Arial" w:cs="Arial"/>
          <w:spacing w:val="1"/>
        </w:rPr>
        <w:t>(</w:t>
      </w:r>
      <w:r>
        <w:rPr>
          <w:rFonts w:eastAsia="Arial" w:cs="Arial"/>
        </w:rPr>
        <w:t>p</w:t>
      </w:r>
      <w:r>
        <w:rPr>
          <w:rFonts w:eastAsia="Arial" w:cs="Arial"/>
          <w:spacing w:val="-1"/>
        </w:rPr>
        <w:t>a</w:t>
      </w:r>
      <w:r>
        <w:rPr>
          <w:rFonts w:eastAsia="Arial" w:cs="Arial"/>
        </w:rPr>
        <w:t>y</w:t>
      </w:r>
      <w:r>
        <w:rPr>
          <w:rFonts w:eastAsia="Arial" w:cs="Arial"/>
          <w:spacing w:val="-1"/>
        </w:rPr>
        <w:t xml:space="preserve"> </w:t>
      </w:r>
      <w:r>
        <w:rPr>
          <w:rFonts w:eastAsia="Arial" w:cs="Arial"/>
        </w:rPr>
        <w:t>a</w:t>
      </w:r>
      <w:r>
        <w:rPr>
          <w:rFonts w:eastAsia="Arial" w:cs="Arial"/>
          <w:spacing w:val="-4"/>
        </w:rPr>
        <w:t>w</w:t>
      </w:r>
      <w:r>
        <w:rPr>
          <w:rFonts w:eastAsia="Arial" w:cs="Arial"/>
        </w:rPr>
        <w:t>arded)</w:t>
      </w:r>
      <w:r>
        <w:rPr>
          <w:rFonts w:eastAsia="Arial" w:cs="Arial"/>
          <w:spacing w:val="1"/>
        </w:rPr>
        <w:t xml:space="preserve"> </w:t>
      </w:r>
      <w:r>
        <w:rPr>
          <w:rFonts w:eastAsia="Arial" w:cs="Arial"/>
          <w:spacing w:val="-1"/>
        </w:rPr>
        <w:t>t</w:t>
      </w:r>
      <w:r>
        <w:rPr>
          <w:rFonts w:eastAsia="Arial" w:cs="Arial"/>
        </w:rPr>
        <w:t xml:space="preserve">o </w:t>
      </w:r>
      <w:r>
        <w:rPr>
          <w:rFonts w:eastAsia="Arial" w:cs="Arial"/>
          <w:spacing w:val="-2"/>
        </w:rPr>
        <w:t>v</w:t>
      </w:r>
      <w:r>
        <w:rPr>
          <w:rFonts w:eastAsia="Arial" w:cs="Arial"/>
        </w:rPr>
        <w:t>ery</w:t>
      </w:r>
      <w:r>
        <w:rPr>
          <w:rFonts w:eastAsia="Arial" w:cs="Arial"/>
          <w:spacing w:val="-1"/>
        </w:rPr>
        <w:t xml:space="preserve"> </w:t>
      </w:r>
      <w:r>
        <w:rPr>
          <w:rFonts w:eastAsia="Arial" w:cs="Arial"/>
        </w:rPr>
        <w:t>se</w:t>
      </w:r>
      <w:r>
        <w:rPr>
          <w:rFonts w:eastAsia="Arial" w:cs="Arial"/>
          <w:spacing w:val="-1"/>
        </w:rPr>
        <w:t>ni</w:t>
      </w:r>
      <w:r>
        <w:rPr>
          <w:rFonts w:eastAsia="Arial" w:cs="Arial"/>
        </w:rPr>
        <w:t xml:space="preserve">or </w:t>
      </w:r>
      <w:r>
        <w:rPr>
          <w:rFonts w:eastAsia="Arial" w:cs="Arial"/>
          <w:spacing w:val="1"/>
        </w:rPr>
        <w:t>m</w:t>
      </w:r>
      <w:r>
        <w:rPr>
          <w:rFonts w:eastAsia="Arial" w:cs="Arial"/>
        </w:rPr>
        <w:t>a</w:t>
      </w:r>
      <w:r>
        <w:rPr>
          <w:rFonts w:eastAsia="Arial" w:cs="Arial"/>
          <w:spacing w:val="-1"/>
        </w:rPr>
        <w:t>n</w:t>
      </w:r>
      <w:r>
        <w:rPr>
          <w:rFonts w:eastAsia="Arial" w:cs="Arial"/>
          <w:spacing w:val="-3"/>
        </w:rPr>
        <w:t>a</w:t>
      </w:r>
      <w:r>
        <w:rPr>
          <w:rFonts w:eastAsia="Arial" w:cs="Arial"/>
          <w:spacing w:val="2"/>
        </w:rPr>
        <w:t>g</w:t>
      </w:r>
      <w:r>
        <w:rPr>
          <w:rFonts w:eastAsia="Arial" w:cs="Arial"/>
        </w:rPr>
        <w:t>ers</w:t>
      </w:r>
      <w:r>
        <w:rPr>
          <w:rFonts w:eastAsia="Arial" w:cs="Arial"/>
          <w:spacing w:val="-1"/>
        </w:rPr>
        <w:t xml:space="preserve"> </w:t>
      </w:r>
      <w:r>
        <w:rPr>
          <w:rFonts w:eastAsia="Arial" w:cs="Arial"/>
          <w:spacing w:val="1"/>
        </w:rPr>
        <w:t>(</w:t>
      </w:r>
      <w:r>
        <w:rPr>
          <w:rFonts w:eastAsia="Arial" w:cs="Arial"/>
          <w:spacing w:val="-1"/>
        </w:rPr>
        <w:t>VS</w:t>
      </w:r>
      <w:r>
        <w:rPr>
          <w:rFonts w:eastAsia="Arial" w:cs="Arial"/>
          <w:spacing w:val="-4"/>
        </w:rPr>
        <w:t>M</w:t>
      </w:r>
      <w:r>
        <w:rPr>
          <w:rFonts w:eastAsia="Arial" w:cs="Arial"/>
        </w:rPr>
        <w:t>s</w:t>
      </w:r>
      <w:r>
        <w:rPr>
          <w:rFonts w:eastAsia="Arial" w:cs="Arial"/>
          <w:spacing w:val="1"/>
        </w:rPr>
        <w:t>)</w:t>
      </w:r>
      <w:r>
        <w:rPr>
          <w:rFonts w:eastAsia="Arial" w:cs="Arial"/>
        </w:rPr>
        <w:t>.</w:t>
      </w:r>
      <w:r>
        <w:rPr>
          <w:rFonts w:eastAsia="Arial" w:cs="Arial"/>
          <w:spacing w:val="2"/>
        </w:rPr>
        <w:t xml:space="preserve"> </w:t>
      </w:r>
      <w:r>
        <w:rPr>
          <w:rFonts w:eastAsia="Arial" w:cs="Arial"/>
          <w:spacing w:val="-1"/>
        </w:rPr>
        <w:t>H</w:t>
      </w:r>
      <w:r>
        <w:rPr>
          <w:rFonts w:eastAsia="Arial" w:cs="Arial"/>
        </w:rPr>
        <w:t>u</w:t>
      </w:r>
      <w:r>
        <w:rPr>
          <w:rFonts w:eastAsia="Arial" w:cs="Arial"/>
          <w:spacing w:val="-1"/>
        </w:rPr>
        <w:t>l</w:t>
      </w:r>
      <w:r>
        <w:rPr>
          <w:rFonts w:eastAsia="Arial" w:cs="Arial"/>
        </w:rPr>
        <w:t>l</w:t>
      </w:r>
      <w:r>
        <w:rPr>
          <w:rFonts w:eastAsia="Arial" w:cs="Arial"/>
          <w:spacing w:val="-2"/>
        </w:rPr>
        <w:t xml:space="preserve"> </w:t>
      </w:r>
      <w:r>
        <w:rPr>
          <w:rFonts w:eastAsia="Arial" w:cs="Arial"/>
          <w:spacing w:val="-1"/>
        </w:rPr>
        <w:t>CC</w:t>
      </w:r>
      <w:r>
        <w:rPr>
          <w:rFonts w:eastAsia="Arial" w:cs="Arial"/>
        </w:rPr>
        <w:t>G</w:t>
      </w:r>
      <w:r>
        <w:rPr>
          <w:rFonts w:eastAsia="Arial" w:cs="Arial"/>
          <w:spacing w:val="2"/>
        </w:rPr>
        <w:t xml:space="preserve"> </w:t>
      </w:r>
      <w:r>
        <w:rPr>
          <w:rFonts w:eastAsia="Arial" w:cs="Arial"/>
          <w:spacing w:val="-1"/>
        </w:rPr>
        <w:t>R</w:t>
      </w:r>
      <w:r>
        <w:rPr>
          <w:rFonts w:eastAsia="Arial" w:cs="Arial"/>
        </w:rPr>
        <w:t>emun</w:t>
      </w:r>
      <w:r>
        <w:rPr>
          <w:rFonts w:eastAsia="Arial" w:cs="Arial"/>
          <w:spacing w:val="-3"/>
        </w:rPr>
        <w:t>e</w:t>
      </w:r>
      <w:r>
        <w:rPr>
          <w:rFonts w:eastAsia="Arial" w:cs="Arial"/>
          <w:spacing w:val="1"/>
        </w:rPr>
        <w:t>r</w:t>
      </w:r>
      <w:r>
        <w:rPr>
          <w:rFonts w:eastAsia="Arial" w:cs="Arial"/>
        </w:rPr>
        <w:t>ati</w:t>
      </w:r>
      <w:r>
        <w:rPr>
          <w:rFonts w:eastAsia="Arial" w:cs="Arial"/>
          <w:spacing w:val="-1"/>
        </w:rPr>
        <w:t>o</w:t>
      </w:r>
      <w:r>
        <w:rPr>
          <w:rFonts w:eastAsia="Arial" w:cs="Arial"/>
        </w:rPr>
        <w:t>n</w:t>
      </w:r>
      <w:r>
        <w:rPr>
          <w:rFonts w:eastAsia="Arial" w:cs="Arial"/>
          <w:spacing w:val="-2"/>
        </w:rPr>
        <w:t xml:space="preserve"> </w:t>
      </w:r>
      <w:r>
        <w:rPr>
          <w:rFonts w:eastAsia="Arial" w:cs="Arial"/>
          <w:spacing w:val="-1"/>
        </w:rPr>
        <w:t>C</w:t>
      </w:r>
      <w:r>
        <w:rPr>
          <w:rFonts w:eastAsia="Arial" w:cs="Arial"/>
        </w:rPr>
        <w:t>om</w:t>
      </w:r>
      <w:r>
        <w:rPr>
          <w:rFonts w:eastAsia="Arial" w:cs="Arial"/>
          <w:spacing w:val="1"/>
        </w:rPr>
        <w:t>m</w:t>
      </w:r>
      <w:r>
        <w:rPr>
          <w:rFonts w:eastAsia="Arial" w:cs="Arial"/>
          <w:spacing w:val="-1"/>
        </w:rPr>
        <w:t>it</w:t>
      </w:r>
      <w:r>
        <w:rPr>
          <w:rFonts w:eastAsia="Arial" w:cs="Arial"/>
          <w:spacing w:val="1"/>
        </w:rPr>
        <w:t>t</w:t>
      </w:r>
      <w:r>
        <w:rPr>
          <w:rFonts w:eastAsia="Arial" w:cs="Arial"/>
        </w:rPr>
        <w:t>ee</w:t>
      </w:r>
      <w:r>
        <w:rPr>
          <w:rFonts w:eastAsia="Arial" w:cs="Arial"/>
          <w:spacing w:val="-2"/>
        </w:rPr>
        <w:t xml:space="preserve"> </w:t>
      </w:r>
      <w:r>
        <w:rPr>
          <w:rFonts w:eastAsia="Arial" w:cs="Arial"/>
        </w:rPr>
        <w:t>com</w:t>
      </w:r>
      <w:r>
        <w:rPr>
          <w:rFonts w:eastAsia="Arial" w:cs="Arial"/>
          <w:spacing w:val="-2"/>
        </w:rPr>
        <w:t>p</w:t>
      </w:r>
      <w:r>
        <w:rPr>
          <w:rFonts w:eastAsia="Arial" w:cs="Arial"/>
          <w:spacing w:val="1"/>
        </w:rPr>
        <w:t>r</w:t>
      </w:r>
      <w:r>
        <w:rPr>
          <w:rFonts w:eastAsia="Arial" w:cs="Arial"/>
          <w:spacing w:val="-1"/>
        </w:rPr>
        <w:t>i</w:t>
      </w:r>
      <w:r>
        <w:rPr>
          <w:rFonts w:eastAsia="Arial" w:cs="Arial"/>
        </w:rPr>
        <w:t>ses</w:t>
      </w:r>
      <w:r>
        <w:rPr>
          <w:rFonts w:eastAsia="Arial" w:cs="Arial"/>
          <w:spacing w:val="-2"/>
        </w:rPr>
        <w:t xml:space="preserve"> </w:t>
      </w:r>
      <w:r>
        <w:rPr>
          <w:rFonts w:eastAsia="Arial" w:cs="Arial"/>
          <w:spacing w:val="1"/>
        </w:rPr>
        <w:t>t</w:t>
      </w:r>
      <w:r>
        <w:rPr>
          <w:rFonts w:eastAsia="Arial" w:cs="Arial"/>
        </w:rPr>
        <w:t xml:space="preserve">he </w:t>
      </w:r>
      <w:r>
        <w:rPr>
          <w:rFonts w:eastAsia="Arial" w:cs="Arial"/>
          <w:spacing w:val="-1"/>
        </w:rPr>
        <w:t>l</w:t>
      </w:r>
      <w:r>
        <w:rPr>
          <w:rFonts w:eastAsia="Arial" w:cs="Arial"/>
          <w:spacing w:val="-3"/>
        </w:rPr>
        <w:t>a</w:t>
      </w:r>
      <w:r>
        <w:rPr>
          <w:rFonts w:eastAsia="Arial" w:cs="Arial"/>
        </w:rPr>
        <w:t>y</w:t>
      </w:r>
      <w:r>
        <w:rPr>
          <w:rFonts w:eastAsia="Arial" w:cs="Arial"/>
          <w:spacing w:val="-1"/>
        </w:rPr>
        <w:t xml:space="preserve"> </w:t>
      </w:r>
      <w:r>
        <w:rPr>
          <w:rFonts w:eastAsia="Arial" w:cs="Arial"/>
          <w:spacing w:val="1"/>
        </w:rPr>
        <w:t>m</w:t>
      </w:r>
      <w:r>
        <w:rPr>
          <w:rFonts w:eastAsia="Arial" w:cs="Arial"/>
        </w:rPr>
        <w:t>embe</w:t>
      </w:r>
      <w:r>
        <w:rPr>
          <w:rFonts w:eastAsia="Arial" w:cs="Arial"/>
          <w:spacing w:val="-2"/>
        </w:rPr>
        <w:t>r</w:t>
      </w:r>
      <w:r>
        <w:rPr>
          <w:rFonts w:eastAsia="Arial" w:cs="Arial"/>
        </w:rPr>
        <w:t>s</w:t>
      </w:r>
      <w:r>
        <w:rPr>
          <w:rFonts w:eastAsia="Arial" w:cs="Arial"/>
          <w:spacing w:val="1"/>
        </w:rPr>
        <w:t xml:space="preserve"> </w:t>
      </w:r>
      <w:r>
        <w:rPr>
          <w:rFonts w:eastAsia="Arial" w:cs="Arial"/>
        </w:rPr>
        <w:t>a</w:t>
      </w:r>
      <w:r>
        <w:rPr>
          <w:rFonts w:eastAsia="Arial" w:cs="Arial"/>
          <w:spacing w:val="-1"/>
        </w:rPr>
        <w:t>n</w:t>
      </w:r>
      <w:r>
        <w:rPr>
          <w:rFonts w:eastAsia="Arial" w:cs="Arial"/>
        </w:rPr>
        <w:t>d</w:t>
      </w:r>
      <w:r>
        <w:rPr>
          <w:rFonts w:eastAsia="Arial" w:cs="Arial"/>
          <w:spacing w:val="4"/>
        </w:rPr>
        <w:t xml:space="preserve"> </w:t>
      </w:r>
      <w:r>
        <w:rPr>
          <w:rFonts w:eastAsia="Arial" w:cs="Arial"/>
          <w:spacing w:val="1"/>
        </w:rPr>
        <w:t>t</w:t>
      </w:r>
      <w:r>
        <w:rPr>
          <w:rFonts w:eastAsia="Arial" w:cs="Arial"/>
        </w:rPr>
        <w:t>he ch</w:t>
      </w:r>
      <w:r>
        <w:rPr>
          <w:rFonts w:eastAsia="Arial" w:cs="Arial"/>
          <w:spacing w:val="-1"/>
        </w:rPr>
        <w:t>ai</w:t>
      </w:r>
      <w:r>
        <w:rPr>
          <w:rFonts w:eastAsia="Arial" w:cs="Arial"/>
          <w:spacing w:val="1"/>
        </w:rPr>
        <w:t>rm</w:t>
      </w:r>
      <w:r>
        <w:rPr>
          <w:rFonts w:eastAsia="Arial" w:cs="Arial"/>
        </w:rPr>
        <w:t>an</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CC</w:t>
      </w:r>
      <w:r>
        <w:rPr>
          <w:rFonts w:eastAsia="Arial" w:cs="Arial"/>
        </w:rPr>
        <w:t>G</w:t>
      </w:r>
      <w:r>
        <w:rPr>
          <w:rFonts w:eastAsia="Arial" w:cs="Arial"/>
          <w:spacing w:val="2"/>
        </w:rPr>
        <w:t xml:space="preserve"> </w:t>
      </w:r>
      <w:r>
        <w:rPr>
          <w:rFonts w:eastAsia="Arial" w:cs="Arial"/>
          <w:spacing w:val="-1"/>
        </w:rPr>
        <w:t>B</w:t>
      </w:r>
      <w:r>
        <w:rPr>
          <w:rFonts w:eastAsia="Arial" w:cs="Arial"/>
          <w:spacing w:val="-3"/>
        </w:rPr>
        <w:t>o</w:t>
      </w:r>
      <w:r>
        <w:rPr>
          <w:rFonts w:eastAsia="Arial" w:cs="Arial"/>
        </w:rPr>
        <w:t xml:space="preserve">ard. </w:t>
      </w:r>
      <w:r>
        <w:rPr>
          <w:rFonts w:eastAsia="Arial" w:cs="Arial"/>
          <w:spacing w:val="-1"/>
        </w:rPr>
        <w:t>I</w:t>
      </w:r>
      <w:r>
        <w:rPr>
          <w:rFonts w:eastAsia="Arial" w:cs="Arial"/>
        </w:rPr>
        <w:t>t</w:t>
      </w:r>
      <w:r>
        <w:rPr>
          <w:rFonts w:eastAsia="Arial" w:cs="Arial"/>
          <w:spacing w:val="2"/>
        </w:rPr>
        <w:t xml:space="preserve"> </w:t>
      </w:r>
      <w:r>
        <w:rPr>
          <w:rFonts w:eastAsia="Arial" w:cs="Arial"/>
          <w:spacing w:val="-3"/>
        </w:rPr>
        <w:t>p</w:t>
      </w:r>
      <w:r>
        <w:rPr>
          <w:rFonts w:eastAsia="Arial" w:cs="Arial"/>
          <w:spacing w:val="1"/>
        </w:rPr>
        <w:t>r</w:t>
      </w:r>
      <w:r>
        <w:rPr>
          <w:rFonts w:eastAsia="Arial" w:cs="Arial"/>
        </w:rPr>
        <w:t>o</w:t>
      </w:r>
      <w:r>
        <w:rPr>
          <w:rFonts w:eastAsia="Arial" w:cs="Arial"/>
          <w:spacing w:val="-3"/>
        </w:rPr>
        <w:t>v</w:t>
      </w:r>
      <w:r>
        <w:rPr>
          <w:rFonts w:eastAsia="Arial" w:cs="Arial"/>
          <w:spacing w:val="-1"/>
        </w:rPr>
        <w:t>i</w:t>
      </w:r>
      <w:r>
        <w:rPr>
          <w:rFonts w:eastAsia="Arial" w:cs="Arial"/>
        </w:rPr>
        <w:t>d</w:t>
      </w:r>
      <w:r>
        <w:rPr>
          <w:rFonts w:eastAsia="Arial" w:cs="Arial"/>
          <w:spacing w:val="-1"/>
        </w:rPr>
        <w:t>e</w:t>
      </w:r>
      <w:r>
        <w:rPr>
          <w:rFonts w:eastAsia="Arial" w:cs="Arial"/>
        </w:rPr>
        <w:t>s</w:t>
      </w:r>
      <w:r>
        <w:rPr>
          <w:rFonts w:eastAsia="Arial" w:cs="Arial"/>
          <w:spacing w:val="1"/>
        </w:rPr>
        <w:t xml:space="preserve"> </w:t>
      </w:r>
      <w:r>
        <w:rPr>
          <w:rFonts w:eastAsia="Arial" w:cs="Arial"/>
        </w:rPr>
        <w:t>a</w:t>
      </w:r>
      <w:r>
        <w:rPr>
          <w:rFonts w:eastAsia="Arial" w:cs="Arial"/>
          <w:spacing w:val="-1"/>
        </w:rPr>
        <w:t>d</w:t>
      </w:r>
      <w:r>
        <w:rPr>
          <w:rFonts w:eastAsia="Arial" w:cs="Arial"/>
          <w:spacing w:val="-2"/>
        </w:rPr>
        <w:t>v</w:t>
      </w:r>
      <w:r>
        <w:rPr>
          <w:rFonts w:eastAsia="Arial" w:cs="Arial"/>
          <w:spacing w:val="-1"/>
        </w:rPr>
        <w:t>i</w:t>
      </w:r>
      <w:r>
        <w:rPr>
          <w:rFonts w:eastAsia="Arial" w:cs="Arial"/>
        </w:rPr>
        <w:t xml:space="preserve">ce and </w:t>
      </w:r>
      <w:r>
        <w:rPr>
          <w:rFonts w:eastAsia="Arial" w:cs="Arial"/>
          <w:spacing w:val="1"/>
        </w:rPr>
        <w:t>r</w:t>
      </w:r>
      <w:r>
        <w:rPr>
          <w:rFonts w:eastAsia="Arial" w:cs="Arial"/>
        </w:rPr>
        <w:t>ec</w:t>
      </w:r>
      <w:r>
        <w:rPr>
          <w:rFonts w:eastAsia="Arial" w:cs="Arial"/>
          <w:spacing w:val="-3"/>
        </w:rPr>
        <w:t>o</w:t>
      </w:r>
      <w:r>
        <w:rPr>
          <w:rFonts w:eastAsia="Arial" w:cs="Arial"/>
          <w:spacing w:val="1"/>
        </w:rPr>
        <w:t>m</w:t>
      </w:r>
      <w:r>
        <w:rPr>
          <w:rFonts w:eastAsia="Arial" w:cs="Arial"/>
          <w:spacing w:val="-2"/>
        </w:rPr>
        <w:t>m</w:t>
      </w:r>
      <w:r>
        <w:rPr>
          <w:rFonts w:eastAsia="Arial" w:cs="Arial"/>
        </w:rPr>
        <w:t>e</w:t>
      </w:r>
      <w:r>
        <w:rPr>
          <w:rFonts w:eastAsia="Arial" w:cs="Arial"/>
          <w:spacing w:val="-1"/>
        </w:rPr>
        <w:t>n</w:t>
      </w:r>
      <w:r>
        <w:rPr>
          <w:rFonts w:eastAsia="Arial" w:cs="Arial"/>
        </w:rPr>
        <w:t>d</w:t>
      </w:r>
      <w:r>
        <w:rPr>
          <w:rFonts w:eastAsia="Arial" w:cs="Arial"/>
          <w:spacing w:val="-1"/>
        </w:rPr>
        <w:t>a</w:t>
      </w:r>
      <w:r>
        <w:rPr>
          <w:rFonts w:eastAsia="Arial" w:cs="Arial"/>
          <w:spacing w:val="1"/>
        </w:rPr>
        <w:t>t</w:t>
      </w:r>
      <w:r>
        <w:rPr>
          <w:rFonts w:eastAsia="Arial" w:cs="Arial"/>
          <w:spacing w:val="-1"/>
        </w:rPr>
        <w:t>i</w:t>
      </w:r>
      <w:r>
        <w:rPr>
          <w:rFonts w:eastAsia="Arial" w:cs="Arial"/>
        </w:rPr>
        <w:t>o</w:t>
      </w:r>
      <w:r>
        <w:rPr>
          <w:rFonts w:eastAsia="Arial" w:cs="Arial"/>
          <w:spacing w:val="-1"/>
        </w:rPr>
        <w:t>n</w:t>
      </w:r>
      <w:r>
        <w:rPr>
          <w:rFonts w:eastAsia="Arial" w:cs="Arial"/>
        </w:rPr>
        <w:t>s</w:t>
      </w:r>
      <w:r>
        <w:rPr>
          <w:rFonts w:eastAsia="Arial" w:cs="Arial"/>
          <w:spacing w:val="-1"/>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t</w:t>
      </w:r>
      <w:r>
        <w:rPr>
          <w:rFonts w:eastAsia="Arial" w:cs="Arial"/>
        </w:rPr>
        <w:t xml:space="preserve">he </w:t>
      </w:r>
      <w:r>
        <w:rPr>
          <w:rFonts w:eastAsia="Arial" w:cs="Arial"/>
          <w:spacing w:val="-1"/>
        </w:rPr>
        <w:t>B</w:t>
      </w:r>
      <w:r>
        <w:rPr>
          <w:rFonts w:eastAsia="Arial" w:cs="Arial"/>
        </w:rPr>
        <w:t>o</w:t>
      </w:r>
      <w:r>
        <w:rPr>
          <w:rFonts w:eastAsia="Arial" w:cs="Arial"/>
          <w:spacing w:val="-1"/>
        </w:rPr>
        <w:t>a</w:t>
      </w:r>
      <w:r>
        <w:rPr>
          <w:rFonts w:eastAsia="Arial" w:cs="Arial"/>
          <w:spacing w:val="1"/>
        </w:rPr>
        <w:t>r</w:t>
      </w:r>
      <w:r>
        <w:rPr>
          <w:rFonts w:eastAsia="Arial" w:cs="Arial"/>
        </w:rPr>
        <w:t>d a</w:t>
      </w:r>
      <w:r>
        <w:rPr>
          <w:rFonts w:eastAsia="Arial" w:cs="Arial"/>
          <w:spacing w:val="-2"/>
        </w:rPr>
        <w:t>b</w:t>
      </w:r>
      <w:r>
        <w:rPr>
          <w:rFonts w:eastAsia="Arial" w:cs="Arial"/>
        </w:rPr>
        <w:t>o</w:t>
      </w:r>
      <w:r>
        <w:rPr>
          <w:rFonts w:eastAsia="Arial" w:cs="Arial"/>
          <w:spacing w:val="-1"/>
        </w:rPr>
        <w:t>u</w:t>
      </w:r>
      <w:r>
        <w:rPr>
          <w:rFonts w:eastAsia="Arial" w:cs="Arial"/>
        </w:rPr>
        <w:t>t app</w:t>
      </w:r>
      <w:r>
        <w:rPr>
          <w:rFonts w:eastAsia="Arial" w:cs="Arial"/>
          <w:spacing w:val="1"/>
        </w:rPr>
        <w:t>r</w:t>
      </w:r>
      <w:r>
        <w:rPr>
          <w:rFonts w:eastAsia="Arial" w:cs="Arial"/>
        </w:rPr>
        <w:t>o</w:t>
      </w:r>
      <w:r>
        <w:rPr>
          <w:rFonts w:eastAsia="Arial" w:cs="Arial"/>
          <w:spacing w:val="-1"/>
        </w:rPr>
        <w:t>p</w:t>
      </w:r>
      <w:r>
        <w:rPr>
          <w:rFonts w:eastAsia="Arial" w:cs="Arial"/>
          <w:spacing w:val="1"/>
        </w:rPr>
        <w:t>r</w:t>
      </w:r>
      <w:r>
        <w:rPr>
          <w:rFonts w:eastAsia="Arial" w:cs="Arial"/>
          <w:spacing w:val="-1"/>
        </w:rPr>
        <w:t>i</w:t>
      </w:r>
      <w:r>
        <w:rPr>
          <w:rFonts w:eastAsia="Arial" w:cs="Arial"/>
        </w:rPr>
        <w:t>ate</w:t>
      </w:r>
      <w:r>
        <w:rPr>
          <w:rFonts w:eastAsia="Arial" w:cs="Arial"/>
          <w:spacing w:val="-1"/>
        </w:rPr>
        <w:t xml:space="preserve"> </w:t>
      </w:r>
      <w:r>
        <w:rPr>
          <w:rFonts w:eastAsia="Arial" w:cs="Arial"/>
          <w:spacing w:val="1"/>
        </w:rPr>
        <w:t>r</w:t>
      </w:r>
      <w:r>
        <w:rPr>
          <w:rFonts w:eastAsia="Arial" w:cs="Arial"/>
          <w:spacing w:val="-3"/>
        </w:rPr>
        <w:t>e</w:t>
      </w:r>
      <w:r>
        <w:rPr>
          <w:rFonts w:eastAsia="Arial" w:cs="Arial"/>
          <w:spacing w:val="1"/>
        </w:rPr>
        <w:t>m</w:t>
      </w:r>
      <w:r>
        <w:rPr>
          <w:rFonts w:eastAsia="Arial" w:cs="Arial"/>
        </w:rPr>
        <w:t>u</w:t>
      </w:r>
      <w:r>
        <w:rPr>
          <w:rFonts w:eastAsia="Arial" w:cs="Arial"/>
          <w:spacing w:val="-1"/>
        </w:rPr>
        <w:t>n</w:t>
      </w:r>
      <w:r>
        <w:rPr>
          <w:rFonts w:eastAsia="Arial" w:cs="Arial"/>
        </w:rPr>
        <w:t>er</w:t>
      </w:r>
      <w:r>
        <w:rPr>
          <w:rFonts w:eastAsia="Arial" w:cs="Arial"/>
          <w:spacing w:val="-2"/>
        </w:rPr>
        <w:t>a</w:t>
      </w:r>
      <w:r>
        <w:rPr>
          <w:rFonts w:eastAsia="Arial" w:cs="Arial"/>
          <w:spacing w:val="1"/>
        </w:rPr>
        <w:t>t</w:t>
      </w:r>
      <w:r>
        <w:rPr>
          <w:rFonts w:eastAsia="Arial" w:cs="Arial"/>
          <w:spacing w:val="-1"/>
        </w:rPr>
        <w:t>i</w:t>
      </w:r>
      <w:r>
        <w:rPr>
          <w:rFonts w:eastAsia="Arial" w:cs="Arial"/>
          <w:spacing w:val="-3"/>
        </w:rPr>
        <w:t>o</w:t>
      </w:r>
      <w:r>
        <w:rPr>
          <w:rFonts w:eastAsia="Arial" w:cs="Arial"/>
        </w:rPr>
        <w:t>n and</w:t>
      </w:r>
      <w:r>
        <w:rPr>
          <w:rFonts w:eastAsia="Arial" w:cs="Arial"/>
          <w:spacing w:val="-2"/>
        </w:rPr>
        <w:t xml:space="preserve"> </w:t>
      </w:r>
      <w:r>
        <w:rPr>
          <w:rFonts w:eastAsia="Arial" w:cs="Arial"/>
          <w:spacing w:val="1"/>
        </w:rPr>
        <w:t>t</w:t>
      </w:r>
      <w:r>
        <w:rPr>
          <w:rFonts w:eastAsia="Arial" w:cs="Arial"/>
        </w:rPr>
        <w:t>e</w:t>
      </w:r>
      <w:r>
        <w:rPr>
          <w:rFonts w:eastAsia="Arial" w:cs="Arial"/>
          <w:spacing w:val="-2"/>
        </w:rPr>
        <w:t>r</w:t>
      </w:r>
      <w:r>
        <w:rPr>
          <w:rFonts w:eastAsia="Arial" w:cs="Arial"/>
          <w:spacing w:val="1"/>
        </w:rPr>
        <w:t>m</w:t>
      </w:r>
      <w:r>
        <w:rPr>
          <w:rFonts w:eastAsia="Arial" w:cs="Arial"/>
        </w:rPr>
        <w:t>s</w:t>
      </w:r>
      <w:r>
        <w:rPr>
          <w:rFonts w:eastAsia="Arial" w:cs="Arial"/>
          <w:spacing w:val="1"/>
        </w:rPr>
        <w:t xml:space="preserve"> </w:t>
      </w:r>
      <w:r>
        <w:rPr>
          <w:rFonts w:eastAsia="Arial" w:cs="Arial"/>
          <w:spacing w:val="-3"/>
        </w:rPr>
        <w:t>o</w:t>
      </w:r>
      <w:r>
        <w:rPr>
          <w:rFonts w:eastAsia="Arial" w:cs="Arial"/>
        </w:rPr>
        <w:t>f ser</w:t>
      </w:r>
      <w:r>
        <w:rPr>
          <w:rFonts w:eastAsia="Arial" w:cs="Arial"/>
          <w:spacing w:val="-2"/>
        </w:rPr>
        <w:t>v</w:t>
      </w:r>
      <w:r>
        <w:rPr>
          <w:rFonts w:eastAsia="Arial" w:cs="Arial"/>
          <w:spacing w:val="-1"/>
        </w:rPr>
        <w:t>i</w:t>
      </w:r>
      <w:r>
        <w:rPr>
          <w:rFonts w:eastAsia="Arial" w:cs="Arial"/>
        </w:rPr>
        <w:t>ce</w:t>
      </w:r>
      <w:r>
        <w:rPr>
          <w:rFonts w:eastAsia="Arial" w:cs="Arial"/>
          <w:spacing w:val="-2"/>
        </w:rPr>
        <w:t xml:space="preserve"> </w:t>
      </w:r>
      <w:r>
        <w:rPr>
          <w:rFonts w:eastAsia="Arial" w:cs="Arial"/>
          <w:spacing w:val="3"/>
        </w:rPr>
        <w:t>f</w:t>
      </w:r>
      <w:r>
        <w:rPr>
          <w:rFonts w:eastAsia="Arial" w:cs="Arial"/>
          <w:spacing w:val="-3"/>
        </w:rPr>
        <w:t>o</w:t>
      </w:r>
      <w:r>
        <w:rPr>
          <w:rFonts w:eastAsia="Arial" w:cs="Arial"/>
        </w:rPr>
        <w:t>r</w:t>
      </w:r>
      <w:r>
        <w:rPr>
          <w:rFonts w:eastAsia="Arial" w:cs="Arial"/>
          <w:spacing w:val="2"/>
        </w:rPr>
        <w:t xml:space="preserve"> </w:t>
      </w:r>
      <w:r>
        <w:rPr>
          <w:rFonts w:eastAsia="Arial" w:cs="Arial"/>
          <w:spacing w:val="-1"/>
        </w:rPr>
        <w:t>VS</w:t>
      </w:r>
      <w:r>
        <w:rPr>
          <w:rFonts w:eastAsia="Arial" w:cs="Arial"/>
          <w:spacing w:val="-4"/>
        </w:rPr>
        <w:t>M</w:t>
      </w:r>
      <w:r>
        <w:rPr>
          <w:rFonts w:eastAsia="Arial" w:cs="Arial"/>
        </w:rPr>
        <w:t>s</w:t>
      </w:r>
      <w:r>
        <w:rPr>
          <w:rFonts w:eastAsia="Arial" w:cs="Arial"/>
          <w:spacing w:val="1"/>
        </w:rPr>
        <w:t xml:space="preserve"> </w:t>
      </w:r>
      <w:r>
        <w:rPr>
          <w:rFonts w:eastAsia="Arial" w:cs="Arial"/>
        </w:rPr>
        <w:t>a</w:t>
      </w:r>
      <w:r>
        <w:rPr>
          <w:rFonts w:eastAsia="Arial" w:cs="Arial"/>
          <w:spacing w:val="-1"/>
        </w:rPr>
        <w:t>n</w:t>
      </w:r>
      <w:r>
        <w:rPr>
          <w:rFonts w:eastAsia="Arial" w:cs="Arial"/>
        </w:rPr>
        <w:t>d p</w:t>
      </w:r>
      <w:r>
        <w:rPr>
          <w:rFonts w:eastAsia="Arial" w:cs="Arial"/>
          <w:spacing w:val="1"/>
        </w:rPr>
        <w:t>r</w:t>
      </w:r>
      <w:r>
        <w:rPr>
          <w:rFonts w:eastAsia="Arial" w:cs="Arial"/>
        </w:rPr>
        <w:t>o</w:t>
      </w:r>
      <w:r>
        <w:rPr>
          <w:rFonts w:eastAsia="Arial" w:cs="Arial"/>
          <w:spacing w:val="-1"/>
        </w:rPr>
        <w:t>p</w:t>
      </w:r>
      <w:r>
        <w:rPr>
          <w:rFonts w:eastAsia="Arial" w:cs="Arial"/>
        </w:rPr>
        <w:t>os</w:t>
      </w:r>
      <w:r>
        <w:rPr>
          <w:rFonts w:eastAsia="Arial" w:cs="Arial"/>
          <w:spacing w:val="-1"/>
        </w:rPr>
        <w:t>e</w:t>
      </w:r>
      <w:r>
        <w:rPr>
          <w:rFonts w:eastAsia="Arial" w:cs="Arial"/>
        </w:rPr>
        <w:t>s</w:t>
      </w:r>
      <w:r>
        <w:rPr>
          <w:rFonts w:eastAsia="Arial" w:cs="Arial"/>
          <w:spacing w:val="-1"/>
        </w:rPr>
        <w:t xml:space="preserve"> </w:t>
      </w:r>
      <w:r>
        <w:rPr>
          <w:rFonts w:eastAsia="Arial" w:cs="Arial"/>
        </w:rPr>
        <w:t>c</w:t>
      </w:r>
      <w:r>
        <w:rPr>
          <w:rFonts w:eastAsia="Arial" w:cs="Arial"/>
          <w:spacing w:val="-3"/>
        </w:rPr>
        <w:t>a</w:t>
      </w:r>
      <w:r>
        <w:rPr>
          <w:rFonts w:eastAsia="Arial" w:cs="Arial"/>
          <w:spacing w:val="-1"/>
        </w:rPr>
        <w:t>l</w:t>
      </w:r>
      <w:r>
        <w:rPr>
          <w:rFonts w:eastAsia="Arial" w:cs="Arial"/>
        </w:rPr>
        <w:t>cu</w:t>
      </w:r>
      <w:r>
        <w:rPr>
          <w:rFonts w:eastAsia="Arial" w:cs="Arial"/>
          <w:spacing w:val="-1"/>
        </w:rPr>
        <w:t>l</w:t>
      </w:r>
      <w:r>
        <w:rPr>
          <w:rFonts w:eastAsia="Arial" w:cs="Arial"/>
        </w:rPr>
        <w:t>ati</w:t>
      </w:r>
      <w:r>
        <w:rPr>
          <w:rFonts w:eastAsia="Arial" w:cs="Arial"/>
          <w:spacing w:val="-1"/>
        </w:rPr>
        <w:t>o</w:t>
      </w:r>
      <w:r>
        <w:rPr>
          <w:rFonts w:eastAsia="Arial" w:cs="Arial"/>
        </w:rPr>
        <w:t>n and sc</w:t>
      </w:r>
      <w:r>
        <w:rPr>
          <w:rFonts w:eastAsia="Arial" w:cs="Arial"/>
          <w:spacing w:val="1"/>
        </w:rPr>
        <w:t>r</w:t>
      </w:r>
      <w:r>
        <w:rPr>
          <w:rFonts w:eastAsia="Arial" w:cs="Arial"/>
        </w:rPr>
        <w:t>uti</w:t>
      </w:r>
      <w:r>
        <w:rPr>
          <w:rFonts w:eastAsia="Arial" w:cs="Arial"/>
          <w:spacing w:val="-1"/>
        </w:rPr>
        <w:t>n</w:t>
      </w:r>
      <w:r>
        <w:rPr>
          <w:rFonts w:eastAsia="Arial" w:cs="Arial"/>
        </w:rPr>
        <w:t>y</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rPr>
        <w:t>a</w:t>
      </w:r>
      <w:r>
        <w:rPr>
          <w:rFonts w:eastAsia="Arial" w:cs="Arial"/>
          <w:spacing w:val="-1"/>
        </w:rPr>
        <w:t>n</w:t>
      </w:r>
      <w:r>
        <w:rPr>
          <w:rFonts w:eastAsia="Arial" w:cs="Arial"/>
        </w:rPr>
        <w:t>y</w:t>
      </w:r>
      <w:r>
        <w:rPr>
          <w:rFonts w:eastAsia="Arial" w:cs="Arial"/>
          <w:spacing w:val="-1"/>
        </w:rPr>
        <w:t xml:space="preserve"> </w:t>
      </w:r>
      <w:r>
        <w:rPr>
          <w:rFonts w:eastAsia="Arial" w:cs="Arial"/>
          <w:spacing w:val="1"/>
        </w:rPr>
        <w:t>t</w:t>
      </w:r>
      <w:r>
        <w:rPr>
          <w:rFonts w:eastAsia="Arial" w:cs="Arial"/>
          <w:spacing w:val="-3"/>
        </w:rPr>
        <w:t>e</w:t>
      </w:r>
      <w:r>
        <w:rPr>
          <w:rFonts w:eastAsia="Arial" w:cs="Arial"/>
          <w:spacing w:val="1"/>
        </w:rPr>
        <w:t>rm</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1"/>
        </w:rPr>
        <w:t>i</w:t>
      </w:r>
      <w:r>
        <w:rPr>
          <w:rFonts w:eastAsia="Arial" w:cs="Arial"/>
          <w:spacing w:val="-3"/>
        </w:rPr>
        <w:t>o</w:t>
      </w:r>
      <w:r>
        <w:rPr>
          <w:rFonts w:eastAsia="Arial" w:cs="Arial"/>
        </w:rPr>
        <w:t>n pa</w:t>
      </w:r>
      <w:r>
        <w:rPr>
          <w:rFonts w:eastAsia="Arial" w:cs="Arial"/>
          <w:spacing w:val="-2"/>
        </w:rPr>
        <w:t>y</w:t>
      </w:r>
      <w:r>
        <w:rPr>
          <w:rFonts w:eastAsia="Arial" w:cs="Arial"/>
          <w:spacing w:val="1"/>
        </w:rPr>
        <w:t>m</w:t>
      </w:r>
      <w:r>
        <w:rPr>
          <w:rFonts w:eastAsia="Arial" w:cs="Arial"/>
        </w:rPr>
        <w:t>e</w:t>
      </w:r>
      <w:r>
        <w:rPr>
          <w:rFonts w:eastAsia="Arial" w:cs="Arial"/>
          <w:spacing w:val="-1"/>
        </w:rPr>
        <w:t>n</w:t>
      </w:r>
      <w:r>
        <w:rPr>
          <w:rFonts w:eastAsia="Arial" w:cs="Arial"/>
          <w:spacing w:val="1"/>
        </w:rPr>
        <w:t>t</w:t>
      </w:r>
      <w:r>
        <w:rPr>
          <w:rFonts w:eastAsia="Arial" w:cs="Arial"/>
          <w:spacing w:val="-2"/>
        </w:rPr>
        <w:t>s</w:t>
      </w:r>
      <w:r>
        <w:rPr>
          <w:rFonts w:eastAsia="Arial" w:cs="Arial"/>
        </w:rPr>
        <w:t xml:space="preserve">, </w:t>
      </w:r>
      <w:r>
        <w:rPr>
          <w:rFonts w:eastAsia="Arial" w:cs="Arial"/>
          <w:spacing w:val="1"/>
        </w:rPr>
        <w:t>t</w:t>
      </w:r>
      <w:r>
        <w:rPr>
          <w:rFonts w:eastAsia="Arial" w:cs="Arial"/>
          <w:spacing w:val="-3"/>
        </w:rPr>
        <w:t>a</w:t>
      </w:r>
      <w:r>
        <w:rPr>
          <w:rFonts w:eastAsia="Arial" w:cs="Arial"/>
          <w:spacing w:val="2"/>
        </w:rPr>
        <w:t>k</w:t>
      </w:r>
      <w:r>
        <w:rPr>
          <w:rFonts w:eastAsia="Arial" w:cs="Arial"/>
          <w:spacing w:val="-1"/>
        </w:rPr>
        <w:t>i</w:t>
      </w:r>
      <w:r>
        <w:rPr>
          <w:rFonts w:eastAsia="Arial" w:cs="Arial"/>
          <w:spacing w:val="-3"/>
        </w:rPr>
        <w:t>n</w:t>
      </w:r>
      <w:r>
        <w:rPr>
          <w:rFonts w:eastAsia="Arial" w:cs="Arial"/>
        </w:rPr>
        <w:t>g</w:t>
      </w:r>
      <w:r>
        <w:rPr>
          <w:rFonts w:eastAsia="Arial" w:cs="Arial"/>
          <w:spacing w:val="3"/>
        </w:rPr>
        <w:t xml:space="preserve"> </w:t>
      </w:r>
      <w:r>
        <w:rPr>
          <w:rFonts w:eastAsia="Arial" w:cs="Arial"/>
          <w:spacing w:val="-1"/>
        </w:rPr>
        <w:t>i</w:t>
      </w:r>
      <w:r>
        <w:rPr>
          <w:rFonts w:eastAsia="Arial" w:cs="Arial"/>
        </w:rPr>
        <w:t>nto</w:t>
      </w:r>
      <w:r>
        <w:rPr>
          <w:rFonts w:eastAsia="Arial" w:cs="Arial"/>
          <w:spacing w:val="-1"/>
        </w:rPr>
        <w:t xml:space="preserve"> </w:t>
      </w:r>
      <w:r>
        <w:rPr>
          <w:rFonts w:eastAsia="Arial" w:cs="Arial"/>
          <w:spacing w:val="-3"/>
        </w:rPr>
        <w:t>a</w:t>
      </w:r>
      <w:r>
        <w:rPr>
          <w:rFonts w:eastAsia="Arial" w:cs="Arial"/>
        </w:rPr>
        <w:t>cco</w:t>
      </w:r>
      <w:r>
        <w:rPr>
          <w:rFonts w:eastAsia="Arial" w:cs="Arial"/>
          <w:spacing w:val="-1"/>
        </w:rPr>
        <w:t>u</w:t>
      </w:r>
      <w:r>
        <w:rPr>
          <w:rFonts w:eastAsia="Arial" w:cs="Arial"/>
        </w:rPr>
        <w:t>nt</w:t>
      </w:r>
      <w:r>
        <w:rPr>
          <w:rFonts w:eastAsia="Arial" w:cs="Arial"/>
          <w:spacing w:val="2"/>
        </w:rPr>
        <w:t xml:space="preserve"> </w:t>
      </w:r>
      <w:r>
        <w:rPr>
          <w:rFonts w:eastAsia="Arial" w:cs="Arial"/>
        </w:rPr>
        <w:t>a</w:t>
      </w:r>
      <w:r>
        <w:rPr>
          <w:rFonts w:eastAsia="Arial" w:cs="Arial"/>
          <w:spacing w:val="-1"/>
        </w:rPr>
        <w:t>n</w:t>
      </w:r>
      <w:r>
        <w:rPr>
          <w:rFonts w:eastAsia="Arial" w:cs="Arial"/>
        </w:rPr>
        <w:t>y</w:t>
      </w:r>
      <w:r>
        <w:rPr>
          <w:rFonts w:eastAsia="Arial" w:cs="Arial"/>
          <w:spacing w:val="-4"/>
        </w:rPr>
        <w:t xml:space="preserve"> </w:t>
      </w:r>
      <w:r>
        <w:rPr>
          <w:rFonts w:eastAsia="Arial" w:cs="Arial"/>
          <w:spacing w:val="1"/>
        </w:rPr>
        <w:t>r</w:t>
      </w:r>
      <w:r>
        <w:rPr>
          <w:rFonts w:eastAsia="Arial" w:cs="Arial"/>
        </w:rPr>
        <w:t>e</w:t>
      </w:r>
      <w:r>
        <w:rPr>
          <w:rFonts w:eastAsia="Arial" w:cs="Arial"/>
          <w:spacing w:val="-1"/>
        </w:rPr>
        <w:t>l</w:t>
      </w:r>
      <w:r>
        <w:rPr>
          <w:rFonts w:eastAsia="Arial" w:cs="Arial"/>
        </w:rPr>
        <w:t>e</w:t>
      </w:r>
      <w:r>
        <w:rPr>
          <w:rFonts w:eastAsia="Arial" w:cs="Arial"/>
          <w:spacing w:val="-3"/>
        </w:rPr>
        <w:t>v</w:t>
      </w:r>
      <w:r>
        <w:rPr>
          <w:rFonts w:eastAsia="Arial" w:cs="Arial"/>
        </w:rPr>
        <w:t>a</w:t>
      </w:r>
      <w:r>
        <w:rPr>
          <w:rFonts w:eastAsia="Arial" w:cs="Arial"/>
          <w:spacing w:val="-1"/>
        </w:rPr>
        <w:t>n</w:t>
      </w:r>
      <w:r>
        <w:rPr>
          <w:rFonts w:eastAsia="Arial" w:cs="Arial"/>
        </w:rPr>
        <w:t>t</w:t>
      </w:r>
      <w:r>
        <w:rPr>
          <w:rFonts w:eastAsia="Arial" w:cs="Arial"/>
          <w:spacing w:val="2"/>
        </w:rPr>
        <w:t xml:space="preserve"> </w:t>
      </w:r>
      <w:r>
        <w:rPr>
          <w:rFonts w:eastAsia="Arial" w:cs="Arial"/>
        </w:rPr>
        <w:t>n</w:t>
      </w:r>
      <w:r>
        <w:rPr>
          <w:rFonts w:eastAsia="Arial" w:cs="Arial"/>
          <w:spacing w:val="-1"/>
        </w:rPr>
        <w:t>a</w:t>
      </w:r>
      <w:r>
        <w:rPr>
          <w:rFonts w:eastAsia="Arial" w:cs="Arial"/>
          <w:spacing w:val="1"/>
        </w:rPr>
        <w:t>t</w:t>
      </w:r>
      <w:r>
        <w:rPr>
          <w:rFonts w:eastAsia="Arial" w:cs="Arial"/>
          <w:spacing w:val="-1"/>
        </w:rPr>
        <w:t>i</w:t>
      </w:r>
      <w:r>
        <w:rPr>
          <w:rFonts w:eastAsia="Arial" w:cs="Arial"/>
          <w:spacing w:val="-3"/>
        </w:rPr>
        <w:t>o</w:t>
      </w:r>
      <w:r>
        <w:rPr>
          <w:rFonts w:eastAsia="Arial" w:cs="Arial"/>
        </w:rPr>
        <w:t>n</w:t>
      </w:r>
      <w:r>
        <w:rPr>
          <w:rFonts w:eastAsia="Arial" w:cs="Arial"/>
          <w:spacing w:val="-1"/>
        </w:rPr>
        <w:t>a</w:t>
      </w:r>
      <w:r>
        <w:rPr>
          <w:rFonts w:eastAsia="Arial" w:cs="Arial"/>
        </w:rPr>
        <w:t xml:space="preserve">l </w:t>
      </w:r>
      <w:r>
        <w:rPr>
          <w:rFonts w:eastAsia="Arial" w:cs="Arial"/>
          <w:spacing w:val="2"/>
        </w:rPr>
        <w:t>g</w:t>
      </w:r>
      <w:r>
        <w:rPr>
          <w:rFonts w:eastAsia="Arial" w:cs="Arial"/>
        </w:rPr>
        <w:t>u</w:t>
      </w:r>
      <w:r>
        <w:rPr>
          <w:rFonts w:eastAsia="Arial" w:cs="Arial"/>
          <w:spacing w:val="-1"/>
        </w:rPr>
        <w:t>i</w:t>
      </w:r>
      <w:r>
        <w:rPr>
          <w:rFonts w:eastAsia="Arial" w:cs="Arial"/>
        </w:rPr>
        <w:t>d</w:t>
      </w:r>
      <w:r>
        <w:rPr>
          <w:rFonts w:eastAsia="Arial" w:cs="Arial"/>
          <w:spacing w:val="-1"/>
        </w:rPr>
        <w:t>a</w:t>
      </w:r>
      <w:r>
        <w:rPr>
          <w:rFonts w:eastAsia="Arial" w:cs="Arial"/>
        </w:rPr>
        <w:t>nc</w:t>
      </w:r>
      <w:r>
        <w:rPr>
          <w:rFonts w:eastAsia="Arial" w:cs="Arial"/>
          <w:spacing w:val="-3"/>
        </w:rPr>
        <w:t>e</w:t>
      </w:r>
      <w:r>
        <w:rPr>
          <w:rFonts w:eastAsia="Arial" w:cs="Arial"/>
        </w:rPr>
        <w:t xml:space="preserve">. </w:t>
      </w:r>
      <w:r>
        <w:rPr>
          <w:rFonts w:eastAsia="Arial" w:cs="Arial"/>
          <w:bCs/>
          <w:spacing w:val="-1"/>
        </w:rPr>
        <w:t xml:space="preserve">Attendance and activities of the Remuneration </w:t>
      </w:r>
      <w:r w:rsidRPr="00D326D4">
        <w:rPr>
          <w:rFonts w:eastAsia="Arial" w:cs="Arial"/>
          <w:bCs/>
          <w:spacing w:val="-1"/>
        </w:rPr>
        <w:t xml:space="preserve">Committee for 2021-22 </w:t>
      </w:r>
      <w:r w:rsidRPr="00D326D4">
        <w:rPr>
          <w:rFonts w:eastAsia="Arial" w:cs="Arial"/>
          <w:bCs/>
          <w:color w:val="000000" w:themeColor="text1"/>
          <w:spacing w:val="-1"/>
        </w:rPr>
        <w:t>are detailed on page</w:t>
      </w:r>
      <w:r w:rsidR="001369E7" w:rsidRPr="00D326D4">
        <w:rPr>
          <w:rFonts w:eastAsia="Arial" w:cs="Arial"/>
          <w:bCs/>
          <w:color w:val="000000" w:themeColor="text1"/>
          <w:spacing w:val="-1"/>
        </w:rPr>
        <w:t>s</w:t>
      </w:r>
      <w:r w:rsidRPr="00D326D4">
        <w:rPr>
          <w:rFonts w:eastAsia="Arial" w:cs="Arial"/>
          <w:bCs/>
          <w:color w:val="000000" w:themeColor="text1"/>
          <w:spacing w:val="-1"/>
        </w:rPr>
        <w:t xml:space="preserve"> </w:t>
      </w:r>
      <w:r w:rsidR="008B517E" w:rsidRPr="00D326D4">
        <w:rPr>
          <w:rFonts w:eastAsia="Arial" w:cs="Arial"/>
          <w:bCs/>
          <w:color w:val="000000" w:themeColor="text1"/>
          <w:spacing w:val="-1"/>
        </w:rPr>
        <w:t>65-66</w:t>
      </w:r>
      <w:r w:rsidRPr="00D326D4">
        <w:rPr>
          <w:rFonts w:eastAsia="Arial" w:cs="Arial"/>
          <w:bCs/>
          <w:color w:val="000000" w:themeColor="text1"/>
          <w:spacing w:val="-1"/>
        </w:rPr>
        <w:t xml:space="preserve"> within the</w:t>
      </w:r>
      <w:r>
        <w:rPr>
          <w:rFonts w:eastAsia="Arial" w:cs="Arial"/>
          <w:bCs/>
          <w:color w:val="000000" w:themeColor="text1"/>
          <w:spacing w:val="-1"/>
        </w:rPr>
        <w:t xml:space="preserve"> Governance Statement.</w:t>
      </w:r>
      <w:r>
        <w:rPr>
          <w:rFonts w:eastAsia="Arial" w:cs="Arial"/>
          <w:b/>
          <w:bCs/>
          <w:color w:val="000000" w:themeColor="text1"/>
          <w:spacing w:val="-1"/>
        </w:rPr>
        <w:t xml:space="preserve"> </w:t>
      </w:r>
    </w:p>
    <w:p w14:paraId="72239C24" w14:textId="77777777" w:rsidR="00B11172" w:rsidRPr="00B11172" w:rsidRDefault="00B11172" w:rsidP="00816C8C">
      <w:pPr>
        <w:pStyle w:val="NoSpacing"/>
        <w:spacing w:line="276" w:lineRule="auto"/>
      </w:pPr>
      <w:bookmarkStart w:id="136" w:name="_Toc103695055"/>
      <w:r w:rsidRPr="00B11172">
        <w:rPr>
          <w:rStyle w:val="Heading3Char"/>
          <w:rFonts w:eastAsiaTheme="minorEastAsia" w:cs="Calibri"/>
          <w:b/>
          <w:bCs w:val="0"/>
        </w:rPr>
        <w:t>Remuneration Committee Membership</w:t>
      </w:r>
      <w:bookmarkEnd w:id="136"/>
      <w:r w:rsidRPr="00B11172">
        <w:t xml:space="preserve"> 2021-22 </w:t>
      </w:r>
    </w:p>
    <w:p w14:paraId="5B2A0D4F" w14:textId="77777777" w:rsidR="00B11172" w:rsidRDefault="00B11172" w:rsidP="00816C8C">
      <w:pPr>
        <w:rPr>
          <w:rFonts w:cs="Arial"/>
        </w:rPr>
      </w:pPr>
      <w:r>
        <w:rPr>
          <w:rFonts w:cs="Arial"/>
        </w:rPr>
        <w:t>Membership of the NHS Hull CCG Remuneration Committee is comprised of the following (All memberships run from 1 April 2021 to 31 March 2022 unless stated otherwise):</w:t>
      </w:r>
      <w:r>
        <w:rPr>
          <w:rFonts w:cs="Arial"/>
        </w:rPr>
        <w:tab/>
      </w:r>
    </w:p>
    <w:tbl>
      <w:tblPr>
        <w:tblStyle w:val="TableGrid"/>
        <w:tblW w:w="9535" w:type="dxa"/>
        <w:tblLook w:val="04A0" w:firstRow="1" w:lastRow="0" w:firstColumn="1" w:lastColumn="0" w:noHBand="0" w:noVBand="1"/>
      </w:tblPr>
      <w:tblGrid>
        <w:gridCol w:w="4390"/>
        <w:gridCol w:w="5145"/>
      </w:tblGrid>
      <w:tr w:rsidR="00B11172" w14:paraId="47980B31" w14:textId="77777777" w:rsidTr="00B11172">
        <w:tc>
          <w:tcPr>
            <w:tcW w:w="439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74D6FD4" w14:textId="77777777" w:rsidR="00B11172" w:rsidRDefault="00B11172" w:rsidP="00816C8C">
            <w:pPr>
              <w:spacing w:before="0" w:after="0" w:line="276" w:lineRule="auto"/>
              <w:rPr>
                <w:rFonts w:cs="Arial"/>
                <w:sz w:val="20"/>
                <w:szCs w:val="20"/>
                <w:lang w:eastAsia="en-US"/>
              </w:rPr>
            </w:pPr>
            <w:r>
              <w:rPr>
                <w:rFonts w:cs="Arial"/>
                <w:sz w:val="20"/>
                <w:szCs w:val="20"/>
                <w:lang w:eastAsia="en-US"/>
              </w:rPr>
              <w:t>Name</w:t>
            </w:r>
          </w:p>
        </w:tc>
        <w:tc>
          <w:tcPr>
            <w:tcW w:w="514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0C819F0" w14:textId="77777777" w:rsidR="00B11172" w:rsidRDefault="00B11172" w:rsidP="00816C8C">
            <w:pPr>
              <w:spacing w:before="0" w:after="0" w:line="276" w:lineRule="auto"/>
              <w:rPr>
                <w:rFonts w:cs="Arial"/>
                <w:sz w:val="20"/>
                <w:szCs w:val="20"/>
                <w:lang w:eastAsia="en-US"/>
              </w:rPr>
            </w:pPr>
            <w:r>
              <w:rPr>
                <w:rFonts w:cs="Arial"/>
                <w:sz w:val="20"/>
                <w:szCs w:val="20"/>
                <w:lang w:eastAsia="en-US"/>
              </w:rPr>
              <w:t>Title</w:t>
            </w:r>
          </w:p>
        </w:tc>
      </w:tr>
      <w:tr w:rsidR="00B11172" w14:paraId="25C10034" w14:textId="77777777" w:rsidTr="00B11172">
        <w:tc>
          <w:tcPr>
            <w:tcW w:w="4390" w:type="dxa"/>
            <w:tcBorders>
              <w:top w:val="single" w:sz="4" w:space="0" w:color="auto"/>
              <w:left w:val="single" w:sz="4" w:space="0" w:color="auto"/>
              <w:bottom w:val="single" w:sz="4" w:space="0" w:color="auto"/>
              <w:right w:val="single" w:sz="4" w:space="0" w:color="auto"/>
            </w:tcBorders>
            <w:hideMark/>
          </w:tcPr>
          <w:p w14:paraId="2EF22C25" w14:textId="77777777" w:rsidR="00B11172" w:rsidRDefault="00B11172" w:rsidP="00816C8C">
            <w:pPr>
              <w:spacing w:before="0" w:after="0" w:line="276" w:lineRule="auto"/>
              <w:rPr>
                <w:rFonts w:cs="Arial"/>
                <w:sz w:val="20"/>
                <w:szCs w:val="20"/>
                <w:lang w:eastAsia="en-US"/>
              </w:rPr>
            </w:pPr>
            <w:r>
              <w:rPr>
                <w:rFonts w:cs="Arial"/>
                <w:sz w:val="20"/>
                <w:szCs w:val="20"/>
                <w:lang w:eastAsia="en-US"/>
              </w:rPr>
              <w:t>Karen Marshall (Chair)</w:t>
            </w:r>
          </w:p>
        </w:tc>
        <w:tc>
          <w:tcPr>
            <w:tcW w:w="5145" w:type="dxa"/>
            <w:tcBorders>
              <w:top w:val="single" w:sz="4" w:space="0" w:color="auto"/>
              <w:left w:val="single" w:sz="4" w:space="0" w:color="auto"/>
              <w:bottom w:val="single" w:sz="4" w:space="0" w:color="auto"/>
              <w:right w:val="single" w:sz="4" w:space="0" w:color="auto"/>
            </w:tcBorders>
            <w:hideMark/>
          </w:tcPr>
          <w:p w14:paraId="1B945D03" w14:textId="77777777" w:rsidR="00B11172" w:rsidRDefault="00B11172" w:rsidP="00816C8C">
            <w:pPr>
              <w:spacing w:before="0" w:after="0" w:line="276" w:lineRule="auto"/>
              <w:rPr>
                <w:rFonts w:cs="Arial"/>
                <w:sz w:val="20"/>
                <w:szCs w:val="20"/>
                <w:lang w:eastAsia="en-US"/>
              </w:rPr>
            </w:pPr>
            <w:r>
              <w:rPr>
                <w:rFonts w:cs="Arial"/>
                <w:sz w:val="20"/>
                <w:szCs w:val="20"/>
                <w:lang w:eastAsia="en-US"/>
              </w:rPr>
              <w:t>CCG Lay Representative</w:t>
            </w:r>
          </w:p>
        </w:tc>
      </w:tr>
      <w:tr w:rsidR="00B11172" w14:paraId="6ACBBE85" w14:textId="77777777" w:rsidTr="00B11172">
        <w:tc>
          <w:tcPr>
            <w:tcW w:w="4390" w:type="dxa"/>
            <w:tcBorders>
              <w:top w:val="single" w:sz="4" w:space="0" w:color="auto"/>
              <w:left w:val="single" w:sz="4" w:space="0" w:color="auto"/>
              <w:bottom w:val="single" w:sz="4" w:space="0" w:color="auto"/>
              <w:right w:val="single" w:sz="4" w:space="0" w:color="auto"/>
            </w:tcBorders>
            <w:hideMark/>
          </w:tcPr>
          <w:p w14:paraId="783182A2" w14:textId="77777777" w:rsidR="00B11172" w:rsidRDefault="00B11172" w:rsidP="00816C8C">
            <w:pPr>
              <w:spacing w:before="0" w:after="0" w:line="276" w:lineRule="auto"/>
              <w:rPr>
                <w:rFonts w:cs="Arial"/>
                <w:sz w:val="20"/>
                <w:szCs w:val="20"/>
                <w:lang w:eastAsia="en-US"/>
              </w:rPr>
            </w:pPr>
            <w:r>
              <w:rPr>
                <w:rFonts w:cs="Arial"/>
                <w:sz w:val="20"/>
                <w:szCs w:val="20"/>
                <w:lang w:eastAsia="en-US"/>
              </w:rPr>
              <w:t>Ian Goode</w:t>
            </w:r>
          </w:p>
        </w:tc>
        <w:tc>
          <w:tcPr>
            <w:tcW w:w="5145" w:type="dxa"/>
            <w:tcBorders>
              <w:top w:val="single" w:sz="4" w:space="0" w:color="auto"/>
              <w:left w:val="single" w:sz="4" w:space="0" w:color="auto"/>
              <w:bottom w:val="single" w:sz="4" w:space="0" w:color="auto"/>
              <w:right w:val="single" w:sz="4" w:space="0" w:color="auto"/>
            </w:tcBorders>
            <w:hideMark/>
          </w:tcPr>
          <w:p w14:paraId="1E6D8673" w14:textId="77777777" w:rsidR="00B11172" w:rsidRDefault="00B11172" w:rsidP="00816C8C">
            <w:pPr>
              <w:spacing w:before="0" w:after="0" w:line="276" w:lineRule="auto"/>
              <w:rPr>
                <w:rFonts w:cs="Arial"/>
                <w:sz w:val="20"/>
                <w:szCs w:val="20"/>
                <w:lang w:eastAsia="en-US"/>
              </w:rPr>
            </w:pPr>
            <w:r>
              <w:rPr>
                <w:rFonts w:cs="Arial"/>
                <w:sz w:val="20"/>
                <w:szCs w:val="20"/>
                <w:lang w:eastAsia="en-US"/>
              </w:rPr>
              <w:t>CCG Lay Representative</w:t>
            </w:r>
          </w:p>
        </w:tc>
      </w:tr>
      <w:tr w:rsidR="00B11172" w14:paraId="5FF5EFA3" w14:textId="77777777" w:rsidTr="00B11172">
        <w:tc>
          <w:tcPr>
            <w:tcW w:w="4390" w:type="dxa"/>
            <w:tcBorders>
              <w:top w:val="single" w:sz="4" w:space="0" w:color="auto"/>
              <w:left w:val="single" w:sz="4" w:space="0" w:color="auto"/>
              <w:bottom w:val="single" w:sz="4" w:space="0" w:color="auto"/>
              <w:right w:val="single" w:sz="4" w:space="0" w:color="auto"/>
            </w:tcBorders>
            <w:hideMark/>
          </w:tcPr>
          <w:p w14:paraId="2558DEDE" w14:textId="77777777" w:rsidR="00B11172" w:rsidRDefault="00B11172" w:rsidP="00816C8C">
            <w:pPr>
              <w:spacing w:before="0" w:after="0" w:line="276" w:lineRule="auto"/>
              <w:rPr>
                <w:rFonts w:cs="Arial"/>
                <w:sz w:val="20"/>
                <w:szCs w:val="20"/>
                <w:lang w:eastAsia="en-US"/>
              </w:rPr>
            </w:pPr>
            <w:r>
              <w:rPr>
                <w:rFonts w:cs="Arial"/>
                <w:sz w:val="20"/>
                <w:szCs w:val="20"/>
                <w:lang w:eastAsia="en-US"/>
              </w:rPr>
              <w:t>Jason Stamp</w:t>
            </w:r>
          </w:p>
        </w:tc>
        <w:tc>
          <w:tcPr>
            <w:tcW w:w="5145" w:type="dxa"/>
            <w:tcBorders>
              <w:top w:val="single" w:sz="4" w:space="0" w:color="auto"/>
              <w:left w:val="single" w:sz="4" w:space="0" w:color="auto"/>
              <w:bottom w:val="single" w:sz="4" w:space="0" w:color="auto"/>
              <w:right w:val="single" w:sz="4" w:space="0" w:color="auto"/>
            </w:tcBorders>
            <w:hideMark/>
          </w:tcPr>
          <w:p w14:paraId="5D6AA983" w14:textId="77777777" w:rsidR="00B11172" w:rsidRDefault="00B11172" w:rsidP="00816C8C">
            <w:pPr>
              <w:spacing w:before="0" w:after="0" w:line="276" w:lineRule="auto"/>
              <w:rPr>
                <w:rFonts w:cs="Arial"/>
                <w:sz w:val="20"/>
                <w:szCs w:val="20"/>
                <w:lang w:eastAsia="en-US"/>
              </w:rPr>
            </w:pPr>
            <w:r>
              <w:rPr>
                <w:rFonts w:cs="Arial"/>
                <w:sz w:val="20"/>
                <w:szCs w:val="20"/>
                <w:lang w:eastAsia="en-US"/>
              </w:rPr>
              <w:t>CCG Lay Representative</w:t>
            </w:r>
          </w:p>
        </w:tc>
      </w:tr>
      <w:tr w:rsidR="00B11172" w14:paraId="0D7E26EA" w14:textId="77777777" w:rsidTr="00B11172">
        <w:tc>
          <w:tcPr>
            <w:tcW w:w="4390" w:type="dxa"/>
            <w:tcBorders>
              <w:top w:val="single" w:sz="4" w:space="0" w:color="auto"/>
              <w:left w:val="single" w:sz="4" w:space="0" w:color="auto"/>
              <w:bottom w:val="single" w:sz="4" w:space="0" w:color="auto"/>
              <w:right w:val="single" w:sz="4" w:space="0" w:color="auto"/>
            </w:tcBorders>
            <w:hideMark/>
          </w:tcPr>
          <w:p w14:paraId="78F73360" w14:textId="77777777" w:rsidR="00B11172" w:rsidRDefault="00B11172" w:rsidP="00816C8C">
            <w:pPr>
              <w:spacing w:before="0" w:after="0" w:line="276" w:lineRule="auto"/>
              <w:rPr>
                <w:rFonts w:cs="Arial"/>
                <w:sz w:val="20"/>
                <w:szCs w:val="20"/>
                <w:lang w:eastAsia="en-US"/>
              </w:rPr>
            </w:pPr>
            <w:r>
              <w:rPr>
                <w:rFonts w:cs="Arial"/>
                <w:sz w:val="20"/>
                <w:szCs w:val="20"/>
                <w:lang w:eastAsia="en-US"/>
              </w:rPr>
              <w:t xml:space="preserve">Dr Dan Roper                                 </w:t>
            </w:r>
          </w:p>
        </w:tc>
        <w:tc>
          <w:tcPr>
            <w:tcW w:w="5145" w:type="dxa"/>
            <w:tcBorders>
              <w:top w:val="single" w:sz="4" w:space="0" w:color="auto"/>
              <w:left w:val="single" w:sz="4" w:space="0" w:color="auto"/>
              <w:bottom w:val="single" w:sz="4" w:space="0" w:color="auto"/>
              <w:right w:val="single" w:sz="4" w:space="0" w:color="auto"/>
            </w:tcBorders>
            <w:hideMark/>
          </w:tcPr>
          <w:p w14:paraId="3E7AF10C" w14:textId="77777777" w:rsidR="00B11172" w:rsidRDefault="00B11172" w:rsidP="00816C8C">
            <w:pPr>
              <w:spacing w:before="0" w:after="0" w:line="276" w:lineRule="auto"/>
              <w:rPr>
                <w:rFonts w:cs="Arial"/>
                <w:sz w:val="20"/>
                <w:szCs w:val="20"/>
                <w:lang w:eastAsia="en-US"/>
              </w:rPr>
            </w:pPr>
            <w:r>
              <w:rPr>
                <w:rFonts w:cs="Arial"/>
                <w:sz w:val="20"/>
                <w:szCs w:val="20"/>
                <w:lang w:eastAsia="en-US"/>
              </w:rPr>
              <w:t>CCG Chair</w:t>
            </w:r>
          </w:p>
        </w:tc>
      </w:tr>
    </w:tbl>
    <w:p w14:paraId="224E856D" w14:textId="77777777" w:rsidR="001E6A12" w:rsidRPr="00A558A4" w:rsidRDefault="001E6A12" w:rsidP="00816C8C">
      <w:pPr>
        <w:rPr>
          <w:rFonts w:cs="Arial"/>
        </w:rPr>
      </w:pPr>
      <w:r w:rsidRPr="00A558A4">
        <w:rPr>
          <w:rFonts w:cs="Arial"/>
        </w:rPr>
        <w:tab/>
      </w:r>
      <w:r w:rsidRPr="00A558A4">
        <w:rPr>
          <w:rFonts w:cs="Arial"/>
        </w:rPr>
        <w:tab/>
      </w:r>
    </w:p>
    <w:p w14:paraId="396165FD" w14:textId="77777777" w:rsidR="001E6A12" w:rsidRPr="00A558A4" w:rsidRDefault="001E6A12" w:rsidP="00B66DE2">
      <w:pPr>
        <w:spacing w:line="240" w:lineRule="auto"/>
        <w:rPr>
          <w:rFonts w:cs="Arial"/>
        </w:rPr>
      </w:pPr>
      <w:r w:rsidRPr="00A558A4">
        <w:rPr>
          <w:rFonts w:cs="Arial"/>
        </w:rPr>
        <w:tab/>
      </w:r>
      <w:r w:rsidRPr="00A558A4">
        <w:rPr>
          <w:rFonts w:cs="Arial"/>
        </w:rPr>
        <w:tab/>
      </w:r>
      <w:r w:rsidRPr="00A558A4">
        <w:rPr>
          <w:rFonts w:cs="Arial"/>
        </w:rPr>
        <w:tab/>
      </w:r>
    </w:p>
    <w:p w14:paraId="68926802" w14:textId="77777777" w:rsidR="001E6A12" w:rsidRPr="00A558A4" w:rsidRDefault="001E6A12" w:rsidP="00B66DE2">
      <w:pPr>
        <w:spacing w:line="240" w:lineRule="auto"/>
        <w:rPr>
          <w:rFonts w:cs="Arial"/>
        </w:rPr>
      </w:pPr>
      <w:r w:rsidRPr="00A558A4">
        <w:rPr>
          <w:rFonts w:cs="Arial"/>
        </w:rPr>
        <w:tab/>
      </w:r>
      <w:r w:rsidRPr="00A558A4">
        <w:rPr>
          <w:rFonts w:cs="Arial"/>
        </w:rPr>
        <w:tab/>
      </w:r>
      <w:r w:rsidRPr="00A558A4">
        <w:rPr>
          <w:rFonts w:cs="Arial"/>
        </w:rPr>
        <w:tab/>
      </w:r>
    </w:p>
    <w:p w14:paraId="53AD1168" w14:textId="77777777" w:rsidR="00FD7BD4" w:rsidRPr="00A558A4" w:rsidRDefault="00FD7BD4" w:rsidP="00B66DE2">
      <w:pPr>
        <w:spacing w:line="240" w:lineRule="auto"/>
        <w:rPr>
          <w:rFonts w:cs="Arial"/>
        </w:rPr>
        <w:sectPr w:rsidR="00FD7BD4" w:rsidRPr="00A558A4" w:rsidSect="00EA054E">
          <w:pgSz w:w="11906" w:h="16838"/>
          <w:pgMar w:top="1134" w:right="1134" w:bottom="363" w:left="1134" w:header="680" w:footer="170" w:gutter="0"/>
          <w:cols w:space="708"/>
          <w:docGrid w:linePitch="360"/>
        </w:sectPr>
      </w:pPr>
    </w:p>
    <w:p w14:paraId="3181A636" w14:textId="1BEA615E" w:rsidR="002A2F50" w:rsidRPr="00A558A4" w:rsidRDefault="003B0E97" w:rsidP="00B66DE2">
      <w:pPr>
        <w:pStyle w:val="Heading3"/>
        <w:spacing w:line="240" w:lineRule="auto"/>
        <w:rPr>
          <w:rFonts w:cs="Arial"/>
          <w:sz w:val="22"/>
          <w:vertAlign w:val="superscript"/>
        </w:rPr>
      </w:pPr>
      <w:bookmarkStart w:id="137" w:name="_Toc512957166"/>
      <w:bookmarkStart w:id="138" w:name="_Toc103695056"/>
      <w:r w:rsidRPr="00DD0A7F">
        <w:lastRenderedPageBreak/>
        <w:t xml:space="preserve">Senior manager remuneration </w:t>
      </w:r>
      <w:r w:rsidR="00CE006A">
        <w:t>2021-22</w:t>
      </w:r>
      <w:r w:rsidR="0047744C" w:rsidRPr="00DD0A7F">
        <w:t xml:space="preserve"> </w:t>
      </w:r>
      <w:r w:rsidR="00964958" w:rsidRPr="00DD0A7F">
        <w:t>(</w:t>
      </w:r>
      <w:r w:rsidRPr="00DD0A7F">
        <w:t xml:space="preserve">including </w:t>
      </w:r>
      <w:r w:rsidR="00964958" w:rsidRPr="00DD0A7F">
        <w:t>salary and pension entitlements)</w:t>
      </w:r>
      <w:r w:rsidR="006B23BF" w:rsidRPr="00DD0A7F">
        <w:t xml:space="preserve"> (subject to audit)</w:t>
      </w:r>
      <w:bookmarkEnd w:id="137"/>
      <w:bookmarkEnd w:id="138"/>
      <w:r w:rsidR="00F278DD" w:rsidRPr="00A558A4">
        <w:rPr>
          <w:rFonts w:cs="Arial"/>
          <w:sz w:val="22"/>
        </w:rPr>
        <w:t xml:space="preserve"> </w:t>
      </w:r>
    </w:p>
    <w:tbl>
      <w:tblPr>
        <w:tblStyle w:val="TableGrid"/>
        <w:tblW w:w="0" w:type="auto"/>
        <w:tblLook w:val="04A0" w:firstRow="1" w:lastRow="0" w:firstColumn="1" w:lastColumn="0" w:noHBand="0" w:noVBand="1"/>
      </w:tblPr>
      <w:tblGrid>
        <w:gridCol w:w="7083"/>
        <w:gridCol w:w="1083"/>
        <w:gridCol w:w="1295"/>
        <w:gridCol w:w="1684"/>
        <w:gridCol w:w="1428"/>
        <w:gridCol w:w="1050"/>
        <w:gridCol w:w="937"/>
      </w:tblGrid>
      <w:tr w:rsidR="00CE006A" w:rsidRPr="00015A68" w14:paraId="09837D90" w14:textId="77777777" w:rsidTr="003C31B7">
        <w:trPr>
          <w:trHeight w:val="1152"/>
        </w:trPr>
        <w:tc>
          <w:tcPr>
            <w:tcW w:w="7083" w:type="dxa"/>
            <w:vMerge w:val="restart"/>
            <w:noWrap/>
            <w:hideMark/>
          </w:tcPr>
          <w:p w14:paraId="5DB1DA9A" w14:textId="77777777" w:rsidR="003A10B8" w:rsidRPr="00015A68" w:rsidRDefault="003A10B8" w:rsidP="00620EC0">
            <w:pPr>
              <w:rPr>
                <w:rFonts w:cs="Arial"/>
                <w:b/>
                <w:bCs/>
                <w:sz w:val="20"/>
                <w:szCs w:val="20"/>
              </w:rPr>
            </w:pPr>
            <w:r w:rsidRPr="00015A68">
              <w:rPr>
                <w:rFonts w:cs="Arial"/>
                <w:b/>
                <w:bCs/>
                <w:sz w:val="20"/>
                <w:szCs w:val="20"/>
              </w:rPr>
              <w:t>Name and Title</w:t>
            </w:r>
          </w:p>
        </w:tc>
        <w:tc>
          <w:tcPr>
            <w:tcW w:w="1083" w:type="dxa"/>
            <w:hideMark/>
          </w:tcPr>
          <w:p w14:paraId="0B1C2DA7" w14:textId="77777777" w:rsidR="003A10B8" w:rsidRPr="00015A68" w:rsidRDefault="003A10B8" w:rsidP="00620EC0">
            <w:pPr>
              <w:rPr>
                <w:rFonts w:cs="Arial"/>
                <w:b/>
                <w:bCs/>
                <w:sz w:val="20"/>
                <w:szCs w:val="20"/>
              </w:rPr>
            </w:pPr>
            <w:r w:rsidRPr="00015A68">
              <w:rPr>
                <w:rFonts w:cs="Arial"/>
                <w:b/>
                <w:bCs/>
                <w:sz w:val="20"/>
                <w:szCs w:val="20"/>
              </w:rPr>
              <w:t>(a)Salary (Bands of £5,000)</w:t>
            </w:r>
          </w:p>
        </w:tc>
        <w:tc>
          <w:tcPr>
            <w:tcW w:w="1295" w:type="dxa"/>
            <w:hideMark/>
          </w:tcPr>
          <w:p w14:paraId="53100A27" w14:textId="77777777" w:rsidR="003A10B8" w:rsidRPr="00015A68" w:rsidRDefault="003A10B8" w:rsidP="00620EC0">
            <w:pPr>
              <w:rPr>
                <w:rFonts w:cs="Arial"/>
                <w:b/>
                <w:bCs/>
                <w:sz w:val="20"/>
                <w:szCs w:val="20"/>
              </w:rPr>
            </w:pPr>
            <w:r w:rsidRPr="00015A68">
              <w:rPr>
                <w:rFonts w:cs="Arial"/>
                <w:b/>
                <w:bCs/>
                <w:sz w:val="20"/>
                <w:szCs w:val="20"/>
              </w:rPr>
              <w:t>(b)Expense payments (taxable) to nearest £100*</w:t>
            </w:r>
          </w:p>
        </w:tc>
        <w:tc>
          <w:tcPr>
            <w:tcW w:w="1684" w:type="dxa"/>
            <w:hideMark/>
          </w:tcPr>
          <w:p w14:paraId="296253A2" w14:textId="77777777" w:rsidR="003A10B8" w:rsidRPr="00015A68" w:rsidRDefault="003A10B8" w:rsidP="00620EC0">
            <w:pPr>
              <w:rPr>
                <w:rFonts w:cs="Arial"/>
                <w:b/>
                <w:bCs/>
                <w:sz w:val="20"/>
                <w:szCs w:val="20"/>
              </w:rPr>
            </w:pPr>
            <w:r w:rsidRPr="00015A68">
              <w:rPr>
                <w:rFonts w:cs="Arial"/>
                <w:b/>
                <w:bCs/>
                <w:sz w:val="20"/>
                <w:szCs w:val="20"/>
              </w:rPr>
              <w:t>(c)Performance pay and bonuses (bands of £5,000)</w:t>
            </w:r>
          </w:p>
        </w:tc>
        <w:tc>
          <w:tcPr>
            <w:tcW w:w="1428" w:type="dxa"/>
            <w:hideMark/>
          </w:tcPr>
          <w:p w14:paraId="3C2F430C" w14:textId="77777777" w:rsidR="003A10B8" w:rsidRPr="00015A68" w:rsidRDefault="003A10B8" w:rsidP="00620EC0">
            <w:pPr>
              <w:rPr>
                <w:rFonts w:cs="Arial"/>
                <w:b/>
                <w:bCs/>
                <w:sz w:val="20"/>
                <w:szCs w:val="20"/>
              </w:rPr>
            </w:pPr>
            <w:r w:rsidRPr="00015A68">
              <w:rPr>
                <w:rFonts w:cs="Arial"/>
                <w:b/>
                <w:bCs/>
                <w:sz w:val="20"/>
                <w:szCs w:val="20"/>
              </w:rPr>
              <w:t>(d)Long term performance pay and bonuses (bands of £5,000)</w:t>
            </w:r>
          </w:p>
        </w:tc>
        <w:tc>
          <w:tcPr>
            <w:tcW w:w="1050" w:type="dxa"/>
            <w:hideMark/>
          </w:tcPr>
          <w:p w14:paraId="7C2BEAFD" w14:textId="77777777" w:rsidR="003A10B8" w:rsidRPr="00015A68" w:rsidRDefault="003A10B8" w:rsidP="00620EC0">
            <w:pPr>
              <w:rPr>
                <w:rFonts w:cs="Arial"/>
                <w:b/>
                <w:bCs/>
                <w:sz w:val="20"/>
                <w:szCs w:val="20"/>
              </w:rPr>
            </w:pPr>
            <w:r w:rsidRPr="00015A68">
              <w:rPr>
                <w:rFonts w:cs="Arial"/>
                <w:b/>
                <w:bCs/>
                <w:sz w:val="20"/>
                <w:szCs w:val="20"/>
              </w:rPr>
              <w:t>(e)All pension-related benefits (bands of £2,500)</w:t>
            </w:r>
          </w:p>
        </w:tc>
        <w:tc>
          <w:tcPr>
            <w:tcW w:w="937" w:type="dxa"/>
            <w:hideMark/>
          </w:tcPr>
          <w:p w14:paraId="3BE2DEA0" w14:textId="77777777" w:rsidR="003A10B8" w:rsidRPr="00015A68" w:rsidRDefault="003A10B8" w:rsidP="00620EC0">
            <w:pPr>
              <w:rPr>
                <w:rFonts w:cs="Arial"/>
                <w:b/>
                <w:bCs/>
                <w:sz w:val="20"/>
                <w:szCs w:val="20"/>
              </w:rPr>
            </w:pPr>
            <w:r w:rsidRPr="00015A68">
              <w:rPr>
                <w:rFonts w:cs="Arial"/>
                <w:b/>
                <w:bCs/>
                <w:sz w:val="20"/>
                <w:szCs w:val="20"/>
              </w:rPr>
              <w:t>(f) TOTAL (a to e) (Bands of £5,000)</w:t>
            </w:r>
          </w:p>
        </w:tc>
      </w:tr>
      <w:tr w:rsidR="00CE006A" w:rsidRPr="00015A68" w14:paraId="2B7FB128" w14:textId="77777777" w:rsidTr="003C31B7">
        <w:trPr>
          <w:trHeight w:val="288"/>
        </w:trPr>
        <w:tc>
          <w:tcPr>
            <w:tcW w:w="7083" w:type="dxa"/>
            <w:vMerge/>
            <w:hideMark/>
          </w:tcPr>
          <w:p w14:paraId="1474C433" w14:textId="77777777" w:rsidR="003A10B8" w:rsidRPr="00015A68" w:rsidRDefault="003A10B8" w:rsidP="00620EC0">
            <w:pPr>
              <w:rPr>
                <w:rFonts w:cs="Arial"/>
                <w:b/>
                <w:bCs/>
                <w:sz w:val="20"/>
                <w:szCs w:val="20"/>
              </w:rPr>
            </w:pPr>
          </w:p>
        </w:tc>
        <w:tc>
          <w:tcPr>
            <w:tcW w:w="1083" w:type="dxa"/>
            <w:hideMark/>
          </w:tcPr>
          <w:p w14:paraId="5E97858F" w14:textId="77777777" w:rsidR="003A10B8" w:rsidRPr="00015A68" w:rsidRDefault="003A10B8" w:rsidP="00620EC0">
            <w:pPr>
              <w:rPr>
                <w:rFonts w:cs="Arial"/>
                <w:b/>
                <w:bCs/>
                <w:sz w:val="20"/>
                <w:szCs w:val="20"/>
              </w:rPr>
            </w:pPr>
            <w:r w:rsidRPr="00015A68">
              <w:rPr>
                <w:rFonts w:cs="Arial"/>
                <w:b/>
                <w:bCs/>
                <w:sz w:val="20"/>
                <w:szCs w:val="20"/>
              </w:rPr>
              <w:t>£000</w:t>
            </w:r>
          </w:p>
        </w:tc>
        <w:tc>
          <w:tcPr>
            <w:tcW w:w="1295" w:type="dxa"/>
            <w:hideMark/>
          </w:tcPr>
          <w:p w14:paraId="75EB9F27" w14:textId="77777777" w:rsidR="003A10B8" w:rsidRPr="00015A68" w:rsidRDefault="003A10B8" w:rsidP="00620EC0">
            <w:pPr>
              <w:rPr>
                <w:rFonts w:cs="Arial"/>
                <w:b/>
                <w:bCs/>
                <w:sz w:val="20"/>
                <w:szCs w:val="20"/>
              </w:rPr>
            </w:pPr>
            <w:r w:rsidRPr="00015A68">
              <w:rPr>
                <w:rFonts w:cs="Arial"/>
                <w:b/>
                <w:bCs/>
                <w:sz w:val="20"/>
                <w:szCs w:val="20"/>
              </w:rPr>
              <w:t>£</w:t>
            </w:r>
          </w:p>
        </w:tc>
        <w:tc>
          <w:tcPr>
            <w:tcW w:w="1684" w:type="dxa"/>
            <w:hideMark/>
          </w:tcPr>
          <w:p w14:paraId="6B45A40F" w14:textId="77777777" w:rsidR="003A10B8" w:rsidRPr="00015A68" w:rsidRDefault="003A10B8" w:rsidP="00620EC0">
            <w:pPr>
              <w:rPr>
                <w:rFonts w:cs="Arial"/>
                <w:b/>
                <w:bCs/>
                <w:sz w:val="20"/>
                <w:szCs w:val="20"/>
              </w:rPr>
            </w:pPr>
            <w:r w:rsidRPr="00015A68">
              <w:rPr>
                <w:rFonts w:cs="Arial"/>
                <w:b/>
                <w:bCs/>
                <w:sz w:val="20"/>
                <w:szCs w:val="20"/>
              </w:rPr>
              <w:t>£000</w:t>
            </w:r>
          </w:p>
        </w:tc>
        <w:tc>
          <w:tcPr>
            <w:tcW w:w="1428" w:type="dxa"/>
            <w:hideMark/>
          </w:tcPr>
          <w:p w14:paraId="69B3CE41" w14:textId="77777777" w:rsidR="003A10B8" w:rsidRPr="00015A68" w:rsidRDefault="003A10B8" w:rsidP="00620EC0">
            <w:pPr>
              <w:rPr>
                <w:rFonts w:cs="Arial"/>
                <w:b/>
                <w:bCs/>
                <w:sz w:val="20"/>
                <w:szCs w:val="20"/>
              </w:rPr>
            </w:pPr>
            <w:r w:rsidRPr="00015A68">
              <w:rPr>
                <w:rFonts w:cs="Arial"/>
                <w:b/>
                <w:bCs/>
                <w:sz w:val="20"/>
                <w:szCs w:val="20"/>
              </w:rPr>
              <w:t>£000</w:t>
            </w:r>
          </w:p>
        </w:tc>
        <w:tc>
          <w:tcPr>
            <w:tcW w:w="1050" w:type="dxa"/>
            <w:hideMark/>
          </w:tcPr>
          <w:p w14:paraId="31FC88BA" w14:textId="77777777" w:rsidR="003A10B8" w:rsidRPr="00015A68" w:rsidRDefault="003A10B8" w:rsidP="00620EC0">
            <w:pPr>
              <w:rPr>
                <w:rFonts w:cs="Arial"/>
                <w:b/>
                <w:bCs/>
                <w:sz w:val="20"/>
                <w:szCs w:val="20"/>
              </w:rPr>
            </w:pPr>
            <w:r w:rsidRPr="00015A68">
              <w:rPr>
                <w:rFonts w:cs="Arial"/>
                <w:b/>
                <w:bCs/>
                <w:sz w:val="20"/>
                <w:szCs w:val="20"/>
              </w:rPr>
              <w:t>£000</w:t>
            </w:r>
          </w:p>
        </w:tc>
        <w:tc>
          <w:tcPr>
            <w:tcW w:w="937" w:type="dxa"/>
            <w:hideMark/>
          </w:tcPr>
          <w:p w14:paraId="40161DBD" w14:textId="77777777" w:rsidR="003A10B8" w:rsidRPr="00015A68" w:rsidRDefault="003A10B8" w:rsidP="00620EC0">
            <w:pPr>
              <w:rPr>
                <w:rFonts w:cs="Arial"/>
                <w:b/>
                <w:bCs/>
                <w:sz w:val="20"/>
                <w:szCs w:val="20"/>
              </w:rPr>
            </w:pPr>
            <w:r w:rsidRPr="00015A68">
              <w:rPr>
                <w:rFonts w:cs="Arial"/>
                <w:b/>
                <w:bCs/>
                <w:sz w:val="20"/>
                <w:szCs w:val="20"/>
              </w:rPr>
              <w:t>£000</w:t>
            </w:r>
          </w:p>
        </w:tc>
      </w:tr>
      <w:tr w:rsidR="00CE006A" w:rsidRPr="00015A68" w14:paraId="1EF3D9A7" w14:textId="77777777" w:rsidTr="003C31B7">
        <w:trPr>
          <w:trHeight w:val="288"/>
        </w:trPr>
        <w:tc>
          <w:tcPr>
            <w:tcW w:w="7083" w:type="dxa"/>
            <w:noWrap/>
            <w:hideMark/>
          </w:tcPr>
          <w:p w14:paraId="5CBC08AC" w14:textId="77777777" w:rsidR="003A10B8" w:rsidRPr="00015A68" w:rsidRDefault="003A10B8" w:rsidP="003A10B8">
            <w:pPr>
              <w:spacing w:before="0" w:after="0"/>
              <w:rPr>
                <w:rFonts w:cs="Arial"/>
                <w:sz w:val="20"/>
                <w:szCs w:val="20"/>
              </w:rPr>
            </w:pPr>
            <w:r w:rsidRPr="00015A68">
              <w:rPr>
                <w:rFonts w:cs="Arial"/>
                <w:sz w:val="20"/>
                <w:szCs w:val="20"/>
              </w:rPr>
              <w:t>Emma Latimer - Chief Officer**</w:t>
            </w:r>
          </w:p>
        </w:tc>
        <w:tc>
          <w:tcPr>
            <w:tcW w:w="1083" w:type="dxa"/>
            <w:hideMark/>
          </w:tcPr>
          <w:p w14:paraId="34A590B7" w14:textId="77777777" w:rsidR="003A10B8" w:rsidRPr="00015A68" w:rsidRDefault="003A10B8" w:rsidP="003A10B8">
            <w:pPr>
              <w:spacing w:before="0" w:after="0"/>
              <w:rPr>
                <w:rFonts w:cs="Arial"/>
                <w:sz w:val="20"/>
                <w:szCs w:val="20"/>
              </w:rPr>
            </w:pPr>
            <w:r w:rsidRPr="00015A68">
              <w:rPr>
                <w:rFonts w:cs="Arial"/>
                <w:sz w:val="20"/>
                <w:szCs w:val="20"/>
              </w:rPr>
              <w:t>50-55</w:t>
            </w:r>
          </w:p>
        </w:tc>
        <w:tc>
          <w:tcPr>
            <w:tcW w:w="1295" w:type="dxa"/>
            <w:hideMark/>
          </w:tcPr>
          <w:p w14:paraId="4EAD9B57" w14:textId="77777777" w:rsidR="003A10B8" w:rsidRPr="00015A68" w:rsidRDefault="003A10B8" w:rsidP="003A10B8">
            <w:pPr>
              <w:spacing w:before="0" w:after="0"/>
              <w:rPr>
                <w:rFonts w:cs="Arial"/>
                <w:sz w:val="20"/>
                <w:szCs w:val="20"/>
              </w:rPr>
            </w:pPr>
            <w:r w:rsidRPr="00015A68">
              <w:rPr>
                <w:rFonts w:cs="Arial"/>
                <w:sz w:val="20"/>
                <w:szCs w:val="20"/>
              </w:rPr>
              <w:t>1,900</w:t>
            </w:r>
          </w:p>
        </w:tc>
        <w:tc>
          <w:tcPr>
            <w:tcW w:w="1684" w:type="dxa"/>
            <w:hideMark/>
          </w:tcPr>
          <w:p w14:paraId="752D30CB" w14:textId="77777777" w:rsidR="003A10B8" w:rsidRPr="00015A68" w:rsidRDefault="003A10B8" w:rsidP="003A10B8">
            <w:pPr>
              <w:spacing w:before="0" w:after="0"/>
              <w:rPr>
                <w:rFonts w:cs="Arial"/>
                <w:sz w:val="20"/>
                <w:szCs w:val="20"/>
              </w:rPr>
            </w:pPr>
            <w:r w:rsidRPr="00015A68">
              <w:rPr>
                <w:rFonts w:cs="Arial"/>
                <w:sz w:val="20"/>
                <w:szCs w:val="20"/>
              </w:rPr>
              <w:t>5-10</w:t>
            </w:r>
          </w:p>
        </w:tc>
        <w:tc>
          <w:tcPr>
            <w:tcW w:w="1428" w:type="dxa"/>
            <w:hideMark/>
          </w:tcPr>
          <w:p w14:paraId="61B5D3EE"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050" w:type="dxa"/>
            <w:hideMark/>
          </w:tcPr>
          <w:p w14:paraId="179038CA" w14:textId="77777777" w:rsidR="003A10B8" w:rsidRPr="00015A68" w:rsidRDefault="003A10B8" w:rsidP="003A10B8">
            <w:pPr>
              <w:spacing w:before="0" w:after="0"/>
              <w:rPr>
                <w:rFonts w:cs="Arial"/>
                <w:sz w:val="20"/>
                <w:szCs w:val="20"/>
              </w:rPr>
            </w:pPr>
            <w:r w:rsidRPr="00015A68">
              <w:rPr>
                <w:rFonts w:cs="Arial"/>
                <w:sz w:val="20"/>
                <w:szCs w:val="20"/>
              </w:rPr>
              <w:t>0-2.5</w:t>
            </w:r>
          </w:p>
        </w:tc>
        <w:tc>
          <w:tcPr>
            <w:tcW w:w="937" w:type="dxa"/>
            <w:hideMark/>
          </w:tcPr>
          <w:p w14:paraId="12DF635E" w14:textId="77777777" w:rsidR="003A10B8" w:rsidRPr="00015A68" w:rsidRDefault="003A10B8" w:rsidP="003A10B8">
            <w:pPr>
              <w:spacing w:before="0" w:after="0"/>
              <w:rPr>
                <w:rFonts w:cs="Arial"/>
                <w:sz w:val="20"/>
                <w:szCs w:val="20"/>
              </w:rPr>
            </w:pPr>
            <w:r w:rsidRPr="00015A68">
              <w:rPr>
                <w:rFonts w:cs="Arial"/>
                <w:sz w:val="20"/>
                <w:szCs w:val="20"/>
              </w:rPr>
              <w:t>60-65</w:t>
            </w:r>
          </w:p>
        </w:tc>
      </w:tr>
      <w:tr w:rsidR="00CE006A" w:rsidRPr="00015A68" w14:paraId="37702603" w14:textId="77777777" w:rsidTr="003C31B7">
        <w:trPr>
          <w:trHeight w:val="288"/>
        </w:trPr>
        <w:tc>
          <w:tcPr>
            <w:tcW w:w="7083" w:type="dxa"/>
            <w:noWrap/>
            <w:hideMark/>
          </w:tcPr>
          <w:p w14:paraId="0BF1A09B" w14:textId="77777777" w:rsidR="003A10B8" w:rsidRPr="00015A68" w:rsidRDefault="003A10B8" w:rsidP="003A10B8">
            <w:pPr>
              <w:spacing w:before="0" w:after="0"/>
              <w:rPr>
                <w:rFonts w:cs="Arial"/>
                <w:sz w:val="20"/>
                <w:szCs w:val="20"/>
              </w:rPr>
            </w:pPr>
            <w:r w:rsidRPr="00015A68">
              <w:rPr>
                <w:rFonts w:cs="Arial"/>
                <w:sz w:val="20"/>
                <w:szCs w:val="20"/>
              </w:rPr>
              <w:t>Emma Sayner - Chief Finance Officer***</w:t>
            </w:r>
          </w:p>
        </w:tc>
        <w:tc>
          <w:tcPr>
            <w:tcW w:w="1083" w:type="dxa"/>
            <w:hideMark/>
          </w:tcPr>
          <w:p w14:paraId="4FAB11FB" w14:textId="77777777" w:rsidR="003A10B8" w:rsidRPr="00015A68" w:rsidRDefault="003A10B8" w:rsidP="003A10B8">
            <w:pPr>
              <w:spacing w:before="0" w:after="0"/>
              <w:rPr>
                <w:rFonts w:cs="Arial"/>
                <w:sz w:val="20"/>
                <w:szCs w:val="20"/>
              </w:rPr>
            </w:pPr>
            <w:r w:rsidRPr="00015A68">
              <w:rPr>
                <w:rFonts w:cs="Arial"/>
                <w:sz w:val="20"/>
                <w:szCs w:val="20"/>
              </w:rPr>
              <w:t>55-60</w:t>
            </w:r>
          </w:p>
        </w:tc>
        <w:tc>
          <w:tcPr>
            <w:tcW w:w="1295" w:type="dxa"/>
            <w:hideMark/>
          </w:tcPr>
          <w:p w14:paraId="70DDA272" w14:textId="77777777" w:rsidR="003A10B8" w:rsidRPr="00015A68" w:rsidRDefault="003A10B8" w:rsidP="003A10B8">
            <w:pPr>
              <w:spacing w:before="0" w:after="0"/>
              <w:rPr>
                <w:rFonts w:cs="Arial"/>
                <w:sz w:val="20"/>
                <w:szCs w:val="20"/>
              </w:rPr>
            </w:pPr>
            <w:r w:rsidRPr="00015A68">
              <w:rPr>
                <w:rFonts w:cs="Arial"/>
                <w:sz w:val="20"/>
                <w:szCs w:val="20"/>
              </w:rPr>
              <w:t>3,700</w:t>
            </w:r>
          </w:p>
        </w:tc>
        <w:tc>
          <w:tcPr>
            <w:tcW w:w="1684" w:type="dxa"/>
            <w:hideMark/>
          </w:tcPr>
          <w:p w14:paraId="01ADEE92" w14:textId="77777777" w:rsidR="003A10B8" w:rsidRPr="00015A68" w:rsidRDefault="003A10B8" w:rsidP="003A10B8">
            <w:pPr>
              <w:spacing w:before="0" w:after="0"/>
              <w:rPr>
                <w:rFonts w:cs="Arial"/>
                <w:sz w:val="20"/>
                <w:szCs w:val="20"/>
              </w:rPr>
            </w:pPr>
            <w:r w:rsidRPr="00015A68">
              <w:rPr>
                <w:rFonts w:cs="Arial"/>
                <w:sz w:val="20"/>
                <w:szCs w:val="20"/>
              </w:rPr>
              <w:t>5-10</w:t>
            </w:r>
          </w:p>
        </w:tc>
        <w:tc>
          <w:tcPr>
            <w:tcW w:w="1428" w:type="dxa"/>
            <w:hideMark/>
          </w:tcPr>
          <w:p w14:paraId="08A613F6"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050" w:type="dxa"/>
            <w:hideMark/>
          </w:tcPr>
          <w:p w14:paraId="66586B55" w14:textId="77777777" w:rsidR="003A10B8" w:rsidRPr="00015A68" w:rsidRDefault="003A10B8" w:rsidP="003A10B8">
            <w:pPr>
              <w:spacing w:before="0" w:after="0"/>
              <w:rPr>
                <w:rFonts w:cs="Arial"/>
                <w:sz w:val="20"/>
                <w:szCs w:val="20"/>
              </w:rPr>
            </w:pPr>
            <w:r w:rsidRPr="00015A68">
              <w:rPr>
                <w:rFonts w:cs="Arial"/>
                <w:sz w:val="20"/>
                <w:szCs w:val="20"/>
              </w:rPr>
              <w:t>15-17.5</w:t>
            </w:r>
          </w:p>
        </w:tc>
        <w:tc>
          <w:tcPr>
            <w:tcW w:w="937" w:type="dxa"/>
            <w:hideMark/>
          </w:tcPr>
          <w:p w14:paraId="691A77BB" w14:textId="77777777" w:rsidR="003A10B8" w:rsidRPr="00015A68" w:rsidRDefault="003A10B8" w:rsidP="003A10B8">
            <w:pPr>
              <w:spacing w:before="0" w:after="0"/>
              <w:rPr>
                <w:rFonts w:cs="Arial"/>
                <w:sz w:val="20"/>
                <w:szCs w:val="20"/>
              </w:rPr>
            </w:pPr>
            <w:r w:rsidRPr="00015A68">
              <w:rPr>
                <w:rFonts w:cs="Arial"/>
                <w:sz w:val="20"/>
                <w:szCs w:val="20"/>
              </w:rPr>
              <w:t>80-85</w:t>
            </w:r>
          </w:p>
        </w:tc>
      </w:tr>
      <w:tr w:rsidR="00CE006A" w:rsidRPr="00015A68" w14:paraId="716750C5" w14:textId="77777777" w:rsidTr="000B140B">
        <w:trPr>
          <w:trHeight w:val="264"/>
        </w:trPr>
        <w:tc>
          <w:tcPr>
            <w:tcW w:w="7083" w:type="dxa"/>
            <w:noWrap/>
            <w:hideMark/>
          </w:tcPr>
          <w:p w14:paraId="646F1C33" w14:textId="77777777" w:rsidR="003A10B8" w:rsidRPr="00015A68" w:rsidRDefault="003A10B8" w:rsidP="003A10B8">
            <w:pPr>
              <w:spacing w:before="0" w:after="0"/>
              <w:rPr>
                <w:rFonts w:cs="Arial"/>
                <w:sz w:val="20"/>
                <w:szCs w:val="20"/>
              </w:rPr>
            </w:pPr>
            <w:r w:rsidRPr="00015A68">
              <w:rPr>
                <w:rFonts w:cs="Arial"/>
                <w:sz w:val="20"/>
                <w:szCs w:val="20"/>
              </w:rPr>
              <w:t>Erica Daley - Interim Chief Operating Officer</w:t>
            </w:r>
          </w:p>
        </w:tc>
        <w:tc>
          <w:tcPr>
            <w:tcW w:w="1083" w:type="dxa"/>
            <w:hideMark/>
          </w:tcPr>
          <w:p w14:paraId="1599CBF0" w14:textId="77777777" w:rsidR="003A10B8" w:rsidRPr="00015A68" w:rsidRDefault="003A10B8" w:rsidP="003A10B8">
            <w:pPr>
              <w:spacing w:before="0" w:after="0"/>
              <w:rPr>
                <w:rFonts w:cs="Arial"/>
                <w:sz w:val="20"/>
                <w:szCs w:val="20"/>
              </w:rPr>
            </w:pPr>
            <w:r w:rsidRPr="00015A68">
              <w:rPr>
                <w:rFonts w:cs="Arial"/>
                <w:sz w:val="20"/>
                <w:szCs w:val="20"/>
              </w:rPr>
              <w:t>105-110</w:t>
            </w:r>
          </w:p>
        </w:tc>
        <w:tc>
          <w:tcPr>
            <w:tcW w:w="1295" w:type="dxa"/>
            <w:hideMark/>
          </w:tcPr>
          <w:p w14:paraId="48316FE2" w14:textId="77777777" w:rsidR="003A10B8" w:rsidRPr="00015A68" w:rsidRDefault="003A10B8" w:rsidP="003A10B8">
            <w:pPr>
              <w:spacing w:before="0" w:after="0"/>
              <w:rPr>
                <w:rFonts w:cs="Arial"/>
                <w:sz w:val="20"/>
                <w:szCs w:val="20"/>
              </w:rPr>
            </w:pPr>
            <w:r w:rsidRPr="00015A68">
              <w:rPr>
                <w:rFonts w:cs="Arial"/>
                <w:sz w:val="20"/>
                <w:szCs w:val="20"/>
              </w:rPr>
              <w:t>4,100</w:t>
            </w:r>
          </w:p>
        </w:tc>
        <w:tc>
          <w:tcPr>
            <w:tcW w:w="1684" w:type="dxa"/>
            <w:hideMark/>
          </w:tcPr>
          <w:p w14:paraId="2B9E05B2"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428" w:type="dxa"/>
            <w:hideMark/>
          </w:tcPr>
          <w:p w14:paraId="684D5A46"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050" w:type="dxa"/>
            <w:hideMark/>
          </w:tcPr>
          <w:p w14:paraId="7A8D1CBF" w14:textId="77777777" w:rsidR="003A10B8" w:rsidRPr="00015A68" w:rsidRDefault="003A10B8" w:rsidP="003A10B8">
            <w:pPr>
              <w:spacing w:before="0" w:after="0"/>
              <w:rPr>
                <w:rFonts w:cs="Arial"/>
                <w:sz w:val="20"/>
                <w:szCs w:val="20"/>
              </w:rPr>
            </w:pPr>
            <w:r w:rsidRPr="00015A68">
              <w:rPr>
                <w:rFonts w:cs="Arial"/>
                <w:sz w:val="20"/>
                <w:szCs w:val="20"/>
              </w:rPr>
              <w:t>0</w:t>
            </w:r>
          </w:p>
        </w:tc>
        <w:tc>
          <w:tcPr>
            <w:tcW w:w="937" w:type="dxa"/>
            <w:hideMark/>
          </w:tcPr>
          <w:p w14:paraId="1294CC1E" w14:textId="5F0406F7" w:rsidR="003A10B8" w:rsidRPr="00015A68" w:rsidRDefault="003A10B8" w:rsidP="003A10B8">
            <w:pPr>
              <w:spacing w:before="0" w:after="0"/>
              <w:rPr>
                <w:rFonts w:cs="Arial"/>
                <w:sz w:val="20"/>
                <w:szCs w:val="20"/>
              </w:rPr>
            </w:pPr>
            <w:r w:rsidRPr="00015A68">
              <w:rPr>
                <w:rFonts w:cs="Arial"/>
                <w:sz w:val="20"/>
                <w:szCs w:val="20"/>
              </w:rPr>
              <w:t>110</w:t>
            </w:r>
            <w:r w:rsidR="000B140B">
              <w:rPr>
                <w:rFonts w:cs="Arial"/>
                <w:sz w:val="20"/>
                <w:szCs w:val="20"/>
              </w:rPr>
              <w:t>-</w:t>
            </w:r>
            <w:r w:rsidRPr="00015A68">
              <w:rPr>
                <w:rFonts w:cs="Arial"/>
                <w:sz w:val="20"/>
                <w:szCs w:val="20"/>
              </w:rPr>
              <w:t>115</w:t>
            </w:r>
          </w:p>
        </w:tc>
      </w:tr>
      <w:tr w:rsidR="00CE006A" w:rsidRPr="00015A68" w14:paraId="4B4D2882" w14:textId="77777777" w:rsidTr="003C31B7">
        <w:trPr>
          <w:trHeight w:val="288"/>
        </w:trPr>
        <w:tc>
          <w:tcPr>
            <w:tcW w:w="7083" w:type="dxa"/>
            <w:noWrap/>
            <w:hideMark/>
          </w:tcPr>
          <w:p w14:paraId="23928669" w14:textId="4E3E909B" w:rsidR="003A10B8" w:rsidRPr="00230A3D" w:rsidRDefault="003A10B8" w:rsidP="003A10B8">
            <w:pPr>
              <w:spacing w:before="0" w:after="0"/>
              <w:rPr>
                <w:rFonts w:cs="Arial"/>
                <w:sz w:val="20"/>
                <w:szCs w:val="20"/>
              </w:rPr>
            </w:pPr>
            <w:r w:rsidRPr="00230A3D">
              <w:rPr>
                <w:rFonts w:cs="Arial"/>
                <w:sz w:val="20"/>
                <w:szCs w:val="20"/>
              </w:rPr>
              <w:t>Clare Linley - Director of Nursing and Quality (Executive Nurse)</w:t>
            </w:r>
            <w:r w:rsidR="003C31B7" w:rsidRPr="00230A3D">
              <w:t xml:space="preserve"> </w:t>
            </w:r>
            <w:r w:rsidR="003C31B7" w:rsidRPr="00230A3D">
              <w:rPr>
                <w:sz w:val="14"/>
                <w:szCs w:val="14"/>
              </w:rPr>
              <w:t>(to June 2021</w:t>
            </w:r>
            <w:r w:rsidR="003C31B7" w:rsidRPr="00230A3D">
              <w:rPr>
                <w:sz w:val="16"/>
                <w:szCs w:val="16"/>
              </w:rPr>
              <w:t xml:space="preserve">) </w:t>
            </w:r>
            <w:r w:rsidR="003C31B7" w:rsidRPr="00230A3D">
              <w:rPr>
                <w:sz w:val="14"/>
                <w:szCs w:val="14"/>
              </w:rPr>
              <w:t>****</w:t>
            </w:r>
          </w:p>
        </w:tc>
        <w:tc>
          <w:tcPr>
            <w:tcW w:w="1083" w:type="dxa"/>
            <w:hideMark/>
          </w:tcPr>
          <w:p w14:paraId="473B32E6" w14:textId="7618BBE8" w:rsidR="003A10B8" w:rsidRPr="00230A3D" w:rsidRDefault="003A10B8" w:rsidP="003A10B8">
            <w:pPr>
              <w:spacing w:before="0" w:after="0"/>
              <w:rPr>
                <w:rFonts w:cs="Arial"/>
                <w:sz w:val="20"/>
                <w:szCs w:val="20"/>
              </w:rPr>
            </w:pPr>
            <w:r w:rsidRPr="00230A3D">
              <w:rPr>
                <w:rFonts w:cs="Arial"/>
                <w:sz w:val="20"/>
                <w:szCs w:val="20"/>
              </w:rPr>
              <w:t> </w:t>
            </w:r>
            <w:r w:rsidR="003C31B7" w:rsidRPr="00230A3D">
              <w:rPr>
                <w:rFonts w:cs="Arial"/>
                <w:sz w:val="20"/>
                <w:szCs w:val="20"/>
              </w:rPr>
              <w:t>10-15</w:t>
            </w:r>
          </w:p>
        </w:tc>
        <w:tc>
          <w:tcPr>
            <w:tcW w:w="1295" w:type="dxa"/>
            <w:hideMark/>
          </w:tcPr>
          <w:p w14:paraId="451C89B4" w14:textId="2DED9CDB" w:rsidR="003A10B8" w:rsidRPr="00230A3D" w:rsidRDefault="003A10B8" w:rsidP="003A10B8">
            <w:pPr>
              <w:spacing w:before="0" w:after="0"/>
              <w:rPr>
                <w:rFonts w:cs="Arial"/>
                <w:sz w:val="20"/>
                <w:szCs w:val="20"/>
              </w:rPr>
            </w:pPr>
            <w:r w:rsidRPr="00230A3D">
              <w:rPr>
                <w:rFonts w:cs="Arial"/>
                <w:sz w:val="20"/>
                <w:szCs w:val="20"/>
              </w:rPr>
              <w:t> </w:t>
            </w:r>
            <w:r w:rsidR="003C31B7" w:rsidRPr="00230A3D">
              <w:rPr>
                <w:rFonts w:cs="Arial"/>
                <w:sz w:val="20"/>
                <w:szCs w:val="20"/>
              </w:rPr>
              <w:t>0</w:t>
            </w:r>
          </w:p>
        </w:tc>
        <w:tc>
          <w:tcPr>
            <w:tcW w:w="1684" w:type="dxa"/>
            <w:hideMark/>
          </w:tcPr>
          <w:p w14:paraId="72DBAAA9" w14:textId="0FA754DA" w:rsidR="003A10B8" w:rsidRPr="00230A3D" w:rsidRDefault="003A10B8" w:rsidP="003A10B8">
            <w:pPr>
              <w:spacing w:before="0" w:after="0"/>
              <w:rPr>
                <w:rFonts w:cs="Arial"/>
                <w:sz w:val="20"/>
                <w:szCs w:val="20"/>
              </w:rPr>
            </w:pPr>
            <w:r w:rsidRPr="00230A3D">
              <w:rPr>
                <w:rFonts w:cs="Arial"/>
                <w:sz w:val="20"/>
                <w:szCs w:val="20"/>
              </w:rPr>
              <w:t> </w:t>
            </w:r>
            <w:r w:rsidR="003C31B7" w:rsidRPr="00230A3D">
              <w:rPr>
                <w:rFonts w:cs="Arial"/>
                <w:sz w:val="20"/>
                <w:szCs w:val="20"/>
              </w:rPr>
              <w:t>0</w:t>
            </w:r>
          </w:p>
        </w:tc>
        <w:tc>
          <w:tcPr>
            <w:tcW w:w="1428" w:type="dxa"/>
            <w:hideMark/>
          </w:tcPr>
          <w:p w14:paraId="702F014A" w14:textId="216EFA20" w:rsidR="003A10B8" w:rsidRPr="00230A3D" w:rsidRDefault="003A10B8" w:rsidP="003A10B8">
            <w:pPr>
              <w:spacing w:before="0" w:after="0"/>
              <w:rPr>
                <w:rFonts w:cs="Arial"/>
                <w:sz w:val="20"/>
                <w:szCs w:val="20"/>
              </w:rPr>
            </w:pPr>
            <w:r w:rsidRPr="00230A3D">
              <w:rPr>
                <w:rFonts w:cs="Arial"/>
                <w:sz w:val="20"/>
                <w:szCs w:val="20"/>
              </w:rPr>
              <w:t> </w:t>
            </w:r>
            <w:r w:rsidR="003C31B7" w:rsidRPr="00230A3D">
              <w:rPr>
                <w:rFonts w:cs="Arial"/>
                <w:sz w:val="20"/>
                <w:szCs w:val="20"/>
              </w:rPr>
              <w:t>0</w:t>
            </w:r>
          </w:p>
        </w:tc>
        <w:tc>
          <w:tcPr>
            <w:tcW w:w="1050" w:type="dxa"/>
            <w:hideMark/>
          </w:tcPr>
          <w:p w14:paraId="5651634D" w14:textId="78292651" w:rsidR="003A10B8" w:rsidRPr="00230A3D" w:rsidRDefault="003A10B8" w:rsidP="003A10B8">
            <w:pPr>
              <w:spacing w:before="0" w:after="0"/>
              <w:rPr>
                <w:rFonts w:cs="Arial"/>
                <w:sz w:val="20"/>
                <w:szCs w:val="20"/>
              </w:rPr>
            </w:pPr>
            <w:r w:rsidRPr="00230A3D">
              <w:rPr>
                <w:rFonts w:cs="Arial"/>
                <w:sz w:val="20"/>
                <w:szCs w:val="20"/>
              </w:rPr>
              <w:t> </w:t>
            </w:r>
            <w:r w:rsidR="003C31B7" w:rsidRPr="00230A3D">
              <w:rPr>
                <w:rFonts w:cs="Arial"/>
                <w:sz w:val="20"/>
                <w:szCs w:val="20"/>
              </w:rPr>
              <w:t>10-12.5</w:t>
            </w:r>
          </w:p>
        </w:tc>
        <w:tc>
          <w:tcPr>
            <w:tcW w:w="937" w:type="dxa"/>
            <w:hideMark/>
          </w:tcPr>
          <w:p w14:paraId="0B5B5EB6" w14:textId="679E80A0" w:rsidR="003A10B8" w:rsidRPr="00230A3D" w:rsidRDefault="003A10B8" w:rsidP="003A10B8">
            <w:pPr>
              <w:spacing w:before="0" w:after="0"/>
              <w:rPr>
                <w:rFonts w:cs="Arial"/>
                <w:sz w:val="20"/>
                <w:szCs w:val="20"/>
              </w:rPr>
            </w:pPr>
            <w:r w:rsidRPr="00230A3D">
              <w:rPr>
                <w:rFonts w:cs="Arial"/>
                <w:sz w:val="20"/>
                <w:szCs w:val="20"/>
              </w:rPr>
              <w:t> </w:t>
            </w:r>
            <w:r w:rsidR="00230A3D" w:rsidRPr="00230A3D">
              <w:rPr>
                <w:rFonts w:cs="Arial"/>
                <w:sz w:val="20"/>
                <w:szCs w:val="20"/>
              </w:rPr>
              <w:t>20-25</w:t>
            </w:r>
          </w:p>
        </w:tc>
      </w:tr>
      <w:tr w:rsidR="00CE006A" w:rsidRPr="00015A68" w14:paraId="133AB50A" w14:textId="77777777" w:rsidTr="003C31B7">
        <w:trPr>
          <w:trHeight w:val="288"/>
        </w:trPr>
        <w:tc>
          <w:tcPr>
            <w:tcW w:w="7083" w:type="dxa"/>
            <w:noWrap/>
            <w:hideMark/>
          </w:tcPr>
          <w:p w14:paraId="6A17EC80" w14:textId="77777777" w:rsidR="003A10B8" w:rsidRPr="00015A68" w:rsidRDefault="003A10B8" w:rsidP="003A10B8">
            <w:pPr>
              <w:spacing w:before="0" w:after="0"/>
              <w:rPr>
                <w:rFonts w:cs="Arial"/>
                <w:sz w:val="20"/>
                <w:szCs w:val="20"/>
              </w:rPr>
            </w:pPr>
            <w:r w:rsidRPr="00015A68">
              <w:rPr>
                <w:rFonts w:cs="Arial"/>
                <w:sz w:val="20"/>
                <w:szCs w:val="20"/>
              </w:rPr>
              <w:t>Debbie Lowe - Acting Director of Nursing &amp; Quality (From July 2021)</w:t>
            </w:r>
          </w:p>
        </w:tc>
        <w:tc>
          <w:tcPr>
            <w:tcW w:w="1083" w:type="dxa"/>
            <w:hideMark/>
          </w:tcPr>
          <w:p w14:paraId="32D8CC35" w14:textId="77777777" w:rsidR="003A10B8" w:rsidRPr="00015A68" w:rsidRDefault="003A10B8" w:rsidP="003A10B8">
            <w:pPr>
              <w:spacing w:before="0" w:after="0"/>
              <w:rPr>
                <w:rFonts w:cs="Arial"/>
                <w:sz w:val="20"/>
                <w:szCs w:val="20"/>
              </w:rPr>
            </w:pPr>
            <w:r w:rsidRPr="00015A68">
              <w:rPr>
                <w:rFonts w:cs="Arial"/>
                <w:sz w:val="20"/>
                <w:szCs w:val="20"/>
              </w:rPr>
              <w:t>70-75</w:t>
            </w:r>
          </w:p>
        </w:tc>
        <w:tc>
          <w:tcPr>
            <w:tcW w:w="1295" w:type="dxa"/>
            <w:hideMark/>
          </w:tcPr>
          <w:p w14:paraId="421EE1B3"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684" w:type="dxa"/>
            <w:hideMark/>
          </w:tcPr>
          <w:p w14:paraId="35C55EB4"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428" w:type="dxa"/>
            <w:hideMark/>
          </w:tcPr>
          <w:p w14:paraId="6FCEEE96"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050" w:type="dxa"/>
            <w:hideMark/>
          </w:tcPr>
          <w:p w14:paraId="70A3F078" w14:textId="77777777" w:rsidR="003A10B8" w:rsidRPr="00015A68" w:rsidRDefault="003A10B8" w:rsidP="003A10B8">
            <w:pPr>
              <w:spacing w:before="0" w:after="0"/>
              <w:rPr>
                <w:rFonts w:cs="Arial"/>
                <w:sz w:val="20"/>
                <w:szCs w:val="20"/>
              </w:rPr>
            </w:pPr>
            <w:r w:rsidRPr="00015A68">
              <w:rPr>
                <w:rFonts w:cs="Arial"/>
                <w:sz w:val="20"/>
                <w:szCs w:val="20"/>
              </w:rPr>
              <w:t>25-27.5</w:t>
            </w:r>
          </w:p>
        </w:tc>
        <w:tc>
          <w:tcPr>
            <w:tcW w:w="937" w:type="dxa"/>
            <w:hideMark/>
          </w:tcPr>
          <w:p w14:paraId="5C4D0EB9" w14:textId="77777777" w:rsidR="003A10B8" w:rsidRPr="00015A68" w:rsidRDefault="003A10B8" w:rsidP="003A10B8">
            <w:pPr>
              <w:spacing w:before="0" w:after="0"/>
              <w:rPr>
                <w:rFonts w:cs="Arial"/>
                <w:sz w:val="20"/>
                <w:szCs w:val="20"/>
              </w:rPr>
            </w:pPr>
            <w:r w:rsidRPr="00015A68">
              <w:rPr>
                <w:rFonts w:cs="Arial"/>
                <w:sz w:val="20"/>
                <w:szCs w:val="20"/>
              </w:rPr>
              <w:t>95-100</w:t>
            </w:r>
          </w:p>
        </w:tc>
      </w:tr>
      <w:tr w:rsidR="00CE006A" w:rsidRPr="00015A68" w14:paraId="7B1EE491" w14:textId="77777777" w:rsidTr="003C31B7">
        <w:trPr>
          <w:trHeight w:val="288"/>
        </w:trPr>
        <w:tc>
          <w:tcPr>
            <w:tcW w:w="7083" w:type="dxa"/>
            <w:noWrap/>
            <w:hideMark/>
          </w:tcPr>
          <w:p w14:paraId="4E3FEE57" w14:textId="77777777" w:rsidR="003A10B8" w:rsidRPr="00015A68" w:rsidRDefault="003A10B8" w:rsidP="003A10B8">
            <w:pPr>
              <w:spacing w:before="0" w:after="0"/>
              <w:rPr>
                <w:rFonts w:cs="Arial"/>
                <w:sz w:val="20"/>
                <w:szCs w:val="20"/>
              </w:rPr>
            </w:pPr>
            <w:r w:rsidRPr="00015A68">
              <w:rPr>
                <w:rFonts w:cs="Arial"/>
                <w:sz w:val="20"/>
                <w:szCs w:val="20"/>
              </w:rPr>
              <w:t>Dr Daniel Roper - Chair of Clinical Commissioning Group Governing Body</w:t>
            </w:r>
          </w:p>
        </w:tc>
        <w:tc>
          <w:tcPr>
            <w:tcW w:w="1083" w:type="dxa"/>
            <w:hideMark/>
          </w:tcPr>
          <w:p w14:paraId="05A751CE" w14:textId="77777777" w:rsidR="003A10B8" w:rsidRPr="00015A68" w:rsidRDefault="003A10B8" w:rsidP="003A10B8">
            <w:pPr>
              <w:spacing w:before="0" w:after="0"/>
              <w:rPr>
                <w:rFonts w:cs="Arial"/>
                <w:sz w:val="20"/>
                <w:szCs w:val="20"/>
              </w:rPr>
            </w:pPr>
            <w:r w:rsidRPr="00015A68">
              <w:rPr>
                <w:rFonts w:cs="Arial"/>
                <w:sz w:val="20"/>
                <w:szCs w:val="20"/>
              </w:rPr>
              <w:t>90-95</w:t>
            </w:r>
          </w:p>
        </w:tc>
        <w:tc>
          <w:tcPr>
            <w:tcW w:w="1295" w:type="dxa"/>
            <w:hideMark/>
          </w:tcPr>
          <w:p w14:paraId="7EFA0946"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684" w:type="dxa"/>
            <w:hideMark/>
          </w:tcPr>
          <w:p w14:paraId="5942C088"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428" w:type="dxa"/>
            <w:hideMark/>
          </w:tcPr>
          <w:p w14:paraId="70E11637"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050" w:type="dxa"/>
            <w:hideMark/>
          </w:tcPr>
          <w:p w14:paraId="061E4301" w14:textId="77777777" w:rsidR="003A10B8" w:rsidRPr="00015A68" w:rsidRDefault="003A10B8" w:rsidP="003A10B8">
            <w:pPr>
              <w:spacing w:before="0" w:after="0"/>
              <w:rPr>
                <w:rFonts w:cs="Arial"/>
                <w:sz w:val="20"/>
                <w:szCs w:val="20"/>
              </w:rPr>
            </w:pPr>
            <w:r w:rsidRPr="00015A68">
              <w:rPr>
                <w:rFonts w:cs="Arial"/>
                <w:sz w:val="20"/>
                <w:szCs w:val="20"/>
              </w:rPr>
              <w:t>*</w:t>
            </w:r>
          </w:p>
        </w:tc>
        <w:tc>
          <w:tcPr>
            <w:tcW w:w="937" w:type="dxa"/>
            <w:hideMark/>
          </w:tcPr>
          <w:p w14:paraId="51FD3D20" w14:textId="77777777" w:rsidR="003A10B8" w:rsidRPr="00015A68" w:rsidRDefault="003A10B8" w:rsidP="003A10B8">
            <w:pPr>
              <w:spacing w:before="0" w:after="0"/>
              <w:rPr>
                <w:rFonts w:cs="Arial"/>
                <w:sz w:val="20"/>
                <w:szCs w:val="20"/>
              </w:rPr>
            </w:pPr>
            <w:r w:rsidRPr="00015A68">
              <w:rPr>
                <w:rFonts w:cs="Arial"/>
                <w:sz w:val="20"/>
                <w:szCs w:val="20"/>
              </w:rPr>
              <w:t>90-95</w:t>
            </w:r>
          </w:p>
        </w:tc>
      </w:tr>
      <w:tr w:rsidR="00CE006A" w:rsidRPr="00015A68" w14:paraId="6185D6AF" w14:textId="77777777" w:rsidTr="003C31B7">
        <w:trPr>
          <w:trHeight w:val="288"/>
        </w:trPr>
        <w:tc>
          <w:tcPr>
            <w:tcW w:w="7083" w:type="dxa"/>
            <w:noWrap/>
            <w:hideMark/>
          </w:tcPr>
          <w:p w14:paraId="6B3376C0" w14:textId="77777777" w:rsidR="003A10B8" w:rsidRPr="00015A68" w:rsidRDefault="003A10B8" w:rsidP="003A10B8">
            <w:pPr>
              <w:spacing w:before="0" w:after="0"/>
              <w:rPr>
                <w:rFonts w:cs="Arial"/>
                <w:sz w:val="20"/>
                <w:szCs w:val="20"/>
              </w:rPr>
            </w:pPr>
            <w:r w:rsidRPr="00015A68">
              <w:rPr>
                <w:rFonts w:cs="Arial"/>
                <w:sz w:val="20"/>
                <w:szCs w:val="20"/>
              </w:rPr>
              <w:t>Dr James Moult - Clinical Commissioning Group Governing Body Member</w:t>
            </w:r>
          </w:p>
        </w:tc>
        <w:tc>
          <w:tcPr>
            <w:tcW w:w="1083" w:type="dxa"/>
            <w:hideMark/>
          </w:tcPr>
          <w:p w14:paraId="305F8921" w14:textId="77777777" w:rsidR="003A10B8" w:rsidRPr="00015A68" w:rsidRDefault="003A10B8" w:rsidP="003A10B8">
            <w:pPr>
              <w:spacing w:before="0" w:after="0"/>
              <w:rPr>
                <w:rFonts w:cs="Arial"/>
                <w:sz w:val="20"/>
                <w:szCs w:val="20"/>
              </w:rPr>
            </w:pPr>
            <w:r w:rsidRPr="00015A68">
              <w:rPr>
                <w:rFonts w:cs="Arial"/>
                <w:sz w:val="20"/>
                <w:szCs w:val="20"/>
              </w:rPr>
              <w:t>35-40</w:t>
            </w:r>
          </w:p>
        </w:tc>
        <w:tc>
          <w:tcPr>
            <w:tcW w:w="1295" w:type="dxa"/>
            <w:hideMark/>
          </w:tcPr>
          <w:p w14:paraId="5C1C87AF"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684" w:type="dxa"/>
            <w:hideMark/>
          </w:tcPr>
          <w:p w14:paraId="4D8E3677"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428" w:type="dxa"/>
            <w:hideMark/>
          </w:tcPr>
          <w:p w14:paraId="63CC50AA"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050" w:type="dxa"/>
            <w:hideMark/>
          </w:tcPr>
          <w:p w14:paraId="303F7701" w14:textId="77777777" w:rsidR="003A10B8" w:rsidRPr="00015A68" w:rsidRDefault="003A10B8" w:rsidP="003A10B8">
            <w:pPr>
              <w:spacing w:before="0" w:after="0"/>
              <w:rPr>
                <w:rFonts w:cs="Arial"/>
                <w:sz w:val="20"/>
                <w:szCs w:val="20"/>
              </w:rPr>
            </w:pPr>
            <w:r w:rsidRPr="00015A68">
              <w:rPr>
                <w:rFonts w:cs="Arial"/>
                <w:sz w:val="20"/>
                <w:szCs w:val="20"/>
              </w:rPr>
              <w:t>*</w:t>
            </w:r>
          </w:p>
        </w:tc>
        <w:tc>
          <w:tcPr>
            <w:tcW w:w="937" w:type="dxa"/>
            <w:hideMark/>
          </w:tcPr>
          <w:p w14:paraId="0DC534C3" w14:textId="77777777" w:rsidR="003A10B8" w:rsidRPr="00015A68" w:rsidRDefault="003A10B8" w:rsidP="003A10B8">
            <w:pPr>
              <w:spacing w:before="0" w:after="0"/>
              <w:rPr>
                <w:rFonts w:cs="Arial"/>
                <w:sz w:val="20"/>
                <w:szCs w:val="20"/>
              </w:rPr>
            </w:pPr>
            <w:r w:rsidRPr="00015A68">
              <w:rPr>
                <w:rFonts w:cs="Arial"/>
                <w:sz w:val="20"/>
                <w:szCs w:val="20"/>
              </w:rPr>
              <w:t>35-40</w:t>
            </w:r>
          </w:p>
        </w:tc>
      </w:tr>
      <w:tr w:rsidR="00CE006A" w:rsidRPr="00015A68" w14:paraId="7CF86C2E" w14:textId="77777777" w:rsidTr="003C31B7">
        <w:trPr>
          <w:trHeight w:val="288"/>
        </w:trPr>
        <w:tc>
          <w:tcPr>
            <w:tcW w:w="7083" w:type="dxa"/>
            <w:noWrap/>
            <w:hideMark/>
          </w:tcPr>
          <w:p w14:paraId="6689DA1A" w14:textId="6426A3CC" w:rsidR="003A10B8" w:rsidRPr="00015A68" w:rsidRDefault="003A10B8" w:rsidP="003A10B8">
            <w:pPr>
              <w:spacing w:before="0" w:after="0"/>
              <w:rPr>
                <w:rFonts w:cs="Arial"/>
                <w:sz w:val="20"/>
                <w:szCs w:val="20"/>
              </w:rPr>
            </w:pPr>
            <w:r w:rsidRPr="00015A68">
              <w:rPr>
                <w:rFonts w:cs="Arial"/>
                <w:sz w:val="20"/>
                <w:szCs w:val="20"/>
              </w:rPr>
              <w:t xml:space="preserve">Dr Vincent Rawcliffe - </w:t>
            </w:r>
            <w:r w:rsidR="000B140B">
              <w:rPr>
                <w:rFonts w:cs="Arial"/>
                <w:sz w:val="20"/>
                <w:szCs w:val="20"/>
              </w:rPr>
              <w:t>CCG</w:t>
            </w:r>
            <w:r w:rsidRPr="00015A68">
              <w:rPr>
                <w:rFonts w:cs="Arial"/>
                <w:sz w:val="20"/>
                <w:szCs w:val="20"/>
              </w:rPr>
              <w:t xml:space="preserve"> Governing Body Member</w:t>
            </w:r>
          </w:p>
        </w:tc>
        <w:tc>
          <w:tcPr>
            <w:tcW w:w="1083" w:type="dxa"/>
            <w:hideMark/>
          </w:tcPr>
          <w:p w14:paraId="5181122D" w14:textId="77777777" w:rsidR="003A10B8" w:rsidRPr="00015A68" w:rsidRDefault="003A10B8" w:rsidP="003A10B8">
            <w:pPr>
              <w:spacing w:before="0" w:after="0"/>
              <w:rPr>
                <w:rFonts w:cs="Arial"/>
                <w:sz w:val="20"/>
                <w:szCs w:val="20"/>
              </w:rPr>
            </w:pPr>
            <w:r w:rsidRPr="00015A68">
              <w:rPr>
                <w:rFonts w:cs="Arial"/>
                <w:sz w:val="20"/>
                <w:szCs w:val="20"/>
              </w:rPr>
              <w:t>35-40</w:t>
            </w:r>
          </w:p>
        </w:tc>
        <w:tc>
          <w:tcPr>
            <w:tcW w:w="1295" w:type="dxa"/>
            <w:hideMark/>
          </w:tcPr>
          <w:p w14:paraId="5FA3366A"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684" w:type="dxa"/>
            <w:hideMark/>
          </w:tcPr>
          <w:p w14:paraId="136B7A32"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428" w:type="dxa"/>
            <w:hideMark/>
          </w:tcPr>
          <w:p w14:paraId="1D3B830B"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050" w:type="dxa"/>
            <w:hideMark/>
          </w:tcPr>
          <w:p w14:paraId="0F1EFD4A" w14:textId="77777777" w:rsidR="003A10B8" w:rsidRPr="00015A68" w:rsidRDefault="003A10B8" w:rsidP="003A10B8">
            <w:pPr>
              <w:spacing w:before="0" w:after="0"/>
              <w:rPr>
                <w:rFonts w:cs="Arial"/>
                <w:sz w:val="20"/>
                <w:szCs w:val="20"/>
              </w:rPr>
            </w:pPr>
            <w:r w:rsidRPr="00015A68">
              <w:rPr>
                <w:rFonts w:cs="Arial"/>
                <w:sz w:val="20"/>
                <w:szCs w:val="20"/>
              </w:rPr>
              <w:t>*</w:t>
            </w:r>
          </w:p>
        </w:tc>
        <w:tc>
          <w:tcPr>
            <w:tcW w:w="937" w:type="dxa"/>
            <w:hideMark/>
          </w:tcPr>
          <w:p w14:paraId="32E7AD84" w14:textId="77777777" w:rsidR="003A10B8" w:rsidRPr="00015A68" w:rsidRDefault="003A10B8" w:rsidP="003A10B8">
            <w:pPr>
              <w:spacing w:before="0" w:after="0"/>
              <w:rPr>
                <w:rFonts w:cs="Arial"/>
                <w:sz w:val="20"/>
                <w:szCs w:val="20"/>
              </w:rPr>
            </w:pPr>
            <w:r w:rsidRPr="00015A68">
              <w:rPr>
                <w:rFonts w:cs="Arial"/>
                <w:sz w:val="20"/>
                <w:szCs w:val="20"/>
              </w:rPr>
              <w:t>35-40</w:t>
            </w:r>
          </w:p>
        </w:tc>
      </w:tr>
      <w:tr w:rsidR="00CE006A" w:rsidRPr="00015A68" w14:paraId="6D11AA68" w14:textId="77777777" w:rsidTr="003C31B7">
        <w:trPr>
          <w:trHeight w:val="288"/>
        </w:trPr>
        <w:tc>
          <w:tcPr>
            <w:tcW w:w="7083" w:type="dxa"/>
            <w:noWrap/>
            <w:hideMark/>
          </w:tcPr>
          <w:p w14:paraId="615B08A3" w14:textId="5E4EC583" w:rsidR="003A10B8" w:rsidRPr="00015A68" w:rsidRDefault="003A10B8" w:rsidP="003A10B8">
            <w:pPr>
              <w:spacing w:before="0" w:after="0"/>
              <w:rPr>
                <w:rFonts w:cs="Arial"/>
                <w:sz w:val="20"/>
                <w:szCs w:val="20"/>
              </w:rPr>
            </w:pPr>
            <w:r w:rsidRPr="00015A68">
              <w:rPr>
                <w:rFonts w:cs="Arial"/>
                <w:sz w:val="20"/>
                <w:szCs w:val="20"/>
              </w:rPr>
              <w:t xml:space="preserve">Dr Masood Balouch - </w:t>
            </w:r>
            <w:r w:rsidR="000B140B">
              <w:rPr>
                <w:rFonts w:cs="Arial"/>
                <w:sz w:val="20"/>
                <w:szCs w:val="20"/>
              </w:rPr>
              <w:t>CCG</w:t>
            </w:r>
            <w:r w:rsidRPr="00015A68">
              <w:rPr>
                <w:rFonts w:cs="Arial"/>
                <w:sz w:val="20"/>
                <w:szCs w:val="20"/>
              </w:rPr>
              <w:t xml:space="preserve"> Governing Body Member</w:t>
            </w:r>
          </w:p>
        </w:tc>
        <w:tc>
          <w:tcPr>
            <w:tcW w:w="1083" w:type="dxa"/>
            <w:hideMark/>
          </w:tcPr>
          <w:p w14:paraId="7C672CA7" w14:textId="77777777" w:rsidR="003A10B8" w:rsidRPr="00015A68" w:rsidRDefault="003A10B8" w:rsidP="003A10B8">
            <w:pPr>
              <w:spacing w:before="0" w:after="0"/>
              <w:rPr>
                <w:rFonts w:cs="Arial"/>
                <w:sz w:val="20"/>
                <w:szCs w:val="20"/>
              </w:rPr>
            </w:pPr>
            <w:r w:rsidRPr="00015A68">
              <w:rPr>
                <w:rFonts w:cs="Arial"/>
                <w:sz w:val="20"/>
                <w:szCs w:val="20"/>
              </w:rPr>
              <w:t>35-40</w:t>
            </w:r>
          </w:p>
        </w:tc>
        <w:tc>
          <w:tcPr>
            <w:tcW w:w="1295" w:type="dxa"/>
            <w:hideMark/>
          </w:tcPr>
          <w:p w14:paraId="1D2901E6"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684" w:type="dxa"/>
            <w:hideMark/>
          </w:tcPr>
          <w:p w14:paraId="493A9884"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428" w:type="dxa"/>
            <w:hideMark/>
          </w:tcPr>
          <w:p w14:paraId="67F9D020"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050" w:type="dxa"/>
            <w:hideMark/>
          </w:tcPr>
          <w:p w14:paraId="75B24319" w14:textId="77777777" w:rsidR="003A10B8" w:rsidRPr="00015A68" w:rsidRDefault="003A10B8" w:rsidP="003A10B8">
            <w:pPr>
              <w:spacing w:before="0" w:after="0"/>
              <w:rPr>
                <w:rFonts w:cs="Arial"/>
                <w:sz w:val="20"/>
                <w:szCs w:val="20"/>
              </w:rPr>
            </w:pPr>
            <w:r w:rsidRPr="00015A68">
              <w:rPr>
                <w:rFonts w:cs="Arial"/>
                <w:sz w:val="20"/>
                <w:szCs w:val="20"/>
              </w:rPr>
              <w:t>*</w:t>
            </w:r>
          </w:p>
        </w:tc>
        <w:tc>
          <w:tcPr>
            <w:tcW w:w="937" w:type="dxa"/>
            <w:hideMark/>
          </w:tcPr>
          <w:p w14:paraId="52C5105D" w14:textId="77777777" w:rsidR="003A10B8" w:rsidRPr="00015A68" w:rsidRDefault="003A10B8" w:rsidP="003A10B8">
            <w:pPr>
              <w:spacing w:before="0" w:after="0"/>
              <w:rPr>
                <w:rFonts w:cs="Arial"/>
                <w:sz w:val="20"/>
                <w:szCs w:val="20"/>
              </w:rPr>
            </w:pPr>
            <w:r w:rsidRPr="00015A68">
              <w:rPr>
                <w:rFonts w:cs="Arial"/>
                <w:sz w:val="20"/>
                <w:szCs w:val="20"/>
              </w:rPr>
              <w:t>35-40</w:t>
            </w:r>
          </w:p>
        </w:tc>
      </w:tr>
      <w:tr w:rsidR="00CE006A" w:rsidRPr="00015A68" w14:paraId="6FCDF512" w14:textId="77777777" w:rsidTr="003C31B7">
        <w:trPr>
          <w:trHeight w:val="288"/>
        </w:trPr>
        <w:tc>
          <w:tcPr>
            <w:tcW w:w="7083" w:type="dxa"/>
            <w:noWrap/>
            <w:hideMark/>
          </w:tcPr>
          <w:p w14:paraId="59C343D4" w14:textId="77777777" w:rsidR="003A10B8" w:rsidRPr="00015A68" w:rsidRDefault="003A10B8" w:rsidP="003A10B8">
            <w:pPr>
              <w:spacing w:before="0" w:after="0"/>
              <w:rPr>
                <w:rFonts w:cs="Arial"/>
                <w:sz w:val="20"/>
                <w:szCs w:val="20"/>
              </w:rPr>
            </w:pPr>
            <w:r w:rsidRPr="00015A68">
              <w:rPr>
                <w:rFonts w:cs="Arial"/>
                <w:sz w:val="20"/>
                <w:szCs w:val="20"/>
              </w:rPr>
              <w:t>Dr Bushra Ali - Clinical Commissioning Group Governing Body Member</w:t>
            </w:r>
          </w:p>
        </w:tc>
        <w:tc>
          <w:tcPr>
            <w:tcW w:w="1083" w:type="dxa"/>
            <w:hideMark/>
          </w:tcPr>
          <w:p w14:paraId="330DF329" w14:textId="77777777" w:rsidR="003A10B8" w:rsidRPr="00015A68" w:rsidRDefault="003A10B8" w:rsidP="003A10B8">
            <w:pPr>
              <w:spacing w:before="0" w:after="0"/>
              <w:rPr>
                <w:rFonts w:cs="Arial"/>
                <w:sz w:val="20"/>
                <w:szCs w:val="20"/>
              </w:rPr>
            </w:pPr>
            <w:r w:rsidRPr="00015A68">
              <w:rPr>
                <w:rFonts w:cs="Arial"/>
                <w:sz w:val="20"/>
                <w:szCs w:val="20"/>
              </w:rPr>
              <w:t>35-40</w:t>
            </w:r>
          </w:p>
        </w:tc>
        <w:tc>
          <w:tcPr>
            <w:tcW w:w="1295" w:type="dxa"/>
            <w:hideMark/>
          </w:tcPr>
          <w:p w14:paraId="393628E3"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684" w:type="dxa"/>
            <w:hideMark/>
          </w:tcPr>
          <w:p w14:paraId="6DCB60C2"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428" w:type="dxa"/>
            <w:hideMark/>
          </w:tcPr>
          <w:p w14:paraId="2E4BD994"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050" w:type="dxa"/>
            <w:hideMark/>
          </w:tcPr>
          <w:p w14:paraId="2EE6DA35" w14:textId="77777777" w:rsidR="003A10B8" w:rsidRPr="00015A68" w:rsidRDefault="003A10B8" w:rsidP="003A10B8">
            <w:pPr>
              <w:spacing w:before="0" w:after="0"/>
              <w:rPr>
                <w:rFonts w:cs="Arial"/>
                <w:sz w:val="20"/>
                <w:szCs w:val="20"/>
              </w:rPr>
            </w:pPr>
            <w:r w:rsidRPr="00015A68">
              <w:rPr>
                <w:rFonts w:cs="Arial"/>
                <w:sz w:val="20"/>
                <w:szCs w:val="20"/>
              </w:rPr>
              <w:t>*</w:t>
            </w:r>
          </w:p>
        </w:tc>
        <w:tc>
          <w:tcPr>
            <w:tcW w:w="937" w:type="dxa"/>
            <w:hideMark/>
          </w:tcPr>
          <w:p w14:paraId="694DFC1E" w14:textId="77777777" w:rsidR="003A10B8" w:rsidRPr="00015A68" w:rsidRDefault="003A10B8" w:rsidP="003A10B8">
            <w:pPr>
              <w:spacing w:before="0" w:after="0"/>
              <w:rPr>
                <w:rFonts w:cs="Arial"/>
                <w:sz w:val="20"/>
                <w:szCs w:val="20"/>
              </w:rPr>
            </w:pPr>
            <w:r w:rsidRPr="00015A68">
              <w:rPr>
                <w:rFonts w:cs="Arial"/>
                <w:sz w:val="20"/>
                <w:szCs w:val="20"/>
              </w:rPr>
              <w:t>35-40</w:t>
            </w:r>
          </w:p>
        </w:tc>
      </w:tr>
      <w:tr w:rsidR="00CE006A" w:rsidRPr="00015A68" w14:paraId="1F57C737" w14:textId="77777777" w:rsidTr="003C31B7">
        <w:trPr>
          <w:trHeight w:val="288"/>
        </w:trPr>
        <w:tc>
          <w:tcPr>
            <w:tcW w:w="7083" w:type="dxa"/>
            <w:noWrap/>
            <w:hideMark/>
          </w:tcPr>
          <w:p w14:paraId="4B3F9C23" w14:textId="77777777" w:rsidR="003A10B8" w:rsidRPr="00015A68" w:rsidRDefault="003A10B8" w:rsidP="003A10B8">
            <w:pPr>
              <w:spacing w:before="0" w:after="0"/>
              <w:rPr>
                <w:rFonts w:cs="Arial"/>
                <w:sz w:val="20"/>
                <w:szCs w:val="20"/>
              </w:rPr>
            </w:pPr>
            <w:r w:rsidRPr="00015A68">
              <w:rPr>
                <w:rFonts w:cs="Arial"/>
                <w:sz w:val="20"/>
                <w:szCs w:val="20"/>
              </w:rPr>
              <w:t>Dr Amy Oehring - Clinical Commissioning Group Governing Body Member</w:t>
            </w:r>
          </w:p>
        </w:tc>
        <w:tc>
          <w:tcPr>
            <w:tcW w:w="1083" w:type="dxa"/>
            <w:hideMark/>
          </w:tcPr>
          <w:p w14:paraId="6255DA6E" w14:textId="77777777" w:rsidR="003A10B8" w:rsidRPr="00015A68" w:rsidRDefault="003A10B8" w:rsidP="003A10B8">
            <w:pPr>
              <w:spacing w:before="0" w:after="0"/>
              <w:rPr>
                <w:rFonts w:cs="Arial"/>
                <w:sz w:val="20"/>
                <w:szCs w:val="20"/>
              </w:rPr>
            </w:pPr>
            <w:r w:rsidRPr="00015A68">
              <w:rPr>
                <w:rFonts w:cs="Arial"/>
                <w:sz w:val="20"/>
                <w:szCs w:val="20"/>
              </w:rPr>
              <w:t>35-40</w:t>
            </w:r>
          </w:p>
        </w:tc>
        <w:tc>
          <w:tcPr>
            <w:tcW w:w="1295" w:type="dxa"/>
            <w:hideMark/>
          </w:tcPr>
          <w:p w14:paraId="12A9A77F"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684" w:type="dxa"/>
            <w:hideMark/>
          </w:tcPr>
          <w:p w14:paraId="118B7E71"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428" w:type="dxa"/>
            <w:hideMark/>
          </w:tcPr>
          <w:p w14:paraId="2F7E7D95"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050" w:type="dxa"/>
            <w:hideMark/>
          </w:tcPr>
          <w:p w14:paraId="22A49060" w14:textId="77777777" w:rsidR="003A10B8" w:rsidRPr="00015A68" w:rsidRDefault="003A10B8" w:rsidP="003A10B8">
            <w:pPr>
              <w:spacing w:before="0" w:after="0"/>
              <w:rPr>
                <w:rFonts w:cs="Arial"/>
                <w:sz w:val="20"/>
                <w:szCs w:val="20"/>
              </w:rPr>
            </w:pPr>
            <w:r w:rsidRPr="00015A68">
              <w:rPr>
                <w:rFonts w:cs="Arial"/>
                <w:sz w:val="20"/>
                <w:szCs w:val="20"/>
              </w:rPr>
              <w:t>*</w:t>
            </w:r>
          </w:p>
        </w:tc>
        <w:tc>
          <w:tcPr>
            <w:tcW w:w="937" w:type="dxa"/>
            <w:hideMark/>
          </w:tcPr>
          <w:p w14:paraId="1E438526" w14:textId="77777777" w:rsidR="003A10B8" w:rsidRPr="00015A68" w:rsidRDefault="003A10B8" w:rsidP="003A10B8">
            <w:pPr>
              <w:spacing w:before="0" w:after="0"/>
              <w:rPr>
                <w:rFonts w:cs="Arial"/>
                <w:sz w:val="20"/>
                <w:szCs w:val="20"/>
              </w:rPr>
            </w:pPr>
            <w:r w:rsidRPr="00015A68">
              <w:rPr>
                <w:rFonts w:cs="Arial"/>
                <w:sz w:val="20"/>
                <w:szCs w:val="20"/>
              </w:rPr>
              <w:t>35-40</w:t>
            </w:r>
          </w:p>
        </w:tc>
      </w:tr>
      <w:tr w:rsidR="00CE006A" w:rsidRPr="00015A68" w14:paraId="53D576D5" w14:textId="77777777" w:rsidTr="000B140B">
        <w:trPr>
          <w:trHeight w:val="248"/>
        </w:trPr>
        <w:tc>
          <w:tcPr>
            <w:tcW w:w="7083" w:type="dxa"/>
            <w:hideMark/>
          </w:tcPr>
          <w:p w14:paraId="05825C9B" w14:textId="5E4FC097" w:rsidR="003A10B8" w:rsidRPr="00015A68" w:rsidRDefault="003A10B8" w:rsidP="003A10B8">
            <w:pPr>
              <w:spacing w:before="0" w:after="0"/>
              <w:rPr>
                <w:rFonts w:cs="Arial"/>
                <w:sz w:val="20"/>
                <w:szCs w:val="20"/>
              </w:rPr>
            </w:pPr>
            <w:r w:rsidRPr="00015A68">
              <w:rPr>
                <w:rFonts w:cs="Arial"/>
                <w:sz w:val="20"/>
                <w:szCs w:val="20"/>
              </w:rPr>
              <w:t xml:space="preserve">Dr David Heseltine - </w:t>
            </w:r>
            <w:r w:rsidR="000B140B">
              <w:rPr>
                <w:rFonts w:cs="Arial"/>
                <w:sz w:val="20"/>
                <w:szCs w:val="20"/>
              </w:rPr>
              <w:t>CCG</w:t>
            </w:r>
            <w:r w:rsidRPr="00015A68">
              <w:rPr>
                <w:rFonts w:cs="Arial"/>
                <w:sz w:val="20"/>
                <w:szCs w:val="20"/>
              </w:rPr>
              <w:t xml:space="preserve"> Governing Body Member (to April 2021)</w:t>
            </w:r>
          </w:p>
        </w:tc>
        <w:tc>
          <w:tcPr>
            <w:tcW w:w="1083" w:type="dxa"/>
            <w:hideMark/>
          </w:tcPr>
          <w:p w14:paraId="75274EB1" w14:textId="77777777" w:rsidR="003A10B8" w:rsidRPr="00015A68" w:rsidRDefault="003A10B8" w:rsidP="003A10B8">
            <w:pPr>
              <w:spacing w:before="0" w:after="0"/>
              <w:rPr>
                <w:rFonts w:cs="Arial"/>
                <w:sz w:val="20"/>
                <w:szCs w:val="20"/>
              </w:rPr>
            </w:pPr>
            <w:r w:rsidRPr="00015A68">
              <w:rPr>
                <w:rFonts w:cs="Arial"/>
                <w:sz w:val="20"/>
                <w:szCs w:val="20"/>
              </w:rPr>
              <w:t>0-5</w:t>
            </w:r>
          </w:p>
        </w:tc>
        <w:tc>
          <w:tcPr>
            <w:tcW w:w="1295" w:type="dxa"/>
            <w:hideMark/>
          </w:tcPr>
          <w:p w14:paraId="0002D8D6"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684" w:type="dxa"/>
            <w:hideMark/>
          </w:tcPr>
          <w:p w14:paraId="08453907"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428" w:type="dxa"/>
            <w:hideMark/>
          </w:tcPr>
          <w:p w14:paraId="62A96642"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050" w:type="dxa"/>
            <w:hideMark/>
          </w:tcPr>
          <w:p w14:paraId="17C4D9CD" w14:textId="77777777" w:rsidR="003A10B8" w:rsidRPr="00015A68" w:rsidRDefault="003A10B8" w:rsidP="003A10B8">
            <w:pPr>
              <w:spacing w:before="0" w:after="0"/>
              <w:rPr>
                <w:rFonts w:cs="Arial"/>
                <w:sz w:val="20"/>
                <w:szCs w:val="20"/>
              </w:rPr>
            </w:pPr>
            <w:r w:rsidRPr="00015A68">
              <w:rPr>
                <w:rFonts w:cs="Arial"/>
                <w:sz w:val="20"/>
                <w:szCs w:val="20"/>
              </w:rPr>
              <w:t>*</w:t>
            </w:r>
          </w:p>
        </w:tc>
        <w:tc>
          <w:tcPr>
            <w:tcW w:w="937" w:type="dxa"/>
            <w:hideMark/>
          </w:tcPr>
          <w:p w14:paraId="75E45673" w14:textId="77777777" w:rsidR="003A10B8" w:rsidRPr="00015A68" w:rsidRDefault="003A10B8" w:rsidP="003A10B8">
            <w:pPr>
              <w:spacing w:before="0" w:after="0"/>
              <w:rPr>
                <w:rFonts w:cs="Arial"/>
                <w:sz w:val="20"/>
                <w:szCs w:val="20"/>
              </w:rPr>
            </w:pPr>
            <w:r w:rsidRPr="00015A68">
              <w:rPr>
                <w:rFonts w:cs="Arial"/>
                <w:sz w:val="20"/>
                <w:szCs w:val="20"/>
              </w:rPr>
              <w:t>0-5</w:t>
            </w:r>
          </w:p>
        </w:tc>
      </w:tr>
      <w:tr w:rsidR="00CE006A" w:rsidRPr="00015A68" w14:paraId="65E5DD19" w14:textId="77777777" w:rsidTr="003C31B7">
        <w:trPr>
          <w:trHeight w:val="288"/>
        </w:trPr>
        <w:tc>
          <w:tcPr>
            <w:tcW w:w="7083" w:type="dxa"/>
            <w:noWrap/>
            <w:hideMark/>
          </w:tcPr>
          <w:p w14:paraId="3F3CA95D" w14:textId="77777777" w:rsidR="003A10B8" w:rsidRPr="00015A68" w:rsidRDefault="003A10B8" w:rsidP="003A10B8">
            <w:pPr>
              <w:spacing w:before="0" w:after="0"/>
              <w:rPr>
                <w:rFonts w:cs="Arial"/>
                <w:sz w:val="20"/>
                <w:szCs w:val="20"/>
              </w:rPr>
            </w:pPr>
            <w:r w:rsidRPr="00015A68">
              <w:rPr>
                <w:rFonts w:cs="Arial"/>
                <w:sz w:val="20"/>
                <w:szCs w:val="20"/>
              </w:rPr>
              <w:t xml:space="preserve">Karen Marshall - Lay Member </w:t>
            </w:r>
          </w:p>
        </w:tc>
        <w:tc>
          <w:tcPr>
            <w:tcW w:w="1083" w:type="dxa"/>
            <w:hideMark/>
          </w:tcPr>
          <w:p w14:paraId="153A226A" w14:textId="77777777" w:rsidR="003A10B8" w:rsidRPr="00015A68" w:rsidRDefault="003A10B8" w:rsidP="003A10B8">
            <w:pPr>
              <w:spacing w:before="0" w:after="0"/>
              <w:rPr>
                <w:rFonts w:cs="Arial"/>
                <w:sz w:val="20"/>
                <w:szCs w:val="20"/>
              </w:rPr>
            </w:pPr>
            <w:r w:rsidRPr="00015A68">
              <w:rPr>
                <w:rFonts w:cs="Arial"/>
                <w:sz w:val="20"/>
                <w:szCs w:val="20"/>
              </w:rPr>
              <w:t>10-15</w:t>
            </w:r>
          </w:p>
        </w:tc>
        <w:tc>
          <w:tcPr>
            <w:tcW w:w="1295" w:type="dxa"/>
            <w:hideMark/>
          </w:tcPr>
          <w:p w14:paraId="7246F6E0"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684" w:type="dxa"/>
            <w:hideMark/>
          </w:tcPr>
          <w:p w14:paraId="2779DC53"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428" w:type="dxa"/>
            <w:hideMark/>
          </w:tcPr>
          <w:p w14:paraId="090613D4"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050" w:type="dxa"/>
            <w:hideMark/>
          </w:tcPr>
          <w:p w14:paraId="49335DEB" w14:textId="77777777" w:rsidR="003A10B8" w:rsidRPr="00015A68" w:rsidRDefault="003A10B8" w:rsidP="003A10B8">
            <w:pPr>
              <w:spacing w:before="0" w:after="0"/>
              <w:rPr>
                <w:rFonts w:cs="Arial"/>
                <w:sz w:val="20"/>
                <w:szCs w:val="20"/>
              </w:rPr>
            </w:pPr>
            <w:r w:rsidRPr="00015A68">
              <w:rPr>
                <w:rFonts w:cs="Arial"/>
                <w:sz w:val="20"/>
                <w:szCs w:val="20"/>
              </w:rPr>
              <w:t>0</w:t>
            </w:r>
          </w:p>
        </w:tc>
        <w:tc>
          <w:tcPr>
            <w:tcW w:w="937" w:type="dxa"/>
            <w:hideMark/>
          </w:tcPr>
          <w:p w14:paraId="52A6D929" w14:textId="77777777" w:rsidR="003A10B8" w:rsidRPr="00015A68" w:rsidRDefault="003A10B8" w:rsidP="003A10B8">
            <w:pPr>
              <w:spacing w:before="0" w:after="0"/>
              <w:rPr>
                <w:rFonts w:cs="Arial"/>
                <w:sz w:val="20"/>
                <w:szCs w:val="20"/>
              </w:rPr>
            </w:pPr>
            <w:r w:rsidRPr="00015A68">
              <w:rPr>
                <w:rFonts w:cs="Arial"/>
                <w:sz w:val="20"/>
                <w:szCs w:val="20"/>
              </w:rPr>
              <w:t>10-15</w:t>
            </w:r>
          </w:p>
        </w:tc>
      </w:tr>
      <w:tr w:rsidR="00CE006A" w:rsidRPr="00015A68" w14:paraId="0507A44B" w14:textId="77777777" w:rsidTr="003C31B7">
        <w:trPr>
          <w:trHeight w:val="288"/>
        </w:trPr>
        <w:tc>
          <w:tcPr>
            <w:tcW w:w="7083" w:type="dxa"/>
            <w:noWrap/>
            <w:hideMark/>
          </w:tcPr>
          <w:p w14:paraId="3E5FF4CE" w14:textId="77777777" w:rsidR="003A10B8" w:rsidRPr="00015A68" w:rsidRDefault="003A10B8" w:rsidP="003A10B8">
            <w:pPr>
              <w:spacing w:before="0" w:after="0"/>
              <w:rPr>
                <w:rFonts w:cs="Arial"/>
                <w:sz w:val="20"/>
                <w:szCs w:val="20"/>
              </w:rPr>
            </w:pPr>
            <w:r w:rsidRPr="00015A68">
              <w:rPr>
                <w:rFonts w:cs="Arial"/>
                <w:sz w:val="20"/>
                <w:szCs w:val="20"/>
              </w:rPr>
              <w:t>Jason Stamp - Lay Member</w:t>
            </w:r>
          </w:p>
        </w:tc>
        <w:tc>
          <w:tcPr>
            <w:tcW w:w="1083" w:type="dxa"/>
            <w:hideMark/>
          </w:tcPr>
          <w:p w14:paraId="023F4BD2" w14:textId="77777777" w:rsidR="003A10B8" w:rsidRPr="00015A68" w:rsidRDefault="003A10B8" w:rsidP="003A10B8">
            <w:pPr>
              <w:spacing w:before="0" w:after="0"/>
              <w:rPr>
                <w:rFonts w:cs="Arial"/>
                <w:sz w:val="20"/>
                <w:szCs w:val="20"/>
              </w:rPr>
            </w:pPr>
            <w:r w:rsidRPr="00015A68">
              <w:rPr>
                <w:rFonts w:cs="Arial"/>
                <w:sz w:val="20"/>
                <w:szCs w:val="20"/>
              </w:rPr>
              <w:t>10-15</w:t>
            </w:r>
          </w:p>
        </w:tc>
        <w:tc>
          <w:tcPr>
            <w:tcW w:w="1295" w:type="dxa"/>
            <w:hideMark/>
          </w:tcPr>
          <w:p w14:paraId="514C679E"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684" w:type="dxa"/>
            <w:hideMark/>
          </w:tcPr>
          <w:p w14:paraId="7B2FF84E"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428" w:type="dxa"/>
            <w:hideMark/>
          </w:tcPr>
          <w:p w14:paraId="7A55CC5B"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050" w:type="dxa"/>
            <w:hideMark/>
          </w:tcPr>
          <w:p w14:paraId="488DC15C" w14:textId="77777777" w:rsidR="003A10B8" w:rsidRPr="00015A68" w:rsidRDefault="003A10B8" w:rsidP="003A10B8">
            <w:pPr>
              <w:spacing w:before="0" w:after="0"/>
              <w:rPr>
                <w:rFonts w:cs="Arial"/>
                <w:sz w:val="20"/>
                <w:szCs w:val="20"/>
              </w:rPr>
            </w:pPr>
            <w:r w:rsidRPr="00015A68">
              <w:rPr>
                <w:rFonts w:cs="Arial"/>
                <w:sz w:val="20"/>
                <w:szCs w:val="20"/>
              </w:rPr>
              <w:t>0</w:t>
            </w:r>
          </w:p>
        </w:tc>
        <w:tc>
          <w:tcPr>
            <w:tcW w:w="937" w:type="dxa"/>
            <w:hideMark/>
          </w:tcPr>
          <w:p w14:paraId="013FBB78" w14:textId="77777777" w:rsidR="003A10B8" w:rsidRPr="00015A68" w:rsidRDefault="003A10B8" w:rsidP="003A10B8">
            <w:pPr>
              <w:spacing w:before="0" w:after="0"/>
              <w:rPr>
                <w:rFonts w:cs="Arial"/>
                <w:sz w:val="20"/>
                <w:szCs w:val="20"/>
              </w:rPr>
            </w:pPr>
            <w:r w:rsidRPr="00015A68">
              <w:rPr>
                <w:rFonts w:cs="Arial"/>
                <w:sz w:val="20"/>
                <w:szCs w:val="20"/>
              </w:rPr>
              <w:t>10-15</w:t>
            </w:r>
          </w:p>
        </w:tc>
      </w:tr>
      <w:tr w:rsidR="00CE006A" w:rsidRPr="00015A68" w14:paraId="4906448F" w14:textId="77777777" w:rsidTr="003C31B7">
        <w:trPr>
          <w:trHeight w:val="288"/>
        </w:trPr>
        <w:tc>
          <w:tcPr>
            <w:tcW w:w="7083" w:type="dxa"/>
            <w:noWrap/>
            <w:hideMark/>
          </w:tcPr>
          <w:p w14:paraId="11367F7B" w14:textId="77777777" w:rsidR="003A10B8" w:rsidRPr="00015A68" w:rsidRDefault="003A10B8" w:rsidP="003A10B8">
            <w:pPr>
              <w:spacing w:before="0" w:after="0"/>
              <w:rPr>
                <w:rFonts w:cs="Arial"/>
                <w:sz w:val="20"/>
                <w:szCs w:val="20"/>
              </w:rPr>
            </w:pPr>
            <w:r w:rsidRPr="00015A68">
              <w:rPr>
                <w:rFonts w:cs="Arial"/>
                <w:sz w:val="20"/>
                <w:szCs w:val="20"/>
              </w:rPr>
              <w:t xml:space="preserve">Ian Goode - Lay Member </w:t>
            </w:r>
          </w:p>
        </w:tc>
        <w:tc>
          <w:tcPr>
            <w:tcW w:w="1083" w:type="dxa"/>
            <w:hideMark/>
          </w:tcPr>
          <w:p w14:paraId="72C5536D" w14:textId="77777777" w:rsidR="003A10B8" w:rsidRPr="00015A68" w:rsidRDefault="003A10B8" w:rsidP="003A10B8">
            <w:pPr>
              <w:spacing w:before="0" w:after="0"/>
              <w:rPr>
                <w:rFonts w:cs="Arial"/>
                <w:sz w:val="20"/>
                <w:szCs w:val="20"/>
              </w:rPr>
            </w:pPr>
            <w:r w:rsidRPr="00015A68">
              <w:rPr>
                <w:rFonts w:cs="Arial"/>
                <w:sz w:val="20"/>
                <w:szCs w:val="20"/>
              </w:rPr>
              <w:t>10-15</w:t>
            </w:r>
          </w:p>
        </w:tc>
        <w:tc>
          <w:tcPr>
            <w:tcW w:w="1295" w:type="dxa"/>
            <w:hideMark/>
          </w:tcPr>
          <w:p w14:paraId="171E70F2"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684" w:type="dxa"/>
            <w:hideMark/>
          </w:tcPr>
          <w:p w14:paraId="05DFB2A2"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428" w:type="dxa"/>
            <w:hideMark/>
          </w:tcPr>
          <w:p w14:paraId="71D4A599"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050" w:type="dxa"/>
            <w:hideMark/>
          </w:tcPr>
          <w:p w14:paraId="05E1D9FE" w14:textId="77777777" w:rsidR="003A10B8" w:rsidRPr="00015A68" w:rsidRDefault="003A10B8" w:rsidP="003A10B8">
            <w:pPr>
              <w:spacing w:before="0" w:after="0"/>
              <w:rPr>
                <w:rFonts w:cs="Arial"/>
                <w:sz w:val="20"/>
                <w:szCs w:val="20"/>
              </w:rPr>
            </w:pPr>
            <w:r w:rsidRPr="00015A68">
              <w:rPr>
                <w:rFonts w:cs="Arial"/>
                <w:sz w:val="20"/>
                <w:szCs w:val="20"/>
              </w:rPr>
              <w:t>0</w:t>
            </w:r>
          </w:p>
        </w:tc>
        <w:tc>
          <w:tcPr>
            <w:tcW w:w="937" w:type="dxa"/>
            <w:hideMark/>
          </w:tcPr>
          <w:p w14:paraId="44749F0B" w14:textId="77777777" w:rsidR="003A10B8" w:rsidRPr="00015A68" w:rsidRDefault="003A10B8" w:rsidP="003A10B8">
            <w:pPr>
              <w:spacing w:before="0" w:after="0"/>
              <w:rPr>
                <w:rFonts w:cs="Arial"/>
                <w:sz w:val="20"/>
                <w:szCs w:val="20"/>
              </w:rPr>
            </w:pPr>
            <w:r w:rsidRPr="00015A68">
              <w:rPr>
                <w:rFonts w:cs="Arial"/>
                <w:sz w:val="20"/>
                <w:szCs w:val="20"/>
              </w:rPr>
              <w:t>10-15</w:t>
            </w:r>
          </w:p>
        </w:tc>
      </w:tr>
      <w:tr w:rsidR="00CE006A" w:rsidRPr="00015A68" w14:paraId="7A1E025B" w14:textId="77777777" w:rsidTr="003C31B7">
        <w:trPr>
          <w:trHeight w:val="288"/>
        </w:trPr>
        <w:tc>
          <w:tcPr>
            <w:tcW w:w="7083" w:type="dxa"/>
            <w:noWrap/>
            <w:hideMark/>
          </w:tcPr>
          <w:p w14:paraId="1080FA71" w14:textId="77777777" w:rsidR="003A10B8" w:rsidRPr="00015A68" w:rsidRDefault="003A10B8" w:rsidP="003A10B8">
            <w:pPr>
              <w:spacing w:before="0" w:after="0"/>
              <w:rPr>
                <w:rFonts w:cs="Arial"/>
                <w:sz w:val="20"/>
                <w:szCs w:val="20"/>
              </w:rPr>
            </w:pPr>
            <w:r w:rsidRPr="00015A68">
              <w:rPr>
                <w:rFonts w:cs="Arial"/>
                <w:sz w:val="20"/>
                <w:szCs w:val="20"/>
              </w:rPr>
              <w:t>Mark Whitaker - Practice Manager</w:t>
            </w:r>
          </w:p>
        </w:tc>
        <w:tc>
          <w:tcPr>
            <w:tcW w:w="1083" w:type="dxa"/>
            <w:hideMark/>
          </w:tcPr>
          <w:p w14:paraId="3F148862" w14:textId="77777777" w:rsidR="003A10B8" w:rsidRPr="00015A68" w:rsidRDefault="003A10B8" w:rsidP="003A10B8">
            <w:pPr>
              <w:spacing w:before="0" w:after="0"/>
              <w:rPr>
                <w:rFonts w:cs="Arial"/>
                <w:sz w:val="20"/>
                <w:szCs w:val="20"/>
              </w:rPr>
            </w:pPr>
            <w:r w:rsidRPr="00015A68">
              <w:rPr>
                <w:rFonts w:cs="Arial"/>
                <w:sz w:val="20"/>
                <w:szCs w:val="20"/>
              </w:rPr>
              <w:t>5-10</w:t>
            </w:r>
          </w:p>
        </w:tc>
        <w:tc>
          <w:tcPr>
            <w:tcW w:w="1295" w:type="dxa"/>
            <w:hideMark/>
          </w:tcPr>
          <w:p w14:paraId="11C0EE72"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684" w:type="dxa"/>
            <w:hideMark/>
          </w:tcPr>
          <w:p w14:paraId="318852E6"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428" w:type="dxa"/>
            <w:hideMark/>
          </w:tcPr>
          <w:p w14:paraId="55E0FFF8" w14:textId="77777777" w:rsidR="003A10B8" w:rsidRPr="00015A68" w:rsidRDefault="003A10B8" w:rsidP="003A10B8">
            <w:pPr>
              <w:spacing w:before="0" w:after="0"/>
              <w:rPr>
                <w:rFonts w:cs="Arial"/>
                <w:sz w:val="20"/>
                <w:szCs w:val="20"/>
              </w:rPr>
            </w:pPr>
            <w:r w:rsidRPr="00015A68">
              <w:rPr>
                <w:rFonts w:cs="Arial"/>
                <w:sz w:val="20"/>
                <w:szCs w:val="20"/>
              </w:rPr>
              <w:t>0</w:t>
            </w:r>
          </w:p>
        </w:tc>
        <w:tc>
          <w:tcPr>
            <w:tcW w:w="1050" w:type="dxa"/>
            <w:hideMark/>
          </w:tcPr>
          <w:p w14:paraId="33C8B2B3" w14:textId="77777777" w:rsidR="003A10B8" w:rsidRPr="00015A68" w:rsidRDefault="003A10B8" w:rsidP="003A10B8">
            <w:pPr>
              <w:spacing w:before="0" w:after="0"/>
              <w:rPr>
                <w:rFonts w:cs="Arial"/>
                <w:sz w:val="20"/>
                <w:szCs w:val="20"/>
              </w:rPr>
            </w:pPr>
            <w:r w:rsidRPr="00015A68">
              <w:rPr>
                <w:rFonts w:cs="Arial"/>
                <w:sz w:val="20"/>
                <w:szCs w:val="20"/>
              </w:rPr>
              <w:t>0</w:t>
            </w:r>
          </w:p>
        </w:tc>
        <w:tc>
          <w:tcPr>
            <w:tcW w:w="937" w:type="dxa"/>
            <w:hideMark/>
          </w:tcPr>
          <w:p w14:paraId="357C3C31" w14:textId="77777777" w:rsidR="003A10B8" w:rsidRPr="00015A68" w:rsidRDefault="003A10B8" w:rsidP="003A10B8">
            <w:pPr>
              <w:spacing w:before="0" w:after="0"/>
              <w:rPr>
                <w:rFonts w:cs="Arial"/>
                <w:sz w:val="20"/>
                <w:szCs w:val="20"/>
              </w:rPr>
            </w:pPr>
            <w:r w:rsidRPr="00015A68">
              <w:rPr>
                <w:rFonts w:cs="Arial"/>
                <w:sz w:val="20"/>
                <w:szCs w:val="20"/>
              </w:rPr>
              <w:t>5-10</w:t>
            </w:r>
          </w:p>
        </w:tc>
      </w:tr>
    </w:tbl>
    <w:p w14:paraId="623DEDA6" w14:textId="0F3D894F" w:rsidR="003A10B8" w:rsidRPr="00CE006A" w:rsidRDefault="00CE006A" w:rsidP="00CE006A">
      <w:pPr>
        <w:spacing w:before="0" w:after="0"/>
        <w:rPr>
          <w:rFonts w:cs="Arial"/>
          <w:sz w:val="14"/>
          <w:szCs w:val="14"/>
        </w:rPr>
      </w:pPr>
      <w:r w:rsidRPr="00CE006A">
        <w:rPr>
          <w:rFonts w:cs="Arial"/>
          <w:sz w:val="14"/>
          <w:szCs w:val="14"/>
        </w:rPr>
        <w:t>*</w:t>
      </w:r>
      <w:r w:rsidR="003A10B8" w:rsidRPr="00CE006A">
        <w:rPr>
          <w:rFonts w:cs="Arial"/>
          <w:sz w:val="14"/>
          <w:szCs w:val="14"/>
        </w:rPr>
        <w:t>It is not possible to provide the pension related benefits in relation to GPs due to their practitioner membership of the NHS pension scheme.</w:t>
      </w:r>
      <w:r w:rsidR="003A10B8" w:rsidRPr="00CE006A">
        <w:rPr>
          <w:rFonts w:cs="Arial"/>
          <w:sz w:val="14"/>
          <w:szCs w:val="14"/>
        </w:rPr>
        <w:tab/>
      </w:r>
      <w:r w:rsidR="003A10B8" w:rsidRPr="00CE006A">
        <w:rPr>
          <w:rFonts w:cs="Arial"/>
          <w:sz w:val="14"/>
          <w:szCs w:val="14"/>
        </w:rPr>
        <w:tab/>
      </w:r>
    </w:p>
    <w:p w14:paraId="3F8982BB" w14:textId="2BDF7078" w:rsidR="000B140B" w:rsidRPr="000B140B" w:rsidRDefault="000B140B" w:rsidP="000B140B">
      <w:pPr>
        <w:spacing w:before="0" w:after="0"/>
        <w:rPr>
          <w:sz w:val="14"/>
          <w:szCs w:val="14"/>
        </w:rPr>
      </w:pPr>
      <w:r w:rsidRPr="000B140B">
        <w:rPr>
          <w:sz w:val="14"/>
          <w:szCs w:val="14"/>
        </w:rPr>
        <w:t>**Emma Latimer - from 01/11/2017-31/10/2019 was in joint post with NHS North Lincolnshire CCG and Hull CCG. From 01/11/2019-31/03/2022 is in joint post with North Lincolnshire CCG, Hull CCG and East Riding of Yorkshire CCG. The values above relate to NHS Hull CCG, Emma Latimer's full salary banding is £150-155k</w:t>
      </w:r>
    </w:p>
    <w:p w14:paraId="439B4ED5" w14:textId="77777777" w:rsidR="003A10B8" w:rsidRPr="00CE006A" w:rsidRDefault="003A10B8" w:rsidP="00CE006A">
      <w:pPr>
        <w:spacing w:before="0" w:after="0"/>
        <w:rPr>
          <w:rFonts w:cs="Arial"/>
          <w:sz w:val="14"/>
          <w:szCs w:val="14"/>
        </w:rPr>
      </w:pPr>
      <w:r w:rsidRPr="00CE006A">
        <w:rPr>
          <w:rFonts w:cs="Arial"/>
          <w:sz w:val="14"/>
          <w:szCs w:val="14"/>
        </w:rPr>
        <w:t>*** Emma Sayner (from 01/12/17) is currently in joint post with Hull CCG and North Lincolnshire CCG. The values above relate to NHS Hull CCG, Emma Sayners full salary banding is £115-120k</w:t>
      </w:r>
      <w:r w:rsidRPr="00CE006A">
        <w:rPr>
          <w:rFonts w:cs="Arial"/>
          <w:sz w:val="14"/>
          <w:szCs w:val="14"/>
        </w:rPr>
        <w:tab/>
      </w:r>
    </w:p>
    <w:p w14:paraId="382C1107" w14:textId="370E96FF" w:rsidR="003A10B8" w:rsidRPr="00230A3D" w:rsidRDefault="003A10B8" w:rsidP="00CE006A">
      <w:pPr>
        <w:spacing w:before="0" w:after="0"/>
        <w:rPr>
          <w:rFonts w:cs="Arial"/>
          <w:sz w:val="14"/>
          <w:szCs w:val="14"/>
        </w:rPr>
      </w:pPr>
      <w:r w:rsidRPr="001B0488">
        <w:rPr>
          <w:rFonts w:cs="Arial"/>
          <w:sz w:val="14"/>
          <w:szCs w:val="14"/>
        </w:rPr>
        <w:t>****</w:t>
      </w:r>
      <w:r w:rsidR="00230A3D" w:rsidRPr="001B0488">
        <w:rPr>
          <w:sz w:val="14"/>
          <w:szCs w:val="14"/>
        </w:rPr>
        <w:t>Clare Linley - (from 13/05/20 - 30/06/2021) is in a joint post with North Lincolnshire CCG and Hull CCG.The values above relate to Hull CCG, however Clare Linley's full annual salary banding is £105-£110k (£25-30k to end June 21</w:t>
      </w:r>
      <w:r w:rsidRPr="00230A3D">
        <w:rPr>
          <w:rFonts w:cs="Arial"/>
          <w:sz w:val="14"/>
          <w:szCs w:val="14"/>
        </w:rPr>
        <w:tab/>
      </w:r>
      <w:r w:rsidRPr="00230A3D">
        <w:rPr>
          <w:rFonts w:cs="Arial"/>
          <w:sz w:val="14"/>
          <w:szCs w:val="14"/>
        </w:rPr>
        <w:tab/>
      </w:r>
      <w:r w:rsidRPr="00230A3D">
        <w:rPr>
          <w:rFonts w:cs="Arial"/>
          <w:sz w:val="14"/>
          <w:szCs w:val="14"/>
        </w:rPr>
        <w:tab/>
      </w:r>
    </w:p>
    <w:p w14:paraId="1D95869E" w14:textId="6D64F6DE" w:rsidR="008C35A9" w:rsidRPr="001B0488" w:rsidRDefault="003A10B8" w:rsidP="001B0488">
      <w:pPr>
        <w:spacing w:before="0" w:after="0" w:line="240" w:lineRule="auto"/>
        <w:rPr>
          <w:rFonts w:cs="Arial"/>
          <w:sz w:val="14"/>
          <w:szCs w:val="14"/>
        </w:rPr>
      </w:pPr>
      <w:r w:rsidRPr="00CE006A">
        <w:rPr>
          <w:rFonts w:cs="Arial"/>
          <w:sz w:val="14"/>
          <w:szCs w:val="14"/>
        </w:rPr>
        <w:t>Pension related benefits are the increase in the annual pension entitlement determined in accordance with the HMRC method. This compares the accrued pension and the lump sum at retirement age at the end of the financial year against the same figures of the beginning on the financial adjusted for inflation. The difference is then multiplied by 20 which represents the average number of years an employee receives their pension (20 years is a figure set out in the Department of Health Group Accounting Manual).</w:t>
      </w:r>
    </w:p>
    <w:p w14:paraId="0C5A1B3E" w14:textId="55609A1C" w:rsidR="002A2F50" w:rsidRPr="00A558A4" w:rsidRDefault="0047744C" w:rsidP="00B66DE2">
      <w:pPr>
        <w:pStyle w:val="Heading3"/>
        <w:spacing w:line="240" w:lineRule="auto"/>
        <w:rPr>
          <w:rFonts w:cs="Arial"/>
          <w:sz w:val="22"/>
        </w:rPr>
      </w:pPr>
      <w:bookmarkStart w:id="139" w:name="_Toc103695057"/>
      <w:r w:rsidRPr="00DD0A7F">
        <w:lastRenderedPageBreak/>
        <w:t>Senior manager remuneration 20</w:t>
      </w:r>
      <w:r w:rsidR="00EA3F59">
        <w:t>20</w:t>
      </w:r>
      <w:r w:rsidRPr="00DD0A7F">
        <w:t>-</w:t>
      </w:r>
      <w:r w:rsidR="004D5206">
        <w:t>2</w:t>
      </w:r>
      <w:r w:rsidR="00EA3F59">
        <w:t>1</w:t>
      </w:r>
      <w:r w:rsidRPr="00DD0A7F">
        <w:t xml:space="preserve"> (including salary and pension entitlements) (subject to audit)</w:t>
      </w:r>
      <w:bookmarkEnd w:id="139"/>
      <w:r w:rsidRPr="00A558A4">
        <w:rPr>
          <w:rFonts w:cs="Arial"/>
          <w:sz w:val="22"/>
        </w:rPr>
        <w:t xml:space="preserve"> </w:t>
      </w:r>
    </w:p>
    <w:tbl>
      <w:tblPr>
        <w:tblStyle w:val="TableGrid"/>
        <w:tblW w:w="0" w:type="auto"/>
        <w:tblLook w:val="04A0" w:firstRow="1" w:lastRow="0" w:firstColumn="1" w:lastColumn="0" w:noHBand="0" w:noVBand="1"/>
      </w:tblPr>
      <w:tblGrid>
        <w:gridCol w:w="5970"/>
        <w:gridCol w:w="1497"/>
        <w:gridCol w:w="1295"/>
        <w:gridCol w:w="1684"/>
        <w:gridCol w:w="1428"/>
        <w:gridCol w:w="1050"/>
        <w:gridCol w:w="1636"/>
      </w:tblGrid>
      <w:tr w:rsidR="00EA3F59" w:rsidRPr="00015A68" w14:paraId="2F11066B" w14:textId="77777777" w:rsidTr="00CE006A">
        <w:trPr>
          <w:trHeight w:val="1152"/>
        </w:trPr>
        <w:tc>
          <w:tcPr>
            <w:tcW w:w="5970" w:type="dxa"/>
            <w:vMerge w:val="restart"/>
            <w:noWrap/>
            <w:hideMark/>
          </w:tcPr>
          <w:p w14:paraId="75C6CE27" w14:textId="77777777" w:rsidR="00EA3F59" w:rsidRPr="00015A68" w:rsidRDefault="00EA3F59" w:rsidP="00EA3F59">
            <w:pPr>
              <w:spacing w:before="0" w:after="0"/>
              <w:rPr>
                <w:rFonts w:cs="Arial"/>
                <w:b/>
                <w:bCs/>
                <w:sz w:val="20"/>
                <w:szCs w:val="20"/>
              </w:rPr>
            </w:pPr>
            <w:r w:rsidRPr="00015A68">
              <w:rPr>
                <w:rFonts w:cs="Arial"/>
                <w:b/>
                <w:bCs/>
                <w:sz w:val="20"/>
                <w:szCs w:val="20"/>
              </w:rPr>
              <w:t>Name and Title</w:t>
            </w:r>
          </w:p>
        </w:tc>
        <w:tc>
          <w:tcPr>
            <w:tcW w:w="1497" w:type="dxa"/>
            <w:hideMark/>
          </w:tcPr>
          <w:p w14:paraId="66DFAEE5" w14:textId="77777777" w:rsidR="00EA3F59" w:rsidRPr="00015A68" w:rsidRDefault="00EA3F59" w:rsidP="00EA3F59">
            <w:pPr>
              <w:spacing w:before="0" w:after="0"/>
              <w:rPr>
                <w:rFonts w:cs="Arial"/>
                <w:b/>
                <w:bCs/>
                <w:sz w:val="20"/>
                <w:szCs w:val="20"/>
              </w:rPr>
            </w:pPr>
            <w:r w:rsidRPr="00015A68">
              <w:rPr>
                <w:rFonts w:cs="Arial"/>
                <w:b/>
                <w:bCs/>
                <w:sz w:val="20"/>
                <w:szCs w:val="20"/>
              </w:rPr>
              <w:t>(a)Salary (Bands of £5,000)</w:t>
            </w:r>
          </w:p>
        </w:tc>
        <w:tc>
          <w:tcPr>
            <w:tcW w:w="1295" w:type="dxa"/>
            <w:hideMark/>
          </w:tcPr>
          <w:p w14:paraId="2E45636E" w14:textId="77777777" w:rsidR="00EA3F59" w:rsidRPr="00015A68" w:rsidRDefault="00EA3F59" w:rsidP="00EA3F59">
            <w:pPr>
              <w:spacing w:before="0" w:after="0"/>
              <w:rPr>
                <w:rFonts w:cs="Arial"/>
                <w:b/>
                <w:bCs/>
                <w:sz w:val="20"/>
                <w:szCs w:val="20"/>
              </w:rPr>
            </w:pPr>
            <w:r w:rsidRPr="00015A68">
              <w:rPr>
                <w:rFonts w:cs="Arial"/>
                <w:b/>
                <w:bCs/>
                <w:sz w:val="20"/>
                <w:szCs w:val="20"/>
              </w:rPr>
              <w:t>(b)Expense payments (taxable) to nearest £100*</w:t>
            </w:r>
          </w:p>
        </w:tc>
        <w:tc>
          <w:tcPr>
            <w:tcW w:w="1684" w:type="dxa"/>
            <w:hideMark/>
          </w:tcPr>
          <w:p w14:paraId="37043D71" w14:textId="77777777" w:rsidR="00EA3F59" w:rsidRPr="00015A68" w:rsidRDefault="00EA3F59" w:rsidP="00EA3F59">
            <w:pPr>
              <w:spacing w:before="0" w:after="0"/>
              <w:rPr>
                <w:rFonts w:cs="Arial"/>
                <w:b/>
                <w:bCs/>
                <w:sz w:val="20"/>
                <w:szCs w:val="20"/>
              </w:rPr>
            </w:pPr>
            <w:r w:rsidRPr="00015A68">
              <w:rPr>
                <w:rFonts w:cs="Arial"/>
                <w:b/>
                <w:bCs/>
                <w:sz w:val="20"/>
                <w:szCs w:val="20"/>
              </w:rPr>
              <w:t>(c)Performance pay and bonuses (bands of £5,000)</w:t>
            </w:r>
          </w:p>
        </w:tc>
        <w:tc>
          <w:tcPr>
            <w:tcW w:w="1428" w:type="dxa"/>
            <w:hideMark/>
          </w:tcPr>
          <w:p w14:paraId="38B5E0A8" w14:textId="77777777" w:rsidR="00EA3F59" w:rsidRPr="00015A68" w:rsidRDefault="00EA3F59" w:rsidP="00EA3F59">
            <w:pPr>
              <w:spacing w:before="0" w:after="0"/>
              <w:rPr>
                <w:rFonts w:cs="Arial"/>
                <w:b/>
                <w:bCs/>
                <w:sz w:val="20"/>
                <w:szCs w:val="20"/>
              </w:rPr>
            </w:pPr>
            <w:r w:rsidRPr="00015A68">
              <w:rPr>
                <w:rFonts w:cs="Arial"/>
                <w:b/>
                <w:bCs/>
                <w:sz w:val="20"/>
                <w:szCs w:val="20"/>
              </w:rPr>
              <w:t>(d)Long term performance pay and bonuses (bands of £5,000)</w:t>
            </w:r>
          </w:p>
        </w:tc>
        <w:tc>
          <w:tcPr>
            <w:tcW w:w="1050" w:type="dxa"/>
            <w:hideMark/>
          </w:tcPr>
          <w:p w14:paraId="3478673F" w14:textId="77777777" w:rsidR="00EA3F59" w:rsidRPr="00015A68" w:rsidRDefault="00EA3F59" w:rsidP="00EA3F59">
            <w:pPr>
              <w:spacing w:before="0" w:after="0"/>
              <w:rPr>
                <w:rFonts w:cs="Arial"/>
                <w:b/>
                <w:bCs/>
                <w:sz w:val="20"/>
                <w:szCs w:val="20"/>
              </w:rPr>
            </w:pPr>
            <w:r w:rsidRPr="00015A68">
              <w:rPr>
                <w:rFonts w:cs="Arial"/>
                <w:b/>
                <w:bCs/>
                <w:sz w:val="20"/>
                <w:szCs w:val="20"/>
              </w:rPr>
              <w:t>(e)All pension-related benefits (bands of £2,500)</w:t>
            </w:r>
          </w:p>
        </w:tc>
        <w:tc>
          <w:tcPr>
            <w:tcW w:w="1636" w:type="dxa"/>
            <w:hideMark/>
          </w:tcPr>
          <w:p w14:paraId="0A1DAA0A" w14:textId="77777777" w:rsidR="00EA3F59" w:rsidRPr="00015A68" w:rsidRDefault="00EA3F59" w:rsidP="00EA3F59">
            <w:pPr>
              <w:spacing w:before="0" w:after="0"/>
              <w:rPr>
                <w:rFonts w:cs="Arial"/>
                <w:b/>
                <w:bCs/>
                <w:sz w:val="20"/>
                <w:szCs w:val="20"/>
              </w:rPr>
            </w:pPr>
            <w:r w:rsidRPr="00015A68">
              <w:rPr>
                <w:rFonts w:cs="Arial"/>
                <w:b/>
                <w:bCs/>
                <w:sz w:val="20"/>
                <w:szCs w:val="20"/>
              </w:rPr>
              <w:t>(f) TOTAL (a to e) (Bands of £5,000)</w:t>
            </w:r>
          </w:p>
        </w:tc>
      </w:tr>
      <w:tr w:rsidR="00EA3F59" w:rsidRPr="00015A68" w14:paraId="6D13E654" w14:textId="77777777" w:rsidTr="00CE006A">
        <w:trPr>
          <w:trHeight w:val="288"/>
        </w:trPr>
        <w:tc>
          <w:tcPr>
            <w:tcW w:w="5970" w:type="dxa"/>
            <w:vMerge/>
            <w:hideMark/>
          </w:tcPr>
          <w:p w14:paraId="3B3006F8" w14:textId="77777777" w:rsidR="00EA3F59" w:rsidRPr="00015A68" w:rsidRDefault="00EA3F59" w:rsidP="00EA3F59">
            <w:pPr>
              <w:spacing w:before="0" w:after="0"/>
              <w:rPr>
                <w:rFonts w:cs="Arial"/>
                <w:b/>
                <w:bCs/>
                <w:sz w:val="20"/>
                <w:szCs w:val="20"/>
              </w:rPr>
            </w:pPr>
          </w:p>
        </w:tc>
        <w:tc>
          <w:tcPr>
            <w:tcW w:w="1497" w:type="dxa"/>
            <w:hideMark/>
          </w:tcPr>
          <w:p w14:paraId="3C88389A" w14:textId="77777777" w:rsidR="00EA3F59" w:rsidRPr="00015A68" w:rsidRDefault="00EA3F59" w:rsidP="00EA3F59">
            <w:pPr>
              <w:spacing w:before="0" w:after="0"/>
              <w:rPr>
                <w:rFonts w:cs="Arial"/>
                <w:b/>
                <w:bCs/>
                <w:sz w:val="20"/>
                <w:szCs w:val="20"/>
              </w:rPr>
            </w:pPr>
            <w:r w:rsidRPr="00015A68">
              <w:rPr>
                <w:rFonts w:cs="Arial"/>
                <w:b/>
                <w:bCs/>
                <w:sz w:val="20"/>
                <w:szCs w:val="20"/>
              </w:rPr>
              <w:t>£000</w:t>
            </w:r>
          </w:p>
        </w:tc>
        <w:tc>
          <w:tcPr>
            <w:tcW w:w="1295" w:type="dxa"/>
            <w:hideMark/>
          </w:tcPr>
          <w:p w14:paraId="50F043FC" w14:textId="77777777" w:rsidR="00EA3F59" w:rsidRPr="00015A68" w:rsidRDefault="00EA3F59" w:rsidP="00EA3F59">
            <w:pPr>
              <w:spacing w:before="0" w:after="0"/>
              <w:rPr>
                <w:rFonts w:cs="Arial"/>
                <w:b/>
                <w:bCs/>
                <w:sz w:val="20"/>
                <w:szCs w:val="20"/>
              </w:rPr>
            </w:pPr>
            <w:r w:rsidRPr="00015A68">
              <w:rPr>
                <w:rFonts w:cs="Arial"/>
                <w:b/>
                <w:bCs/>
                <w:sz w:val="20"/>
                <w:szCs w:val="20"/>
              </w:rPr>
              <w:t>£</w:t>
            </w:r>
          </w:p>
        </w:tc>
        <w:tc>
          <w:tcPr>
            <w:tcW w:w="1684" w:type="dxa"/>
            <w:hideMark/>
          </w:tcPr>
          <w:p w14:paraId="2C6D04CC" w14:textId="77777777" w:rsidR="00EA3F59" w:rsidRPr="00015A68" w:rsidRDefault="00EA3F59" w:rsidP="00EA3F59">
            <w:pPr>
              <w:spacing w:before="0" w:after="0"/>
              <w:rPr>
                <w:rFonts w:cs="Arial"/>
                <w:b/>
                <w:bCs/>
                <w:sz w:val="20"/>
                <w:szCs w:val="20"/>
              </w:rPr>
            </w:pPr>
            <w:r w:rsidRPr="00015A68">
              <w:rPr>
                <w:rFonts w:cs="Arial"/>
                <w:b/>
                <w:bCs/>
                <w:sz w:val="20"/>
                <w:szCs w:val="20"/>
              </w:rPr>
              <w:t>£000</w:t>
            </w:r>
          </w:p>
        </w:tc>
        <w:tc>
          <w:tcPr>
            <w:tcW w:w="1428" w:type="dxa"/>
            <w:hideMark/>
          </w:tcPr>
          <w:p w14:paraId="6D5DCF50" w14:textId="77777777" w:rsidR="00EA3F59" w:rsidRPr="00015A68" w:rsidRDefault="00EA3F59" w:rsidP="00EA3F59">
            <w:pPr>
              <w:spacing w:before="0" w:after="0"/>
              <w:rPr>
                <w:rFonts w:cs="Arial"/>
                <w:b/>
                <w:bCs/>
                <w:sz w:val="20"/>
                <w:szCs w:val="20"/>
              </w:rPr>
            </w:pPr>
            <w:r w:rsidRPr="00015A68">
              <w:rPr>
                <w:rFonts w:cs="Arial"/>
                <w:b/>
                <w:bCs/>
                <w:sz w:val="20"/>
                <w:szCs w:val="20"/>
              </w:rPr>
              <w:t>£000</w:t>
            </w:r>
          </w:p>
        </w:tc>
        <w:tc>
          <w:tcPr>
            <w:tcW w:w="1050" w:type="dxa"/>
            <w:hideMark/>
          </w:tcPr>
          <w:p w14:paraId="42E71BA9" w14:textId="77777777" w:rsidR="00EA3F59" w:rsidRPr="00015A68" w:rsidRDefault="00EA3F59" w:rsidP="00EA3F59">
            <w:pPr>
              <w:spacing w:before="0" w:after="0"/>
              <w:rPr>
                <w:rFonts w:cs="Arial"/>
                <w:b/>
                <w:bCs/>
                <w:sz w:val="20"/>
                <w:szCs w:val="20"/>
              </w:rPr>
            </w:pPr>
            <w:r w:rsidRPr="00015A68">
              <w:rPr>
                <w:rFonts w:cs="Arial"/>
                <w:b/>
                <w:bCs/>
                <w:sz w:val="20"/>
                <w:szCs w:val="20"/>
              </w:rPr>
              <w:t>£000</w:t>
            </w:r>
          </w:p>
        </w:tc>
        <w:tc>
          <w:tcPr>
            <w:tcW w:w="1636" w:type="dxa"/>
            <w:hideMark/>
          </w:tcPr>
          <w:p w14:paraId="371CF5F1" w14:textId="77777777" w:rsidR="00EA3F59" w:rsidRPr="00015A68" w:rsidRDefault="00EA3F59" w:rsidP="00EA3F59">
            <w:pPr>
              <w:spacing w:before="0" w:after="0"/>
              <w:rPr>
                <w:rFonts w:cs="Arial"/>
                <w:b/>
                <w:bCs/>
                <w:sz w:val="20"/>
                <w:szCs w:val="20"/>
              </w:rPr>
            </w:pPr>
            <w:r w:rsidRPr="00015A68">
              <w:rPr>
                <w:rFonts w:cs="Arial"/>
                <w:b/>
                <w:bCs/>
                <w:sz w:val="20"/>
                <w:szCs w:val="20"/>
              </w:rPr>
              <w:t>£000</w:t>
            </w:r>
          </w:p>
        </w:tc>
      </w:tr>
      <w:tr w:rsidR="00EA3F59" w:rsidRPr="00015A68" w14:paraId="6392C631" w14:textId="77777777" w:rsidTr="00CE006A">
        <w:trPr>
          <w:trHeight w:val="288"/>
        </w:trPr>
        <w:tc>
          <w:tcPr>
            <w:tcW w:w="5970" w:type="dxa"/>
            <w:noWrap/>
            <w:hideMark/>
          </w:tcPr>
          <w:p w14:paraId="2F78252B" w14:textId="77777777" w:rsidR="00EA3F59" w:rsidRPr="00015A68" w:rsidRDefault="00EA3F59" w:rsidP="00EA3F59">
            <w:pPr>
              <w:spacing w:before="0" w:after="0"/>
              <w:rPr>
                <w:rFonts w:cs="Arial"/>
                <w:sz w:val="20"/>
                <w:szCs w:val="20"/>
              </w:rPr>
            </w:pPr>
            <w:r w:rsidRPr="00015A68">
              <w:rPr>
                <w:rFonts w:cs="Arial"/>
                <w:sz w:val="20"/>
                <w:szCs w:val="20"/>
              </w:rPr>
              <w:t>Emma Latimer - Chief Officer**</w:t>
            </w:r>
          </w:p>
        </w:tc>
        <w:tc>
          <w:tcPr>
            <w:tcW w:w="1497" w:type="dxa"/>
            <w:hideMark/>
          </w:tcPr>
          <w:p w14:paraId="2F36B7D1" w14:textId="77777777" w:rsidR="00EA3F59" w:rsidRPr="00015A68" w:rsidRDefault="00EA3F59" w:rsidP="00EA3F59">
            <w:pPr>
              <w:spacing w:before="0" w:after="0"/>
              <w:rPr>
                <w:rFonts w:cs="Arial"/>
                <w:sz w:val="20"/>
                <w:szCs w:val="20"/>
              </w:rPr>
            </w:pPr>
            <w:r w:rsidRPr="00015A68">
              <w:rPr>
                <w:rFonts w:cs="Arial"/>
                <w:sz w:val="20"/>
                <w:szCs w:val="20"/>
              </w:rPr>
              <w:t>50-55</w:t>
            </w:r>
          </w:p>
        </w:tc>
        <w:tc>
          <w:tcPr>
            <w:tcW w:w="1295" w:type="dxa"/>
            <w:hideMark/>
          </w:tcPr>
          <w:p w14:paraId="6136948E" w14:textId="77777777" w:rsidR="00EA3F59" w:rsidRPr="00015A68" w:rsidRDefault="00EA3F59" w:rsidP="00EA3F59">
            <w:pPr>
              <w:spacing w:before="0" w:after="0"/>
              <w:rPr>
                <w:rFonts w:cs="Arial"/>
                <w:sz w:val="20"/>
                <w:szCs w:val="20"/>
              </w:rPr>
            </w:pPr>
            <w:r w:rsidRPr="00015A68">
              <w:rPr>
                <w:rFonts w:cs="Arial"/>
                <w:sz w:val="20"/>
                <w:szCs w:val="20"/>
              </w:rPr>
              <w:t>2,800</w:t>
            </w:r>
          </w:p>
        </w:tc>
        <w:tc>
          <w:tcPr>
            <w:tcW w:w="1684" w:type="dxa"/>
            <w:hideMark/>
          </w:tcPr>
          <w:p w14:paraId="05EDFE4E" w14:textId="77777777" w:rsidR="00EA3F59" w:rsidRPr="00015A68" w:rsidRDefault="00EA3F59" w:rsidP="00EA3F59">
            <w:pPr>
              <w:spacing w:before="0" w:after="0"/>
              <w:rPr>
                <w:rFonts w:cs="Arial"/>
                <w:sz w:val="20"/>
                <w:szCs w:val="20"/>
              </w:rPr>
            </w:pPr>
            <w:r w:rsidRPr="00015A68">
              <w:rPr>
                <w:rFonts w:cs="Arial"/>
                <w:sz w:val="20"/>
                <w:szCs w:val="20"/>
              </w:rPr>
              <w:t>5-10</w:t>
            </w:r>
          </w:p>
        </w:tc>
        <w:tc>
          <w:tcPr>
            <w:tcW w:w="1428" w:type="dxa"/>
            <w:hideMark/>
          </w:tcPr>
          <w:p w14:paraId="1641AD56"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050" w:type="dxa"/>
            <w:hideMark/>
          </w:tcPr>
          <w:p w14:paraId="70A37C27" w14:textId="77777777" w:rsidR="00EA3F59" w:rsidRPr="00015A68" w:rsidRDefault="00EA3F59" w:rsidP="00EA3F59">
            <w:pPr>
              <w:spacing w:before="0" w:after="0"/>
              <w:rPr>
                <w:rFonts w:cs="Arial"/>
                <w:sz w:val="20"/>
                <w:szCs w:val="20"/>
              </w:rPr>
            </w:pPr>
            <w:r w:rsidRPr="00015A68">
              <w:rPr>
                <w:rFonts w:cs="Arial"/>
                <w:sz w:val="20"/>
                <w:szCs w:val="20"/>
              </w:rPr>
              <w:t>0-2.5</w:t>
            </w:r>
          </w:p>
        </w:tc>
        <w:tc>
          <w:tcPr>
            <w:tcW w:w="1636" w:type="dxa"/>
            <w:hideMark/>
          </w:tcPr>
          <w:p w14:paraId="4ADEE20C" w14:textId="77777777" w:rsidR="00EA3F59" w:rsidRPr="00015A68" w:rsidRDefault="00EA3F59" w:rsidP="00EA3F59">
            <w:pPr>
              <w:spacing w:before="0" w:after="0"/>
              <w:rPr>
                <w:rFonts w:cs="Arial"/>
                <w:sz w:val="20"/>
                <w:szCs w:val="20"/>
              </w:rPr>
            </w:pPr>
            <w:r w:rsidRPr="00015A68">
              <w:rPr>
                <w:rFonts w:cs="Arial"/>
                <w:sz w:val="20"/>
                <w:szCs w:val="20"/>
              </w:rPr>
              <w:t>60-65</w:t>
            </w:r>
          </w:p>
        </w:tc>
      </w:tr>
      <w:tr w:rsidR="00EA3F59" w:rsidRPr="00015A68" w14:paraId="57D0501B" w14:textId="77777777" w:rsidTr="00CE006A">
        <w:trPr>
          <w:trHeight w:val="288"/>
        </w:trPr>
        <w:tc>
          <w:tcPr>
            <w:tcW w:w="5970" w:type="dxa"/>
            <w:noWrap/>
            <w:hideMark/>
          </w:tcPr>
          <w:p w14:paraId="10CA2BDB" w14:textId="77777777" w:rsidR="00EA3F59" w:rsidRPr="00015A68" w:rsidRDefault="00EA3F59" w:rsidP="00EA3F59">
            <w:pPr>
              <w:spacing w:before="0" w:after="0"/>
              <w:rPr>
                <w:rFonts w:cs="Arial"/>
                <w:sz w:val="20"/>
                <w:szCs w:val="20"/>
              </w:rPr>
            </w:pPr>
            <w:r w:rsidRPr="00015A68">
              <w:rPr>
                <w:rFonts w:cs="Arial"/>
                <w:sz w:val="20"/>
                <w:szCs w:val="20"/>
              </w:rPr>
              <w:t>Emma Sayner - Chief Finance Officer***</w:t>
            </w:r>
          </w:p>
        </w:tc>
        <w:tc>
          <w:tcPr>
            <w:tcW w:w="1497" w:type="dxa"/>
            <w:hideMark/>
          </w:tcPr>
          <w:p w14:paraId="3701332C" w14:textId="77777777" w:rsidR="00EA3F59" w:rsidRPr="00015A68" w:rsidRDefault="00EA3F59" w:rsidP="00EA3F59">
            <w:pPr>
              <w:spacing w:before="0" w:after="0"/>
              <w:rPr>
                <w:rFonts w:cs="Arial"/>
                <w:sz w:val="20"/>
                <w:szCs w:val="20"/>
              </w:rPr>
            </w:pPr>
            <w:r w:rsidRPr="00015A68">
              <w:rPr>
                <w:rFonts w:cs="Arial"/>
                <w:sz w:val="20"/>
                <w:szCs w:val="20"/>
              </w:rPr>
              <w:t>55-60</w:t>
            </w:r>
          </w:p>
        </w:tc>
        <w:tc>
          <w:tcPr>
            <w:tcW w:w="1295" w:type="dxa"/>
            <w:hideMark/>
          </w:tcPr>
          <w:p w14:paraId="4414E4D1" w14:textId="77777777" w:rsidR="00EA3F59" w:rsidRPr="00015A68" w:rsidRDefault="00EA3F59" w:rsidP="00EA3F59">
            <w:pPr>
              <w:spacing w:before="0" w:after="0"/>
              <w:rPr>
                <w:rFonts w:cs="Arial"/>
                <w:sz w:val="20"/>
                <w:szCs w:val="20"/>
              </w:rPr>
            </w:pPr>
            <w:r w:rsidRPr="00015A68">
              <w:rPr>
                <w:rFonts w:cs="Arial"/>
                <w:sz w:val="20"/>
                <w:szCs w:val="20"/>
              </w:rPr>
              <w:t>3,600</w:t>
            </w:r>
          </w:p>
        </w:tc>
        <w:tc>
          <w:tcPr>
            <w:tcW w:w="1684" w:type="dxa"/>
            <w:hideMark/>
          </w:tcPr>
          <w:p w14:paraId="709B0ADA" w14:textId="77777777" w:rsidR="00EA3F59" w:rsidRPr="00015A68" w:rsidRDefault="00EA3F59" w:rsidP="00EA3F59">
            <w:pPr>
              <w:spacing w:before="0" w:after="0"/>
              <w:rPr>
                <w:rFonts w:cs="Arial"/>
                <w:sz w:val="20"/>
                <w:szCs w:val="20"/>
              </w:rPr>
            </w:pPr>
            <w:r w:rsidRPr="00015A68">
              <w:rPr>
                <w:rFonts w:cs="Arial"/>
                <w:sz w:val="20"/>
                <w:szCs w:val="20"/>
              </w:rPr>
              <w:t>5-10</w:t>
            </w:r>
          </w:p>
        </w:tc>
        <w:tc>
          <w:tcPr>
            <w:tcW w:w="1428" w:type="dxa"/>
            <w:hideMark/>
          </w:tcPr>
          <w:p w14:paraId="06FC40BD"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050" w:type="dxa"/>
            <w:hideMark/>
          </w:tcPr>
          <w:p w14:paraId="164C49BC" w14:textId="77777777" w:rsidR="00EA3F59" w:rsidRPr="00015A68" w:rsidRDefault="00EA3F59" w:rsidP="00EA3F59">
            <w:pPr>
              <w:spacing w:before="0" w:after="0"/>
              <w:rPr>
                <w:rFonts w:cs="Arial"/>
                <w:sz w:val="20"/>
                <w:szCs w:val="20"/>
              </w:rPr>
            </w:pPr>
            <w:r w:rsidRPr="00015A68">
              <w:rPr>
                <w:rFonts w:cs="Arial"/>
                <w:sz w:val="20"/>
                <w:szCs w:val="20"/>
              </w:rPr>
              <w:t>10-12.5</w:t>
            </w:r>
          </w:p>
        </w:tc>
        <w:tc>
          <w:tcPr>
            <w:tcW w:w="1636" w:type="dxa"/>
            <w:hideMark/>
          </w:tcPr>
          <w:p w14:paraId="07B5782F" w14:textId="77777777" w:rsidR="00EA3F59" w:rsidRPr="00015A68" w:rsidRDefault="00EA3F59" w:rsidP="00EA3F59">
            <w:pPr>
              <w:spacing w:before="0" w:after="0"/>
              <w:rPr>
                <w:rFonts w:cs="Arial"/>
                <w:sz w:val="20"/>
                <w:szCs w:val="20"/>
              </w:rPr>
            </w:pPr>
            <w:r w:rsidRPr="00015A68">
              <w:rPr>
                <w:rFonts w:cs="Arial"/>
                <w:sz w:val="20"/>
                <w:szCs w:val="20"/>
              </w:rPr>
              <w:t>75-80</w:t>
            </w:r>
          </w:p>
        </w:tc>
      </w:tr>
      <w:tr w:rsidR="00EA3F59" w:rsidRPr="00015A68" w14:paraId="344E3B66" w14:textId="77777777" w:rsidTr="00CE006A">
        <w:trPr>
          <w:trHeight w:val="288"/>
        </w:trPr>
        <w:tc>
          <w:tcPr>
            <w:tcW w:w="5970" w:type="dxa"/>
            <w:noWrap/>
            <w:hideMark/>
          </w:tcPr>
          <w:p w14:paraId="6D9DFC04" w14:textId="77777777" w:rsidR="00EA3F59" w:rsidRPr="00015A68" w:rsidRDefault="00EA3F59" w:rsidP="00EA3F59">
            <w:pPr>
              <w:spacing w:before="0" w:after="0"/>
              <w:rPr>
                <w:rFonts w:cs="Arial"/>
                <w:sz w:val="20"/>
                <w:szCs w:val="20"/>
              </w:rPr>
            </w:pPr>
            <w:r w:rsidRPr="00015A68">
              <w:rPr>
                <w:rFonts w:cs="Arial"/>
                <w:sz w:val="20"/>
                <w:szCs w:val="20"/>
              </w:rPr>
              <w:t>Erica Daley - Interim Chief Operating Officer</w:t>
            </w:r>
          </w:p>
        </w:tc>
        <w:tc>
          <w:tcPr>
            <w:tcW w:w="1497" w:type="dxa"/>
            <w:hideMark/>
          </w:tcPr>
          <w:p w14:paraId="60DA07FB" w14:textId="77777777" w:rsidR="00EA3F59" w:rsidRPr="00015A68" w:rsidRDefault="00EA3F59" w:rsidP="00EA3F59">
            <w:pPr>
              <w:spacing w:before="0" w:after="0"/>
              <w:rPr>
                <w:rFonts w:cs="Arial"/>
                <w:sz w:val="20"/>
                <w:szCs w:val="20"/>
              </w:rPr>
            </w:pPr>
            <w:r w:rsidRPr="00015A68">
              <w:rPr>
                <w:rFonts w:cs="Arial"/>
                <w:sz w:val="20"/>
                <w:szCs w:val="20"/>
              </w:rPr>
              <w:t>105-110</w:t>
            </w:r>
          </w:p>
        </w:tc>
        <w:tc>
          <w:tcPr>
            <w:tcW w:w="1295" w:type="dxa"/>
            <w:hideMark/>
          </w:tcPr>
          <w:p w14:paraId="277122FE" w14:textId="77777777" w:rsidR="00EA3F59" w:rsidRPr="00015A68" w:rsidRDefault="00EA3F59" w:rsidP="00EA3F59">
            <w:pPr>
              <w:spacing w:before="0" w:after="0"/>
              <w:rPr>
                <w:rFonts w:cs="Arial"/>
                <w:sz w:val="20"/>
                <w:szCs w:val="20"/>
              </w:rPr>
            </w:pPr>
            <w:r w:rsidRPr="00015A68">
              <w:rPr>
                <w:rFonts w:cs="Arial"/>
                <w:sz w:val="20"/>
                <w:szCs w:val="20"/>
              </w:rPr>
              <w:t>5,200</w:t>
            </w:r>
          </w:p>
        </w:tc>
        <w:tc>
          <w:tcPr>
            <w:tcW w:w="1684" w:type="dxa"/>
            <w:hideMark/>
          </w:tcPr>
          <w:p w14:paraId="3A5838F3"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428" w:type="dxa"/>
            <w:hideMark/>
          </w:tcPr>
          <w:p w14:paraId="658D9179"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050" w:type="dxa"/>
            <w:hideMark/>
          </w:tcPr>
          <w:p w14:paraId="0312CEF0" w14:textId="77777777" w:rsidR="00EA3F59" w:rsidRPr="00015A68" w:rsidRDefault="00EA3F59" w:rsidP="00EA3F59">
            <w:pPr>
              <w:spacing w:before="0" w:after="0"/>
              <w:rPr>
                <w:rFonts w:cs="Arial"/>
                <w:sz w:val="20"/>
                <w:szCs w:val="20"/>
              </w:rPr>
            </w:pPr>
            <w:r w:rsidRPr="00015A68">
              <w:rPr>
                <w:rFonts w:cs="Arial"/>
                <w:sz w:val="20"/>
                <w:szCs w:val="20"/>
              </w:rPr>
              <w:t>0-2.5</w:t>
            </w:r>
          </w:p>
        </w:tc>
        <w:tc>
          <w:tcPr>
            <w:tcW w:w="1636" w:type="dxa"/>
            <w:hideMark/>
          </w:tcPr>
          <w:p w14:paraId="039989F5" w14:textId="77777777" w:rsidR="00EA3F59" w:rsidRPr="00015A68" w:rsidRDefault="00EA3F59" w:rsidP="00EA3F59">
            <w:pPr>
              <w:spacing w:before="0" w:after="0"/>
              <w:rPr>
                <w:rFonts w:cs="Arial"/>
                <w:sz w:val="20"/>
                <w:szCs w:val="20"/>
              </w:rPr>
            </w:pPr>
            <w:r w:rsidRPr="00015A68">
              <w:rPr>
                <w:rFonts w:cs="Arial"/>
                <w:sz w:val="20"/>
                <w:szCs w:val="20"/>
              </w:rPr>
              <w:t>115-120</w:t>
            </w:r>
          </w:p>
        </w:tc>
      </w:tr>
      <w:tr w:rsidR="00EA3F59" w:rsidRPr="00015A68" w14:paraId="095602FB" w14:textId="77777777" w:rsidTr="00CE006A">
        <w:trPr>
          <w:trHeight w:val="288"/>
        </w:trPr>
        <w:tc>
          <w:tcPr>
            <w:tcW w:w="5970" w:type="dxa"/>
            <w:noWrap/>
            <w:hideMark/>
          </w:tcPr>
          <w:p w14:paraId="384975C9" w14:textId="77777777" w:rsidR="00EA3F59" w:rsidRPr="00015A68" w:rsidRDefault="00EA3F59" w:rsidP="00EA3F59">
            <w:pPr>
              <w:spacing w:before="0" w:after="0"/>
              <w:rPr>
                <w:rFonts w:cs="Arial"/>
                <w:sz w:val="20"/>
                <w:szCs w:val="20"/>
              </w:rPr>
            </w:pPr>
            <w:r w:rsidRPr="00015A68">
              <w:rPr>
                <w:rFonts w:cs="Arial"/>
                <w:sz w:val="20"/>
                <w:szCs w:val="20"/>
              </w:rPr>
              <w:t>Clare Linley - Director of Nursing and Quality (Executive Nurse)****</w:t>
            </w:r>
          </w:p>
        </w:tc>
        <w:tc>
          <w:tcPr>
            <w:tcW w:w="1497" w:type="dxa"/>
            <w:hideMark/>
          </w:tcPr>
          <w:p w14:paraId="75388462" w14:textId="77777777" w:rsidR="00EA3F59" w:rsidRPr="00015A68" w:rsidRDefault="00EA3F59" w:rsidP="00EA3F59">
            <w:pPr>
              <w:spacing w:before="0" w:after="0"/>
              <w:rPr>
                <w:rFonts w:cs="Arial"/>
                <w:sz w:val="20"/>
                <w:szCs w:val="20"/>
              </w:rPr>
            </w:pPr>
            <w:r w:rsidRPr="00015A68">
              <w:rPr>
                <w:rFonts w:cs="Arial"/>
                <w:sz w:val="20"/>
                <w:szCs w:val="20"/>
              </w:rPr>
              <w:t>45-50</w:t>
            </w:r>
          </w:p>
        </w:tc>
        <w:tc>
          <w:tcPr>
            <w:tcW w:w="1295" w:type="dxa"/>
            <w:hideMark/>
          </w:tcPr>
          <w:p w14:paraId="143B9C64"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684" w:type="dxa"/>
            <w:hideMark/>
          </w:tcPr>
          <w:p w14:paraId="4DEB544F"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428" w:type="dxa"/>
            <w:hideMark/>
          </w:tcPr>
          <w:p w14:paraId="580E4C70"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050" w:type="dxa"/>
            <w:hideMark/>
          </w:tcPr>
          <w:p w14:paraId="37975A8D" w14:textId="77777777" w:rsidR="00EA3F59" w:rsidRPr="00015A68" w:rsidRDefault="00EA3F59" w:rsidP="00EA3F59">
            <w:pPr>
              <w:spacing w:before="0" w:after="0"/>
              <w:rPr>
                <w:rFonts w:cs="Arial"/>
                <w:sz w:val="20"/>
                <w:szCs w:val="20"/>
              </w:rPr>
            </w:pPr>
            <w:r w:rsidRPr="00015A68">
              <w:rPr>
                <w:rFonts w:cs="Arial"/>
                <w:sz w:val="20"/>
                <w:szCs w:val="20"/>
              </w:rPr>
              <w:t>55-57.5</w:t>
            </w:r>
          </w:p>
        </w:tc>
        <w:tc>
          <w:tcPr>
            <w:tcW w:w="1636" w:type="dxa"/>
            <w:hideMark/>
          </w:tcPr>
          <w:p w14:paraId="4479A259" w14:textId="77777777" w:rsidR="00EA3F59" w:rsidRPr="00015A68" w:rsidRDefault="00EA3F59" w:rsidP="00EA3F59">
            <w:pPr>
              <w:spacing w:before="0" w:after="0"/>
              <w:rPr>
                <w:rFonts w:cs="Arial"/>
                <w:sz w:val="20"/>
                <w:szCs w:val="20"/>
              </w:rPr>
            </w:pPr>
            <w:r w:rsidRPr="00015A68">
              <w:rPr>
                <w:rFonts w:cs="Arial"/>
                <w:sz w:val="20"/>
                <w:szCs w:val="20"/>
              </w:rPr>
              <w:t>100-105</w:t>
            </w:r>
          </w:p>
        </w:tc>
      </w:tr>
      <w:tr w:rsidR="00EA3F59" w:rsidRPr="00015A68" w14:paraId="237E6DB6" w14:textId="77777777" w:rsidTr="00CE006A">
        <w:trPr>
          <w:trHeight w:val="288"/>
        </w:trPr>
        <w:tc>
          <w:tcPr>
            <w:tcW w:w="5970" w:type="dxa"/>
            <w:noWrap/>
            <w:hideMark/>
          </w:tcPr>
          <w:p w14:paraId="43BD1812" w14:textId="77777777" w:rsidR="00EA3F59" w:rsidRPr="00015A68" w:rsidRDefault="00EA3F59" w:rsidP="00EA3F59">
            <w:pPr>
              <w:spacing w:before="0" w:after="0"/>
              <w:rPr>
                <w:rFonts w:cs="Arial"/>
                <w:sz w:val="20"/>
                <w:szCs w:val="20"/>
              </w:rPr>
            </w:pPr>
            <w:r w:rsidRPr="00015A68">
              <w:rPr>
                <w:rFonts w:cs="Arial"/>
                <w:sz w:val="20"/>
                <w:szCs w:val="20"/>
              </w:rPr>
              <w:t>Dr Daniel Roper - Chair of Clinical Commissioning Group Governing Body</w:t>
            </w:r>
          </w:p>
        </w:tc>
        <w:tc>
          <w:tcPr>
            <w:tcW w:w="1497" w:type="dxa"/>
            <w:hideMark/>
          </w:tcPr>
          <w:p w14:paraId="48514FEB" w14:textId="77777777" w:rsidR="00EA3F59" w:rsidRPr="00015A68" w:rsidRDefault="00EA3F59" w:rsidP="00EA3F59">
            <w:pPr>
              <w:spacing w:before="0" w:after="0"/>
              <w:rPr>
                <w:rFonts w:cs="Arial"/>
                <w:sz w:val="20"/>
                <w:szCs w:val="20"/>
              </w:rPr>
            </w:pPr>
            <w:r w:rsidRPr="00015A68">
              <w:rPr>
                <w:rFonts w:cs="Arial"/>
                <w:sz w:val="20"/>
                <w:szCs w:val="20"/>
              </w:rPr>
              <w:t>90-95</w:t>
            </w:r>
          </w:p>
        </w:tc>
        <w:tc>
          <w:tcPr>
            <w:tcW w:w="1295" w:type="dxa"/>
            <w:hideMark/>
          </w:tcPr>
          <w:p w14:paraId="7273BAFE"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684" w:type="dxa"/>
            <w:hideMark/>
          </w:tcPr>
          <w:p w14:paraId="5CD98D32"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428" w:type="dxa"/>
            <w:hideMark/>
          </w:tcPr>
          <w:p w14:paraId="210A98CC"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050" w:type="dxa"/>
            <w:hideMark/>
          </w:tcPr>
          <w:p w14:paraId="2E949796" w14:textId="77777777" w:rsidR="00EA3F59" w:rsidRPr="00015A68" w:rsidRDefault="00EA3F59" w:rsidP="00EA3F59">
            <w:pPr>
              <w:spacing w:before="0" w:after="0"/>
              <w:rPr>
                <w:rFonts w:cs="Arial"/>
                <w:sz w:val="20"/>
                <w:szCs w:val="20"/>
              </w:rPr>
            </w:pPr>
            <w:r w:rsidRPr="00015A68">
              <w:rPr>
                <w:rFonts w:cs="Arial"/>
                <w:sz w:val="20"/>
                <w:szCs w:val="20"/>
              </w:rPr>
              <w:t>*</w:t>
            </w:r>
          </w:p>
        </w:tc>
        <w:tc>
          <w:tcPr>
            <w:tcW w:w="1636" w:type="dxa"/>
            <w:hideMark/>
          </w:tcPr>
          <w:p w14:paraId="1588284A" w14:textId="77777777" w:rsidR="00EA3F59" w:rsidRPr="00015A68" w:rsidRDefault="00EA3F59" w:rsidP="00EA3F59">
            <w:pPr>
              <w:spacing w:before="0" w:after="0"/>
              <w:rPr>
                <w:rFonts w:cs="Arial"/>
                <w:sz w:val="20"/>
                <w:szCs w:val="20"/>
              </w:rPr>
            </w:pPr>
            <w:r w:rsidRPr="00015A68">
              <w:rPr>
                <w:rFonts w:cs="Arial"/>
                <w:sz w:val="20"/>
                <w:szCs w:val="20"/>
              </w:rPr>
              <w:t>90-95</w:t>
            </w:r>
          </w:p>
        </w:tc>
      </w:tr>
      <w:tr w:rsidR="00EA3F59" w:rsidRPr="00015A68" w14:paraId="5F0AABDC" w14:textId="77777777" w:rsidTr="00CE006A">
        <w:trPr>
          <w:trHeight w:val="288"/>
        </w:trPr>
        <w:tc>
          <w:tcPr>
            <w:tcW w:w="5970" w:type="dxa"/>
            <w:noWrap/>
            <w:hideMark/>
          </w:tcPr>
          <w:p w14:paraId="444395E4" w14:textId="77777777" w:rsidR="00EA3F59" w:rsidRPr="00015A68" w:rsidRDefault="00EA3F59" w:rsidP="00EA3F59">
            <w:pPr>
              <w:spacing w:before="0" w:after="0"/>
              <w:rPr>
                <w:rFonts w:cs="Arial"/>
                <w:sz w:val="20"/>
                <w:szCs w:val="20"/>
              </w:rPr>
            </w:pPr>
            <w:r w:rsidRPr="00015A68">
              <w:rPr>
                <w:rFonts w:cs="Arial"/>
                <w:sz w:val="20"/>
                <w:szCs w:val="20"/>
              </w:rPr>
              <w:t>Dr James Moult - Clinical Commissioning Group Governing Body Member</w:t>
            </w:r>
          </w:p>
        </w:tc>
        <w:tc>
          <w:tcPr>
            <w:tcW w:w="1497" w:type="dxa"/>
            <w:hideMark/>
          </w:tcPr>
          <w:p w14:paraId="6FDA1D33" w14:textId="77777777" w:rsidR="00EA3F59" w:rsidRPr="00015A68" w:rsidRDefault="00EA3F59" w:rsidP="00EA3F59">
            <w:pPr>
              <w:spacing w:before="0" w:after="0"/>
              <w:rPr>
                <w:rFonts w:cs="Arial"/>
                <w:sz w:val="20"/>
                <w:szCs w:val="20"/>
              </w:rPr>
            </w:pPr>
            <w:r w:rsidRPr="00015A68">
              <w:rPr>
                <w:rFonts w:cs="Arial"/>
                <w:sz w:val="20"/>
                <w:szCs w:val="20"/>
              </w:rPr>
              <w:t>35-40</w:t>
            </w:r>
          </w:p>
        </w:tc>
        <w:tc>
          <w:tcPr>
            <w:tcW w:w="1295" w:type="dxa"/>
            <w:hideMark/>
          </w:tcPr>
          <w:p w14:paraId="1D9F1169"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684" w:type="dxa"/>
            <w:hideMark/>
          </w:tcPr>
          <w:p w14:paraId="7A6BA190"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428" w:type="dxa"/>
            <w:hideMark/>
          </w:tcPr>
          <w:p w14:paraId="0E2208E7"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050" w:type="dxa"/>
            <w:hideMark/>
          </w:tcPr>
          <w:p w14:paraId="4ABC357F" w14:textId="77777777" w:rsidR="00EA3F59" w:rsidRPr="00015A68" w:rsidRDefault="00EA3F59" w:rsidP="00EA3F59">
            <w:pPr>
              <w:spacing w:before="0" w:after="0"/>
              <w:rPr>
                <w:rFonts w:cs="Arial"/>
                <w:sz w:val="20"/>
                <w:szCs w:val="20"/>
              </w:rPr>
            </w:pPr>
            <w:r w:rsidRPr="00015A68">
              <w:rPr>
                <w:rFonts w:cs="Arial"/>
                <w:sz w:val="20"/>
                <w:szCs w:val="20"/>
              </w:rPr>
              <w:t>*</w:t>
            </w:r>
          </w:p>
        </w:tc>
        <w:tc>
          <w:tcPr>
            <w:tcW w:w="1636" w:type="dxa"/>
            <w:hideMark/>
          </w:tcPr>
          <w:p w14:paraId="315D3017" w14:textId="77777777" w:rsidR="00EA3F59" w:rsidRPr="00015A68" w:rsidRDefault="00EA3F59" w:rsidP="00EA3F59">
            <w:pPr>
              <w:spacing w:before="0" w:after="0"/>
              <w:rPr>
                <w:rFonts w:cs="Arial"/>
                <w:sz w:val="20"/>
                <w:szCs w:val="20"/>
              </w:rPr>
            </w:pPr>
            <w:r w:rsidRPr="00015A68">
              <w:rPr>
                <w:rFonts w:cs="Arial"/>
                <w:sz w:val="20"/>
                <w:szCs w:val="20"/>
              </w:rPr>
              <w:t>35-40</w:t>
            </w:r>
          </w:p>
        </w:tc>
      </w:tr>
      <w:tr w:rsidR="00EA3F59" w:rsidRPr="00015A68" w14:paraId="7EDBA017" w14:textId="77777777" w:rsidTr="00CE006A">
        <w:trPr>
          <w:trHeight w:val="288"/>
        </w:trPr>
        <w:tc>
          <w:tcPr>
            <w:tcW w:w="5970" w:type="dxa"/>
            <w:noWrap/>
            <w:hideMark/>
          </w:tcPr>
          <w:p w14:paraId="376FF808" w14:textId="77777777" w:rsidR="00EA3F59" w:rsidRPr="00015A68" w:rsidRDefault="00EA3F59" w:rsidP="00EA3F59">
            <w:pPr>
              <w:spacing w:before="0" w:after="0"/>
              <w:rPr>
                <w:rFonts w:cs="Arial"/>
                <w:sz w:val="20"/>
                <w:szCs w:val="20"/>
              </w:rPr>
            </w:pPr>
            <w:r w:rsidRPr="00015A68">
              <w:rPr>
                <w:rFonts w:cs="Arial"/>
                <w:sz w:val="20"/>
                <w:szCs w:val="20"/>
              </w:rPr>
              <w:t>Dr Vincent Rawcliffe - Clinical Commissioning Group Governing Body Member</w:t>
            </w:r>
          </w:p>
        </w:tc>
        <w:tc>
          <w:tcPr>
            <w:tcW w:w="1497" w:type="dxa"/>
            <w:hideMark/>
          </w:tcPr>
          <w:p w14:paraId="5D8B0DF7" w14:textId="77777777" w:rsidR="00EA3F59" w:rsidRPr="00015A68" w:rsidRDefault="00EA3F59" w:rsidP="00EA3F59">
            <w:pPr>
              <w:spacing w:before="0" w:after="0"/>
              <w:rPr>
                <w:rFonts w:cs="Arial"/>
                <w:sz w:val="20"/>
                <w:szCs w:val="20"/>
              </w:rPr>
            </w:pPr>
            <w:r w:rsidRPr="00015A68">
              <w:rPr>
                <w:rFonts w:cs="Arial"/>
                <w:sz w:val="20"/>
                <w:szCs w:val="20"/>
              </w:rPr>
              <w:t>35-40</w:t>
            </w:r>
          </w:p>
        </w:tc>
        <w:tc>
          <w:tcPr>
            <w:tcW w:w="1295" w:type="dxa"/>
            <w:hideMark/>
          </w:tcPr>
          <w:p w14:paraId="3AA3AC60"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684" w:type="dxa"/>
            <w:hideMark/>
          </w:tcPr>
          <w:p w14:paraId="3418AB14"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428" w:type="dxa"/>
            <w:hideMark/>
          </w:tcPr>
          <w:p w14:paraId="3167EDB1"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050" w:type="dxa"/>
            <w:hideMark/>
          </w:tcPr>
          <w:p w14:paraId="7B166774" w14:textId="77777777" w:rsidR="00EA3F59" w:rsidRPr="00015A68" w:rsidRDefault="00EA3F59" w:rsidP="00EA3F59">
            <w:pPr>
              <w:spacing w:before="0" w:after="0"/>
              <w:rPr>
                <w:rFonts w:cs="Arial"/>
                <w:sz w:val="20"/>
                <w:szCs w:val="20"/>
              </w:rPr>
            </w:pPr>
            <w:r w:rsidRPr="00015A68">
              <w:rPr>
                <w:rFonts w:cs="Arial"/>
                <w:sz w:val="20"/>
                <w:szCs w:val="20"/>
              </w:rPr>
              <w:t>*</w:t>
            </w:r>
          </w:p>
        </w:tc>
        <w:tc>
          <w:tcPr>
            <w:tcW w:w="1636" w:type="dxa"/>
            <w:hideMark/>
          </w:tcPr>
          <w:p w14:paraId="258BCA46" w14:textId="77777777" w:rsidR="00EA3F59" w:rsidRPr="00015A68" w:rsidRDefault="00EA3F59" w:rsidP="00EA3F59">
            <w:pPr>
              <w:spacing w:before="0" w:after="0"/>
              <w:rPr>
                <w:rFonts w:cs="Arial"/>
                <w:sz w:val="20"/>
                <w:szCs w:val="20"/>
              </w:rPr>
            </w:pPr>
            <w:r w:rsidRPr="00015A68">
              <w:rPr>
                <w:rFonts w:cs="Arial"/>
                <w:sz w:val="20"/>
                <w:szCs w:val="20"/>
              </w:rPr>
              <w:t>35-40</w:t>
            </w:r>
          </w:p>
        </w:tc>
      </w:tr>
      <w:tr w:rsidR="00EA3F59" w:rsidRPr="00015A68" w14:paraId="680713CB" w14:textId="77777777" w:rsidTr="00CE006A">
        <w:trPr>
          <w:trHeight w:val="288"/>
        </w:trPr>
        <w:tc>
          <w:tcPr>
            <w:tcW w:w="5970" w:type="dxa"/>
            <w:noWrap/>
            <w:hideMark/>
          </w:tcPr>
          <w:p w14:paraId="4A998931" w14:textId="77777777" w:rsidR="00EA3F59" w:rsidRPr="00015A68" w:rsidRDefault="00EA3F59" w:rsidP="00EA3F59">
            <w:pPr>
              <w:spacing w:before="0" w:after="0"/>
              <w:rPr>
                <w:rFonts w:cs="Arial"/>
                <w:sz w:val="20"/>
                <w:szCs w:val="20"/>
              </w:rPr>
            </w:pPr>
            <w:r w:rsidRPr="00015A68">
              <w:rPr>
                <w:rFonts w:cs="Arial"/>
                <w:sz w:val="20"/>
                <w:szCs w:val="20"/>
              </w:rPr>
              <w:t>Dr Masood Balouch - Clinical Commissioning Group Governing Body Member</w:t>
            </w:r>
          </w:p>
        </w:tc>
        <w:tc>
          <w:tcPr>
            <w:tcW w:w="1497" w:type="dxa"/>
            <w:hideMark/>
          </w:tcPr>
          <w:p w14:paraId="7F30F9EF" w14:textId="77777777" w:rsidR="00EA3F59" w:rsidRPr="00015A68" w:rsidRDefault="00EA3F59" w:rsidP="00EA3F59">
            <w:pPr>
              <w:spacing w:before="0" w:after="0"/>
              <w:rPr>
                <w:rFonts w:cs="Arial"/>
                <w:sz w:val="20"/>
                <w:szCs w:val="20"/>
              </w:rPr>
            </w:pPr>
            <w:r w:rsidRPr="00015A68">
              <w:rPr>
                <w:rFonts w:cs="Arial"/>
                <w:sz w:val="20"/>
                <w:szCs w:val="20"/>
              </w:rPr>
              <w:t>35-40</w:t>
            </w:r>
          </w:p>
        </w:tc>
        <w:tc>
          <w:tcPr>
            <w:tcW w:w="1295" w:type="dxa"/>
            <w:hideMark/>
          </w:tcPr>
          <w:p w14:paraId="14F13D90"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684" w:type="dxa"/>
            <w:hideMark/>
          </w:tcPr>
          <w:p w14:paraId="05D37AFB"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428" w:type="dxa"/>
            <w:hideMark/>
          </w:tcPr>
          <w:p w14:paraId="1D21B578"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050" w:type="dxa"/>
            <w:hideMark/>
          </w:tcPr>
          <w:p w14:paraId="313B7E9B" w14:textId="77777777" w:rsidR="00EA3F59" w:rsidRPr="00015A68" w:rsidRDefault="00EA3F59" w:rsidP="00EA3F59">
            <w:pPr>
              <w:spacing w:before="0" w:after="0"/>
              <w:rPr>
                <w:rFonts w:cs="Arial"/>
                <w:sz w:val="20"/>
                <w:szCs w:val="20"/>
              </w:rPr>
            </w:pPr>
            <w:r w:rsidRPr="00015A68">
              <w:rPr>
                <w:rFonts w:cs="Arial"/>
                <w:sz w:val="20"/>
                <w:szCs w:val="20"/>
              </w:rPr>
              <w:t>*</w:t>
            </w:r>
          </w:p>
        </w:tc>
        <w:tc>
          <w:tcPr>
            <w:tcW w:w="1636" w:type="dxa"/>
            <w:hideMark/>
          </w:tcPr>
          <w:p w14:paraId="5274DB1F" w14:textId="77777777" w:rsidR="00EA3F59" w:rsidRPr="00015A68" w:rsidRDefault="00EA3F59" w:rsidP="00EA3F59">
            <w:pPr>
              <w:spacing w:before="0" w:after="0"/>
              <w:rPr>
                <w:rFonts w:cs="Arial"/>
                <w:sz w:val="20"/>
                <w:szCs w:val="20"/>
              </w:rPr>
            </w:pPr>
            <w:r w:rsidRPr="00015A68">
              <w:rPr>
                <w:rFonts w:cs="Arial"/>
                <w:sz w:val="20"/>
                <w:szCs w:val="20"/>
              </w:rPr>
              <w:t>35-40</w:t>
            </w:r>
          </w:p>
        </w:tc>
      </w:tr>
      <w:tr w:rsidR="00EA3F59" w:rsidRPr="00015A68" w14:paraId="6608C58E" w14:textId="77777777" w:rsidTr="00CE006A">
        <w:trPr>
          <w:trHeight w:val="288"/>
        </w:trPr>
        <w:tc>
          <w:tcPr>
            <w:tcW w:w="5970" w:type="dxa"/>
            <w:noWrap/>
            <w:hideMark/>
          </w:tcPr>
          <w:p w14:paraId="728F4349" w14:textId="77777777" w:rsidR="00EA3F59" w:rsidRPr="00015A68" w:rsidRDefault="00EA3F59" w:rsidP="00EA3F59">
            <w:pPr>
              <w:spacing w:before="0" w:after="0"/>
              <w:rPr>
                <w:rFonts w:cs="Arial"/>
                <w:sz w:val="20"/>
                <w:szCs w:val="20"/>
              </w:rPr>
            </w:pPr>
            <w:r w:rsidRPr="00015A68">
              <w:rPr>
                <w:rFonts w:cs="Arial"/>
                <w:sz w:val="20"/>
                <w:szCs w:val="20"/>
              </w:rPr>
              <w:t>Dr Bushra Ali - Clinical Commissioning Group Governing Body Member</w:t>
            </w:r>
          </w:p>
        </w:tc>
        <w:tc>
          <w:tcPr>
            <w:tcW w:w="1497" w:type="dxa"/>
            <w:hideMark/>
          </w:tcPr>
          <w:p w14:paraId="7D1540FA" w14:textId="77777777" w:rsidR="00EA3F59" w:rsidRPr="00015A68" w:rsidRDefault="00EA3F59" w:rsidP="00EA3F59">
            <w:pPr>
              <w:spacing w:before="0" w:after="0"/>
              <w:rPr>
                <w:rFonts w:cs="Arial"/>
                <w:sz w:val="20"/>
                <w:szCs w:val="20"/>
              </w:rPr>
            </w:pPr>
            <w:r w:rsidRPr="00015A68">
              <w:rPr>
                <w:rFonts w:cs="Arial"/>
                <w:sz w:val="20"/>
                <w:szCs w:val="20"/>
              </w:rPr>
              <w:t>35-40</w:t>
            </w:r>
          </w:p>
        </w:tc>
        <w:tc>
          <w:tcPr>
            <w:tcW w:w="1295" w:type="dxa"/>
            <w:hideMark/>
          </w:tcPr>
          <w:p w14:paraId="336AA198"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684" w:type="dxa"/>
            <w:hideMark/>
          </w:tcPr>
          <w:p w14:paraId="1CC617EB"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428" w:type="dxa"/>
            <w:hideMark/>
          </w:tcPr>
          <w:p w14:paraId="769041B9"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050" w:type="dxa"/>
            <w:hideMark/>
          </w:tcPr>
          <w:p w14:paraId="17364E9F" w14:textId="77777777" w:rsidR="00EA3F59" w:rsidRPr="00015A68" w:rsidRDefault="00EA3F59" w:rsidP="00EA3F59">
            <w:pPr>
              <w:spacing w:before="0" w:after="0"/>
              <w:rPr>
                <w:rFonts w:cs="Arial"/>
                <w:sz w:val="20"/>
                <w:szCs w:val="20"/>
              </w:rPr>
            </w:pPr>
            <w:r w:rsidRPr="00015A68">
              <w:rPr>
                <w:rFonts w:cs="Arial"/>
                <w:sz w:val="20"/>
                <w:szCs w:val="20"/>
              </w:rPr>
              <w:t>*</w:t>
            </w:r>
          </w:p>
        </w:tc>
        <w:tc>
          <w:tcPr>
            <w:tcW w:w="1636" w:type="dxa"/>
            <w:hideMark/>
          </w:tcPr>
          <w:p w14:paraId="1972D958" w14:textId="77777777" w:rsidR="00EA3F59" w:rsidRPr="00015A68" w:rsidRDefault="00EA3F59" w:rsidP="00EA3F59">
            <w:pPr>
              <w:spacing w:before="0" w:after="0"/>
              <w:rPr>
                <w:rFonts w:cs="Arial"/>
                <w:sz w:val="20"/>
                <w:szCs w:val="20"/>
              </w:rPr>
            </w:pPr>
            <w:r w:rsidRPr="00015A68">
              <w:rPr>
                <w:rFonts w:cs="Arial"/>
                <w:sz w:val="20"/>
                <w:szCs w:val="20"/>
              </w:rPr>
              <w:t>35-40</w:t>
            </w:r>
          </w:p>
        </w:tc>
      </w:tr>
      <w:tr w:rsidR="00EA3F59" w:rsidRPr="00015A68" w14:paraId="789074A1" w14:textId="77777777" w:rsidTr="00CE006A">
        <w:trPr>
          <w:trHeight w:val="288"/>
        </w:trPr>
        <w:tc>
          <w:tcPr>
            <w:tcW w:w="5970" w:type="dxa"/>
            <w:noWrap/>
            <w:hideMark/>
          </w:tcPr>
          <w:p w14:paraId="798FC873" w14:textId="77777777" w:rsidR="00EA3F59" w:rsidRPr="00015A68" w:rsidRDefault="00EA3F59" w:rsidP="00EA3F59">
            <w:pPr>
              <w:spacing w:before="0" w:after="0"/>
              <w:rPr>
                <w:rFonts w:cs="Arial"/>
                <w:sz w:val="20"/>
                <w:szCs w:val="20"/>
              </w:rPr>
            </w:pPr>
            <w:r w:rsidRPr="00015A68">
              <w:rPr>
                <w:rFonts w:cs="Arial"/>
                <w:sz w:val="20"/>
                <w:szCs w:val="20"/>
              </w:rPr>
              <w:t>Dr Amy Oehring - Clinical Commissioning Group Governing Body Member</w:t>
            </w:r>
          </w:p>
        </w:tc>
        <w:tc>
          <w:tcPr>
            <w:tcW w:w="1497" w:type="dxa"/>
            <w:hideMark/>
          </w:tcPr>
          <w:p w14:paraId="1C09EB40" w14:textId="77777777" w:rsidR="00EA3F59" w:rsidRPr="00015A68" w:rsidRDefault="00EA3F59" w:rsidP="00EA3F59">
            <w:pPr>
              <w:spacing w:before="0" w:after="0"/>
              <w:rPr>
                <w:rFonts w:cs="Arial"/>
                <w:sz w:val="20"/>
                <w:szCs w:val="20"/>
              </w:rPr>
            </w:pPr>
            <w:r w:rsidRPr="00015A68">
              <w:rPr>
                <w:rFonts w:cs="Arial"/>
                <w:sz w:val="20"/>
                <w:szCs w:val="20"/>
              </w:rPr>
              <w:t>35-40</w:t>
            </w:r>
          </w:p>
        </w:tc>
        <w:tc>
          <w:tcPr>
            <w:tcW w:w="1295" w:type="dxa"/>
            <w:hideMark/>
          </w:tcPr>
          <w:p w14:paraId="4392B950"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684" w:type="dxa"/>
            <w:hideMark/>
          </w:tcPr>
          <w:p w14:paraId="6EDBFB57"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428" w:type="dxa"/>
            <w:hideMark/>
          </w:tcPr>
          <w:p w14:paraId="08462B2D"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050" w:type="dxa"/>
            <w:hideMark/>
          </w:tcPr>
          <w:p w14:paraId="06F3067D" w14:textId="77777777" w:rsidR="00EA3F59" w:rsidRPr="00015A68" w:rsidRDefault="00EA3F59" w:rsidP="00EA3F59">
            <w:pPr>
              <w:spacing w:before="0" w:after="0"/>
              <w:rPr>
                <w:rFonts w:cs="Arial"/>
                <w:sz w:val="20"/>
                <w:szCs w:val="20"/>
              </w:rPr>
            </w:pPr>
            <w:r w:rsidRPr="00015A68">
              <w:rPr>
                <w:rFonts w:cs="Arial"/>
                <w:sz w:val="20"/>
                <w:szCs w:val="20"/>
              </w:rPr>
              <w:t>*</w:t>
            </w:r>
          </w:p>
        </w:tc>
        <w:tc>
          <w:tcPr>
            <w:tcW w:w="1636" w:type="dxa"/>
            <w:hideMark/>
          </w:tcPr>
          <w:p w14:paraId="344C922C" w14:textId="77777777" w:rsidR="00EA3F59" w:rsidRPr="00015A68" w:rsidRDefault="00EA3F59" w:rsidP="00EA3F59">
            <w:pPr>
              <w:spacing w:before="0" w:after="0"/>
              <w:rPr>
                <w:rFonts w:cs="Arial"/>
                <w:sz w:val="20"/>
                <w:szCs w:val="20"/>
              </w:rPr>
            </w:pPr>
            <w:r w:rsidRPr="00015A68">
              <w:rPr>
                <w:rFonts w:cs="Arial"/>
                <w:sz w:val="20"/>
                <w:szCs w:val="20"/>
              </w:rPr>
              <w:t>35-40</w:t>
            </w:r>
          </w:p>
        </w:tc>
      </w:tr>
      <w:tr w:rsidR="00EA3F59" w:rsidRPr="00015A68" w14:paraId="1610FFD8" w14:textId="77777777" w:rsidTr="00CE006A">
        <w:trPr>
          <w:trHeight w:val="288"/>
        </w:trPr>
        <w:tc>
          <w:tcPr>
            <w:tcW w:w="5970" w:type="dxa"/>
            <w:noWrap/>
            <w:hideMark/>
          </w:tcPr>
          <w:p w14:paraId="58D72BBD" w14:textId="77777777" w:rsidR="00EA3F59" w:rsidRPr="00015A68" w:rsidRDefault="00EA3F59" w:rsidP="00EA3F59">
            <w:pPr>
              <w:spacing w:before="0" w:after="0"/>
              <w:rPr>
                <w:rFonts w:cs="Arial"/>
                <w:sz w:val="20"/>
                <w:szCs w:val="20"/>
              </w:rPr>
            </w:pPr>
            <w:r w:rsidRPr="00015A68">
              <w:rPr>
                <w:rFonts w:cs="Arial"/>
                <w:sz w:val="20"/>
                <w:szCs w:val="20"/>
              </w:rPr>
              <w:t>Dr David Heseltine - Clinical Commissioning Group Governing Body Member</w:t>
            </w:r>
          </w:p>
        </w:tc>
        <w:tc>
          <w:tcPr>
            <w:tcW w:w="1497" w:type="dxa"/>
            <w:hideMark/>
          </w:tcPr>
          <w:p w14:paraId="51B5D730" w14:textId="77777777" w:rsidR="00EA3F59" w:rsidRPr="00015A68" w:rsidRDefault="00EA3F59" w:rsidP="00EA3F59">
            <w:pPr>
              <w:spacing w:before="0" w:after="0"/>
              <w:rPr>
                <w:rFonts w:cs="Arial"/>
                <w:sz w:val="20"/>
                <w:szCs w:val="20"/>
              </w:rPr>
            </w:pPr>
            <w:r w:rsidRPr="00015A68">
              <w:rPr>
                <w:rFonts w:cs="Arial"/>
                <w:sz w:val="20"/>
                <w:szCs w:val="20"/>
              </w:rPr>
              <w:t>5-10</w:t>
            </w:r>
          </w:p>
        </w:tc>
        <w:tc>
          <w:tcPr>
            <w:tcW w:w="1295" w:type="dxa"/>
            <w:hideMark/>
          </w:tcPr>
          <w:p w14:paraId="480D2AFF"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684" w:type="dxa"/>
            <w:hideMark/>
          </w:tcPr>
          <w:p w14:paraId="3C375B51"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428" w:type="dxa"/>
            <w:hideMark/>
          </w:tcPr>
          <w:p w14:paraId="32B714BC"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050" w:type="dxa"/>
            <w:hideMark/>
          </w:tcPr>
          <w:p w14:paraId="34A32FC3" w14:textId="77777777" w:rsidR="00EA3F59" w:rsidRPr="00015A68" w:rsidRDefault="00EA3F59" w:rsidP="00EA3F59">
            <w:pPr>
              <w:spacing w:before="0" w:after="0"/>
              <w:rPr>
                <w:rFonts w:cs="Arial"/>
                <w:sz w:val="20"/>
                <w:szCs w:val="20"/>
              </w:rPr>
            </w:pPr>
            <w:r w:rsidRPr="00015A68">
              <w:rPr>
                <w:rFonts w:cs="Arial"/>
                <w:sz w:val="20"/>
                <w:szCs w:val="20"/>
              </w:rPr>
              <w:t>*</w:t>
            </w:r>
          </w:p>
        </w:tc>
        <w:tc>
          <w:tcPr>
            <w:tcW w:w="1636" w:type="dxa"/>
            <w:hideMark/>
          </w:tcPr>
          <w:p w14:paraId="736C1FE8" w14:textId="77777777" w:rsidR="00EA3F59" w:rsidRPr="00015A68" w:rsidRDefault="00EA3F59" w:rsidP="00EA3F59">
            <w:pPr>
              <w:spacing w:before="0" w:after="0"/>
              <w:rPr>
                <w:rFonts w:cs="Arial"/>
                <w:sz w:val="20"/>
                <w:szCs w:val="20"/>
              </w:rPr>
            </w:pPr>
            <w:r w:rsidRPr="00015A68">
              <w:rPr>
                <w:rFonts w:cs="Arial"/>
                <w:sz w:val="20"/>
                <w:szCs w:val="20"/>
              </w:rPr>
              <w:t>5-10</w:t>
            </w:r>
          </w:p>
        </w:tc>
      </w:tr>
      <w:tr w:rsidR="00EA3F59" w:rsidRPr="00015A68" w14:paraId="613936F4" w14:textId="77777777" w:rsidTr="00CE006A">
        <w:trPr>
          <w:trHeight w:val="288"/>
        </w:trPr>
        <w:tc>
          <w:tcPr>
            <w:tcW w:w="5970" w:type="dxa"/>
            <w:noWrap/>
            <w:hideMark/>
          </w:tcPr>
          <w:p w14:paraId="2533BEFD" w14:textId="77777777" w:rsidR="00EA3F59" w:rsidRPr="00015A68" w:rsidRDefault="00EA3F59" w:rsidP="00EA3F59">
            <w:pPr>
              <w:spacing w:before="0" w:after="0"/>
              <w:rPr>
                <w:rFonts w:cs="Arial"/>
                <w:sz w:val="20"/>
                <w:szCs w:val="20"/>
              </w:rPr>
            </w:pPr>
            <w:r w:rsidRPr="00015A68">
              <w:rPr>
                <w:rFonts w:cs="Arial"/>
                <w:sz w:val="20"/>
                <w:szCs w:val="20"/>
              </w:rPr>
              <w:t xml:space="preserve">Karen Marshall - Lay Member </w:t>
            </w:r>
          </w:p>
        </w:tc>
        <w:tc>
          <w:tcPr>
            <w:tcW w:w="1497" w:type="dxa"/>
            <w:hideMark/>
          </w:tcPr>
          <w:p w14:paraId="4D32A841" w14:textId="77777777" w:rsidR="00EA3F59" w:rsidRPr="00015A68" w:rsidRDefault="00EA3F59" w:rsidP="00EA3F59">
            <w:pPr>
              <w:spacing w:before="0" w:after="0"/>
              <w:rPr>
                <w:rFonts w:cs="Arial"/>
                <w:sz w:val="20"/>
                <w:szCs w:val="20"/>
              </w:rPr>
            </w:pPr>
            <w:r w:rsidRPr="00015A68">
              <w:rPr>
                <w:rFonts w:cs="Arial"/>
                <w:sz w:val="20"/>
                <w:szCs w:val="20"/>
              </w:rPr>
              <w:t>10-15</w:t>
            </w:r>
          </w:p>
        </w:tc>
        <w:tc>
          <w:tcPr>
            <w:tcW w:w="1295" w:type="dxa"/>
            <w:hideMark/>
          </w:tcPr>
          <w:p w14:paraId="2B6DB63B"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684" w:type="dxa"/>
            <w:hideMark/>
          </w:tcPr>
          <w:p w14:paraId="2AF4CF80"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428" w:type="dxa"/>
            <w:hideMark/>
          </w:tcPr>
          <w:p w14:paraId="0CC921B8"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050" w:type="dxa"/>
            <w:hideMark/>
          </w:tcPr>
          <w:p w14:paraId="1B1F3682"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636" w:type="dxa"/>
            <w:hideMark/>
          </w:tcPr>
          <w:p w14:paraId="177AE894" w14:textId="77777777" w:rsidR="00EA3F59" w:rsidRPr="00015A68" w:rsidRDefault="00EA3F59" w:rsidP="00EA3F59">
            <w:pPr>
              <w:spacing w:before="0" w:after="0"/>
              <w:rPr>
                <w:rFonts w:cs="Arial"/>
                <w:sz w:val="20"/>
                <w:szCs w:val="20"/>
              </w:rPr>
            </w:pPr>
            <w:r w:rsidRPr="00015A68">
              <w:rPr>
                <w:rFonts w:cs="Arial"/>
                <w:sz w:val="20"/>
                <w:szCs w:val="20"/>
              </w:rPr>
              <w:t>10-15</w:t>
            </w:r>
          </w:p>
        </w:tc>
      </w:tr>
      <w:tr w:rsidR="00EA3F59" w:rsidRPr="00015A68" w14:paraId="10C0497F" w14:textId="77777777" w:rsidTr="00CE006A">
        <w:trPr>
          <w:trHeight w:val="288"/>
        </w:trPr>
        <w:tc>
          <w:tcPr>
            <w:tcW w:w="5970" w:type="dxa"/>
            <w:noWrap/>
            <w:hideMark/>
          </w:tcPr>
          <w:p w14:paraId="6AFE0987" w14:textId="77777777" w:rsidR="00EA3F59" w:rsidRPr="00015A68" w:rsidRDefault="00EA3F59" w:rsidP="00EA3F59">
            <w:pPr>
              <w:spacing w:before="0" w:after="0"/>
              <w:rPr>
                <w:rFonts w:cs="Arial"/>
                <w:sz w:val="20"/>
                <w:szCs w:val="20"/>
              </w:rPr>
            </w:pPr>
            <w:r w:rsidRPr="00015A68">
              <w:rPr>
                <w:rFonts w:cs="Arial"/>
                <w:sz w:val="20"/>
                <w:szCs w:val="20"/>
              </w:rPr>
              <w:t>Jason Stamp - Lay Member</w:t>
            </w:r>
          </w:p>
        </w:tc>
        <w:tc>
          <w:tcPr>
            <w:tcW w:w="1497" w:type="dxa"/>
            <w:hideMark/>
          </w:tcPr>
          <w:p w14:paraId="2EC0668C" w14:textId="77777777" w:rsidR="00EA3F59" w:rsidRPr="00015A68" w:rsidRDefault="00EA3F59" w:rsidP="00EA3F59">
            <w:pPr>
              <w:spacing w:before="0" w:after="0"/>
              <w:rPr>
                <w:rFonts w:cs="Arial"/>
                <w:sz w:val="20"/>
                <w:szCs w:val="20"/>
              </w:rPr>
            </w:pPr>
            <w:r w:rsidRPr="00015A68">
              <w:rPr>
                <w:rFonts w:cs="Arial"/>
                <w:sz w:val="20"/>
                <w:szCs w:val="20"/>
              </w:rPr>
              <w:t>10-15</w:t>
            </w:r>
          </w:p>
        </w:tc>
        <w:tc>
          <w:tcPr>
            <w:tcW w:w="1295" w:type="dxa"/>
            <w:hideMark/>
          </w:tcPr>
          <w:p w14:paraId="262ACEEB"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684" w:type="dxa"/>
            <w:hideMark/>
          </w:tcPr>
          <w:p w14:paraId="5350E0D7"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428" w:type="dxa"/>
            <w:hideMark/>
          </w:tcPr>
          <w:p w14:paraId="60CE7F48"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050" w:type="dxa"/>
            <w:hideMark/>
          </w:tcPr>
          <w:p w14:paraId="6CF5CB90"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636" w:type="dxa"/>
            <w:hideMark/>
          </w:tcPr>
          <w:p w14:paraId="2C8F4E6C" w14:textId="77777777" w:rsidR="00EA3F59" w:rsidRPr="00015A68" w:rsidRDefault="00EA3F59" w:rsidP="00EA3F59">
            <w:pPr>
              <w:spacing w:before="0" w:after="0"/>
              <w:rPr>
                <w:rFonts w:cs="Arial"/>
                <w:sz w:val="20"/>
                <w:szCs w:val="20"/>
              </w:rPr>
            </w:pPr>
            <w:r w:rsidRPr="00015A68">
              <w:rPr>
                <w:rFonts w:cs="Arial"/>
                <w:sz w:val="20"/>
                <w:szCs w:val="20"/>
              </w:rPr>
              <w:t>10-15</w:t>
            </w:r>
          </w:p>
        </w:tc>
      </w:tr>
      <w:tr w:rsidR="00EA3F59" w:rsidRPr="00015A68" w14:paraId="2AE9CBB2" w14:textId="77777777" w:rsidTr="00CE006A">
        <w:trPr>
          <w:trHeight w:val="288"/>
        </w:trPr>
        <w:tc>
          <w:tcPr>
            <w:tcW w:w="5970" w:type="dxa"/>
            <w:noWrap/>
            <w:hideMark/>
          </w:tcPr>
          <w:p w14:paraId="3BD052D2" w14:textId="77777777" w:rsidR="00EA3F59" w:rsidRPr="00015A68" w:rsidRDefault="00EA3F59" w:rsidP="00EA3F59">
            <w:pPr>
              <w:spacing w:before="0" w:after="0"/>
              <w:rPr>
                <w:rFonts w:cs="Arial"/>
                <w:sz w:val="20"/>
                <w:szCs w:val="20"/>
              </w:rPr>
            </w:pPr>
            <w:r w:rsidRPr="00015A68">
              <w:rPr>
                <w:rFonts w:cs="Arial"/>
                <w:sz w:val="20"/>
                <w:szCs w:val="20"/>
              </w:rPr>
              <w:t xml:space="preserve">Ian Goode - Lay Member </w:t>
            </w:r>
          </w:p>
        </w:tc>
        <w:tc>
          <w:tcPr>
            <w:tcW w:w="1497" w:type="dxa"/>
            <w:hideMark/>
          </w:tcPr>
          <w:p w14:paraId="42061948" w14:textId="77777777" w:rsidR="00EA3F59" w:rsidRPr="00015A68" w:rsidRDefault="00EA3F59" w:rsidP="00EA3F59">
            <w:pPr>
              <w:spacing w:before="0" w:after="0"/>
              <w:rPr>
                <w:rFonts w:cs="Arial"/>
                <w:sz w:val="20"/>
                <w:szCs w:val="20"/>
              </w:rPr>
            </w:pPr>
            <w:r w:rsidRPr="00015A68">
              <w:rPr>
                <w:rFonts w:cs="Arial"/>
                <w:sz w:val="20"/>
                <w:szCs w:val="20"/>
              </w:rPr>
              <w:t>10-15</w:t>
            </w:r>
          </w:p>
        </w:tc>
        <w:tc>
          <w:tcPr>
            <w:tcW w:w="1295" w:type="dxa"/>
            <w:hideMark/>
          </w:tcPr>
          <w:p w14:paraId="7F04B492"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684" w:type="dxa"/>
            <w:hideMark/>
          </w:tcPr>
          <w:p w14:paraId="729047F0"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428" w:type="dxa"/>
            <w:hideMark/>
          </w:tcPr>
          <w:p w14:paraId="2424A89E"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050" w:type="dxa"/>
            <w:hideMark/>
          </w:tcPr>
          <w:p w14:paraId="2D657490"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636" w:type="dxa"/>
            <w:hideMark/>
          </w:tcPr>
          <w:p w14:paraId="283596E0" w14:textId="77777777" w:rsidR="00EA3F59" w:rsidRPr="00015A68" w:rsidRDefault="00EA3F59" w:rsidP="00EA3F59">
            <w:pPr>
              <w:spacing w:before="0" w:after="0"/>
              <w:rPr>
                <w:rFonts w:cs="Arial"/>
                <w:sz w:val="20"/>
                <w:szCs w:val="20"/>
              </w:rPr>
            </w:pPr>
            <w:r w:rsidRPr="00015A68">
              <w:rPr>
                <w:rFonts w:cs="Arial"/>
                <w:sz w:val="20"/>
                <w:szCs w:val="20"/>
              </w:rPr>
              <w:t>10-15</w:t>
            </w:r>
          </w:p>
        </w:tc>
      </w:tr>
      <w:tr w:rsidR="00EA3F59" w:rsidRPr="00015A68" w14:paraId="06150B9E" w14:textId="77777777" w:rsidTr="00CE006A">
        <w:trPr>
          <w:trHeight w:val="288"/>
        </w:trPr>
        <w:tc>
          <w:tcPr>
            <w:tcW w:w="5970" w:type="dxa"/>
            <w:noWrap/>
            <w:hideMark/>
          </w:tcPr>
          <w:p w14:paraId="6638279B" w14:textId="77777777" w:rsidR="00EA3F59" w:rsidRPr="00015A68" w:rsidRDefault="00EA3F59" w:rsidP="00EA3F59">
            <w:pPr>
              <w:spacing w:before="0" w:after="0"/>
              <w:rPr>
                <w:rFonts w:cs="Arial"/>
                <w:sz w:val="20"/>
                <w:szCs w:val="20"/>
              </w:rPr>
            </w:pPr>
            <w:r w:rsidRPr="00015A68">
              <w:rPr>
                <w:rFonts w:cs="Arial"/>
                <w:sz w:val="20"/>
                <w:szCs w:val="20"/>
              </w:rPr>
              <w:t>Mark Whitaker - Practice Manager</w:t>
            </w:r>
          </w:p>
        </w:tc>
        <w:tc>
          <w:tcPr>
            <w:tcW w:w="1497" w:type="dxa"/>
            <w:hideMark/>
          </w:tcPr>
          <w:p w14:paraId="13544B24" w14:textId="77777777" w:rsidR="00EA3F59" w:rsidRPr="00015A68" w:rsidRDefault="00EA3F59" w:rsidP="00EA3F59">
            <w:pPr>
              <w:spacing w:before="0" w:after="0"/>
              <w:rPr>
                <w:rFonts w:cs="Arial"/>
                <w:sz w:val="20"/>
                <w:szCs w:val="20"/>
              </w:rPr>
            </w:pPr>
            <w:r w:rsidRPr="00015A68">
              <w:rPr>
                <w:rFonts w:cs="Arial"/>
                <w:sz w:val="20"/>
                <w:szCs w:val="20"/>
              </w:rPr>
              <w:t>5-10</w:t>
            </w:r>
          </w:p>
        </w:tc>
        <w:tc>
          <w:tcPr>
            <w:tcW w:w="1295" w:type="dxa"/>
            <w:hideMark/>
          </w:tcPr>
          <w:p w14:paraId="23D351C9"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684" w:type="dxa"/>
            <w:hideMark/>
          </w:tcPr>
          <w:p w14:paraId="7CF55E36"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428" w:type="dxa"/>
            <w:hideMark/>
          </w:tcPr>
          <w:p w14:paraId="6C2C47C8"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050" w:type="dxa"/>
            <w:hideMark/>
          </w:tcPr>
          <w:p w14:paraId="79CAC1C2" w14:textId="77777777" w:rsidR="00EA3F59" w:rsidRPr="00015A68" w:rsidRDefault="00EA3F59" w:rsidP="00EA3F59">
            <w:pPr>
              <w:spacing w:before="0" w:after="0"/>
              <w:rPr>
                <w:rFonts w:cs="Arial"/>
                <w:sz w:val="20"/>
                <w:szCs w:val="20"/>
              </w:rPr>
            </w:pPr>
            <w:r w:rsidRPr="00015A68">
              <w:rPr>
                <w:rFonts w:cs="Arial"/>
                <w:sz w:val="20"/>
                <w:szCs w:val="20"/>
              </w:rPr>
              <w:t>0</w:t>
            </w:r>
          </w:p>
        </w:tc>
        <w:tc>
          <w:tcPr>
            <w:tcW w:w="1636" w:type="dxa"/>
            <w:hideMark/>
          </w:tcPr>
          <w:p w14:paraId="72782449" w14:textId="77777777" w:rsidR="00EA3F59" w:rsidRPr="00015A68" w:rsidRDefault="00EA3F59" w:rsidP="00EA3F59">
            <w:pPr>
              <w:spacing w:before="0" w:after="0"/>
              <w:rPr>
                <w:rFonts w:cs="Arial"/>
                <w:sz w:val="20"/>
                <w:szCs w:val="20"/>
              </w:rPr>
            </w:pPr>
            <w:r w:rsidRPr="00015A68">
              <w:rPr>
                <w:rFonts w:cs="Arial"/>
                <w:sz w:val="20"/>
                <w:szCs w:val="20"/>
              </w:rPr>
              <w:t>5-10</w:t>
            </w:r>
          </w:p>
        </w:tc>
      </w:tr>
    </w:tbl>
    <w:p w14:paraId="4915901D" w14:textId="77777777" w:rsidR="00CE006A" w:rsidRPr="00CE006A" w:rsidRDefault="00CE006A" w:rsidP="00CE006A">
      <w:pPr>
        <w:spacing w:before="0" w:after="0"/>
        <w:rPr>
          <w:rFonts w:cs="Arial"/>
          <w:sz w:val="14"/>
          <w:szCs w:val="14"/>
        </w:rPr>
      </w:pPr>
      <w:r w:rsidRPr="00CE006A">
        <w:rPr>
          <w:rFonts w:cs="Arial"/>
          <w:sz w:val="14"/>
          <w:szCs w:val="14"/>
        </w:rPr>
        <w:t>Notes:</w:t>
      </w:r>
    </w:p>
    <w:p w14:paraId="5B46794E" w14:textId="77777777" w:rsidR="00CE006A" w:rsidRPr="00CE006A" w:rsidRDefault="00CE006A" w:rsidP="00CE006A">
      <w:pPr>
        <w:spacing w:before="0" w:after="0"/>
        <w:rPr>
          <w:rFonts w:cs="Arial"/>
          <w:sz w:val="14"/>
          <w:szCs w:val="14"/>
        </w:rPr>
      </w:pPr>
      <w:r w:rsidRPr="00CE006A">
        <w:rPr>
          <w:rFonts w:cs="Arial"/>
          <w:sz w:val="14"/>
          <w:szCs w:val="14"/>
        </w:rPr>
        <w:t>* It is not possible to provide the pension related benefits in relation to GPs due to their practitioner membership of the NHS pension scheme.</w:t>
      </w:r>
    </w:p>
    <w:p w14:paraId="39A89E32" w14:textId="77777777" w:rsidR="00CE006A" w:rsidRPr="00CE006A" w:rsidRDefault="00CE006A" w:rsidP="00CE006A">
      <w:pPr>
        <w:spacing w:before="0" w:after="0"/>
        <w:rPr>
          <w:rFonts w:cs="Arial"/>
          <w:sz w:val="14"/>
          <w:szCs w:val="14"/>
        </w:rPr>
      </w:pPr>
      <w:r w:rsidRPr="00CE006A">
        <w:rPr>
          <w:rFonts w:cs="Arial"/>
          <w:sz w:val="14"/>
          <w:szCs w:val="14"/>
        </w:rPr>
        <w:t>**Emma Latimer (from 01/11/2019) is in joint post with North Lincolnshire CCG, Hull CCG and East Riding of Yorkshire CCG. The values above relate to NHS Hull CCG, Emma Latimer's full salary banding is £150-155k</w:t>
      </w:r>
    </w:p>
    <w:p w14:paraId="14C9BD7B" w14:textId="77777777" w:rsidR="00CE006A" w:rsidRPr="00CE006A" w:rsidRDefault="00CE006A" w:rsidP="00CE006A">
      <w:pPr>
        <w:spacing w:before="0" w:after="0"/>
        <w:rPr>
          <w:rFonts w:cs="Arial"/>
          <w:sz w:val="14"/>
          <w:szCs w:val="14"/>
        </w:rPr>
      </w:pPr>
      <w:r w:rsidRPr="00CE006A">
        <w:rPr>
          <w:rFonts w:cs="Arial"/>
          <w:sz w:val="14"/>
          <w:szCs w:val="14"/>
        </w:rPr>
        <w:t>*** Emma Sayner (from 01/12/17) is currently in joint post with Hull CCG and North Lincolnshire CCG. The values above are relate to NHS Hull CCG, Emma Sayner’s full salary banding is £115-120k</w:t>
      </w:r>
    </w:p>
    <w:p w14:paraId="1A76DEF1" w14:textId="77777777" w:rsidR="00CE006A" w:rsidRPr="00CE006A" w:rsidRDefault="00CE006A" w:rsidP="00CE006A">
      <w:pPr>
        <w:spacing w:before="0" w:after="0"/>
        <w:rPr>
          <w:rFonts w:cs="Arial"/>
          <w:sz w:val="14"/>
          <w:szCs w:val="14"/>
        </w:rPr>
      </w:pPr>
      <w:r w:rsidRPr="00CE006A">
        <w:rPr>
          <w:rFonts w:cs="Arial"/>
          <w:sz w:val="14"/>
          <w:szCs w:val="14"/>
        </w:rPr>
        <w:t>****Clare Linley - (from 13/05/20) is in a joint post with North Lincolnshire CCG and Hull CCG. The values above relate to NHS Hull CCG, however Clare Linley's full salary banding is £100-£105k</w:t>
      </w:r>
    </w:p>
    <w:p w14:paraId="5D53936C" w14:textId="77777777" w:rsidR="00CE006A" w:rsidRPr="00CE006A" w:rsidRDefault="00CE006A" w:rsidP="00CE006A">
      <w:pPr>
        <w:spacing w:before="0" w:after="0"/>
        <w:rPr>
          <w:rFonts w:cs="Arial"/>
          <w:sz w:val="14"/>
          <w:szCs w:val="14"/>
        </w:rPr>
      </w:pPr>
      <w:r w:rsidRPr="00CE006A">
        <w:rPr>
          <w:rFonts w:cs="Arial"/>
          <w:sz w:val="14"/>
          <w:szCs w:val="14"/>
        </w:rPr>
        <w:t>Pension related benefits are the increase in the annual pension entitlement determined in accordance with the HMRC method. This compares the accrued pension and the lump sum at retirement age at the end of the financial year against the same figures of the beginning on the financial adjusted for inflation. The difference is then multiplied by 20 which represents the average number of years an employee receives their pension (20 years is a figure set out in the Department of Health Group Accounting Manual).</w:t>
      </w:r>
    </w:p>
    <w:p w14:paraId="340AB87E" w14:textId="77777777" w:rsidR="00EA3F59" w:rsidRDefault="00EA3F59">
      <w:pPr>
        <w:tabs>
          <w:tab w:val="clear" w:pos="2835"/>
          <w:tab w:val="clear" w:pos="5670"/>
          <w:tab w:val="clear" w:pos="9016"/>
        </w:tabs>
        <w:spacing w:before="0" w:after="200"/>
        <w:rPr>
          <w:rFonts w:eastAsiaTheme="majorEastAsia" w:cstheme="majorBidi"/>
          <w:b/>
          <w:bCs/>
          <w:color w:val="4F81BD" w:themeColor="accent1"/>
          <w:sz w:val="24"/>
        </w:rPr>
      </w:pPr>
      <w:r>
        <w:br w:type="page"/>
      </w:r>
    </w:p>
    <w:p w14:paraId="6E9469F5" w14:textId="77777777" w:rsidR="00EA3F59" w:rsidRPr="00015A68" w:rsidRDefault="00EA3F59" w:rsidP="00EA3F59">
      <w:pPr>
        <w:rPr>
          <w:rFonts w:cs="Arial"/>
          <w:sz w:val="20"/>
          <w:szCs w:val="20"/>
        </w:rPr>
      </w:pPr>
    </w:p>
    <w:p w14:paraId="495AA402" w14:textId="35106EBC" w:rsidR="00BD7C43" w:rsidRPr="00CD143D" w:rsidRDefault="00BD7C43" w:rsidP="00B66DE2">
      <w:pPr>
        <w:pStyle w:val="Heading3"/>
      </w:pPr>
      <w:bookmarkStart w:id="140" w:name="_Toc103695058"/>
      <w:r w:rsidRPr="00DA2F40">
        <w:rPr>
          <w:rStyle w:val="Heading3Char"/>
          <w:b/>
          <w:bCs/>
        </w:rPr>
        <w:t xml:space="preserve">Pensions Table </w:t>
      </w:r>
      <w:r w:rsidR="001B17E6" w:rsidRPr="00DA2F40">
        <w:rPr>
          <w:rStyle w:val="Heading3Char"/>
          <w:b/>
          <w:bCs/>
        </w:rPr>
        <w:t>202</w:t>
      </w:r>
      <w:r w:rsidR="00814EAD">
        <w:rPr>
          <w:rStyle w:val="Heading3Char"/>
          <w:b/>
          <w:bCs/>
        </w:rPr>
        <w:t>1</w:t>
      </w:r>
      <w:r w:rsidR="001B17E6" w:rsidRPr="00DA2F40">
        <w:rPr>
          <w:rStyle w:val="Heading3Char"/>
          <w:b/>
          <w:bCs/>
        </w:rPr>
        <w:t>-2</w:t>
      </w:r>
      <w:r w:rsidR="00814EAD">
        <w:rPr>
          <w:rStyle w:val="Heading3Char"/>
          <w:b/>
          <w:bCs/>
        </w:rPr>
        <w:t>2</w:t>
      </w:r>
      <w:r w:rsidR="00CD143D" w:rsidRPr="00CD143D">
        <w:t xml:space="preserve"> </w:t>
      </w:r>
      <w:r w:rsidR="00CE5B40">
        <w:t>(subject to audit)</w:t>
      </w:r>
      <w:bookmarkEnd w:id="140"/>
    </w:p>
    <w:tbl>
      <w:tblPr>
        <w:tblStyle w:val="TableGrid"/>
        <w:tblW w:w="0" w:type="auto"/>
        <w:tblLayout w:type="fixed"/>
        <w:tblLook w:val="04A0" w:firstRow="1" w:lastRow="0" w:firstColumn="1" w:lastColumn="0" w:noHBand="0" w:noVBand="1"/>
      </w:tblPr>
      <w:tblGrid>
        <w:gridCol w:w="4531"/>
        <w:gridCol w:w="993"/>
        <w:gridCol w:w="1134"/>
        <w:gridCol w:w="1275"/>
        <w:gridCol w:w="1276"/>
        <w:gridCol w:w="1134"/>
        <w:gridCol w:w="1134"/>
        <w:gridCol w:w="1276"/>
        <w:gridCol w:w="1195"/>
      </w:tblGrid>
      <w:tr w:rsidR="00EA3F59" w:rsidRPr="00015A68" w14:paraId="1B83C9B7" w14:textId="77777777" w:rsidTr="00620EC0">
        <w:trPr>
          <w:trHeight w:val="1440"/>
        </w:trPr>
        <w:tc>
          <w:tcPr>
            <w:tcW w:w="4531" w:type="dxa"/>
            <w:vMerge w:val="restart"/>
            <w:noWrap/>
            <w:hideMark/>
          </w:tcPr>
          <w:p w14:paraId="76579795" w14:textId="77777777" w:rsidR="00EA3F59" w:rsidRPr="00015A68" w:rsidRDefault="00EA3F59" w:rsidP="00EA3F59">
            <w:pPr>
              <w:spacing w:before="0" w:after="0"/>
              <w:rPr>
                <w:rFonts w:cs="Arial"/>
                <w:b/>
                <w:bCs/>
                <w:sz w:val="20"/>
                <w:szCs w:val="20"/>
              </w:rPr>
            </w:pPr>
            <w:r w:rsidRPr="00015A68">
              <w:rPr>
                <w:rFonts w:cs="Arial"/>
                <w:b/>
                <w:bCs/>
                <w:sz w:val="20"/>
                <w:szCs w:val="20"/>
              </w:rPr>
              <w:t>Name and Title</w:t>
            </w:r>
          </w:p>
        </w:tc>
        <w:tc>
          <w:tcPr>
            <w:tcW w:w="993" w:type="dxa"/>
            <w:hideMark/>
          </w:tcPr>
          <w:p w14:paraId="195F1E40" w14:textId="77777777" w:rsidR="00EA3F59" w:rsidRPr="00015A68" w:rsidRDefault="00EA3F59" w:rsidP="00EA3F59">
            <w:pPr>
              <w:spacing w:before="0" w:after="0"/>
              <w:rPr>
                <w:rFonts w:cs="Arial"/>
                <w:b/>
                <w:bCs/>
                <w:sz w:val="18"/>
                <w:szCs w:val="18"/>
              </w:rPr>
            </w:pPr>
            <w:r w:rsidRPr="00015A68">
              <w:rPr>
                <w:rFonts w:cs="Arial"/>
                <w:b/>
                <w:bCs/>
                <w:sz w:val="18"/>
                <w:szCs w:val="18"/>
              </w:rPr>
              <w:t>(a)Real increase in pension at pension age (bands of £2,500)</w:t>
            </w:r>
          </w:p>
        </w:tc>
        <w:tc>
          <w:tcPr>
            <w:tcW w:w="1134" w:type="dxa"/>
            <w:hideMark/>
          </w:tcPr>
          <w:p w14:paraId="71183F1C" w14:textId="77777777" w:rsidR="00EA3F59" w:rsidRPr="00015A68" w:rsidRDefault="00EA3F59" w:rsidP="00EA3F59">
            <w:pPr>
              <w:spacing w:before="0" w:after="0"/>
              <w:rPr>
                <w:rFonts w:cs="Arial"/>
                <w:b/>
                <w:bCs/>
                <w:sz w:val="18"/>
                <w:szCs w:val="18"/>
              </w:rPr>
            </w:pPr>
            <w:r w:rsidRPr="00015A68">
              <w:rPr>
                <w:rFonts w:cs="Arial"/>
                <w:b/>
                <w:bCs/>
                <w:sz w:val="18"/>
                <w:szCs w:val="18"/>
              </w:rPr>
              <w:t>(b)Real increase in pension lump sum at pension age (bands of £2,500)</w:t>
            </w:r>
          </w:p>
        </w:tc>
        <w:tc>
          <w:tcPr>
            <w:tcW w:w="1275" w:type="dxa"/>
            <w:hideMark/>
          </w:tcPr>
          <w:p w14:paraId="4A3A0869" w14:textId="77777777" w:rsidR="00EA3F59" w:rsidRPr="00015A68" w:rsidRDefault="00EA3F59" w:rsidP="00EA3F59">
            <w:pPr>
              <w:spacing w:before="0" w:after="0"/>
              <w:rPr>
                <w:rFonts w:cs="Arial"/>
                <w:b/>
                <w:bCs/>
                <w:sz w:val="18"/>
                <w:szCs w:val="18"/>
              </w:rPr>
            </w:pPr>
            <w:r w:rsidRPr="00015A68">
              <w:rPr>
                <w:rFonts w:cs="Arial"/>
                <w:b/>
                <w:bCs/>
                <w:sz w:val="18"/>
                <w:szCs w:val="18"/>
              </w:rPr>
              <w:t>(c)Total accrued pension at pension age at 31 March 2021 (bands of £5,000)</w:t>
            </w:r>
          </w:p>
        </w:tc>
        <w:tc>
          <w:tcPr>
            <w:tcW w:w="1276" w:type="dxa"/>
            <w:hideMark/>
          </w:tcPr>
          <w:p w14:paraId="2F618C12" w14:textId="77777777" w:rsidR="00EA3F59" w:rsidRPr="00015A68" w:rsidRDefault="00EA3F59" w:rsidP="00EA3F59">
            <w:pPr>
              <w:spacing w:before="0" w:after="0"/>
              <w:rPr>
                <w:rFonts w:cs="Arial"/>
                <w:b/>
                <w:bCs/>
                <w:sz w:val="18"/>
                <w:szCs w:val="18"/>
              </w:rPr>
            </w:pPr>
            <w:r w:rsidRPr="00015A68">
              <w:rPr>
                <w:rFonts w:cs="Arial"/>
                <w:b/>
                <w:bCs/>
                <w:sz w:val="18"/>
                <w:szCs w:val="18"/>
              </w:rPr>
              <w:t>(d)Lump sum at pension age related to accrued pension at 31 March 2021 (bands of £5,000)</w:t>
            </w:r>
          </w:p>
        </w:tc>
        <w:tc>
          <w:tcPr>
            <w:tcW w:w="1134" w:type="dxa"/>
            <w:hideMark/>
          </w:tcPr>
          <w:p w14:paraId="4C4765E8" w14:textId="77777777" w:rsidR="00EA3F59" w:rsidRPr="00015A68" w:rsidRDefault="00EA3F59" w:rsidP="00EA3F59">
            <w:pPr>
              <w:spacing w:before="0" w:after="0"/>
              <w:rPr>
                <w:rFonts w:cs="Arial"/>
                <w:b/>
                <w:bCs/>
                <w:sz w:val="18"/>
                <w:szCs w:val="18"/>
              </w:rPr>
            </w:pPr>
            <w:r w:rsidRPr="00015A68">
              <w:rPr>
                <w:rFonts w:cs="Arial"/>
                <w:b/>
                <w:bCs/>
                <w:sz w:val="18"/>
                <w:szCs w:val="18"/>
              </w:rPr>
              <w:t>(e)Cash Equivalent Transfer Value at 1 April 2020</w:t>
            </w:r>
          </w:p>
        </w:tc>
        <w:tc>
          <w:tcPr>
            <w:tcW w:w="1134" w:type="dxa"/>
            <w:hideMark/>
          </w:tcPr>
          <w:p w14:paraId="6A1D472D" w14:textId="77777777" w:rsidR="00EA3F59" w:rsidRPr="00015A68" w:rsidRDefault="00EA3F59" w:rsidP="00EA3F59">
            <w:pPr>
              <w:spacing w:before="0" w:after="0"/>
              <w:rPr>
                <w:rFonts w:cs="Arial"/>
                <w:b/>
                <w:bCs/>
                <w:sz w:val="18"/>
                <w:szCs w:val="18"/>
              </w:rPr>
            </w:pPr>
            <w:r w:rsidRPr="00015A68">
              <w:rPr>
                <w:rFonts w:cs="Arial"/>
                <w:b/>
                <w:bCs/>
                <w:sz w:val="18"/>
                <w:szCs w:val="18"/>
              </w:rPr>
              <w:t>(f)Real increase in Cash Equivalent Transfer Value</w:t>
            </w:r>
          </w:p>
        </w:tc>
        <w:tc>
          <w:tcPr>
            <w:tcW w:w="1276" w:type="dxa"/>
            <w:hideMark/>
          </w:tcPr>
          <w:p w14:paraId="004077A5" w14:textId="77777777" w:rsidR="00EA3F59" w:rsidRPr="00015A68" w:rsidRDefault="00EA3F59" w:rsidP="00EA3F59">
            <w:pPr>
              <w:spacing w:before="0" w:after="0"/>
              <w:rPr>
                <w:rFonts w:cs="Arial"/>
                <w:b/>
                <w:bCs/>
                <w:sz w:val="18"/>
                <w:szCs w:val="18"/>
              </w:rPr>
            </w:pPr>
            <w:r w:rsidRPr="00015A68">
              <w:rPr>
                <w:rFonts w:cs="Arial"/>
                <w:b/>
                <w:bCs/>
                <w:sz w:val="18"/>
                <w:szCs w:val="18"/>
              </w:rPr>
              <w:t>(g)Cash Equivalent Transfer Value at 31 March 2021</w:t>
            </w:r>
          </w:p>
        </w:tc>
        <w:tc>
          <w:tcPr>
            <w:tcW w:w="1195" w:type="dxa"/>
            <w:hideMark/>
          </w:tcPr>
          <w:p w14:paraId="443AB6CE" w14:textId="77777777" w:rsidR="00EA3F59" w:rsidRPr="00015A68" w:rsidRDefault="00EA3F59" w:rsidP="00EA3F59">
            <w:pPr>
              <w:spacing w:before="0" w:after="0"/>
              <w:rPr>
                <w:rFonts w:cs="Arial"/>
                <w:b/>
                <w:bCs/>
                <w:sz w:val="18"/>
                <w:szCs w:val="18"/>
              </w:rPr>
            </w:pPr>
            <w:r w:rsidRPr="00015A68">
              <w:rPr>
                <w:rFonts w:cs="Arial"/>
                <w:b/>
                <w:bCs/>
                <w:sz w:val="18"/>
                <w:szCs w:val="18"/>
              </w:rPr>
              <w:t>(h)Employer’s contribution to stakeholder pension</w:t>
            </w:r>
          </w:p>
        </w:tc>
      </w:tr>
      <w:tr w:rsidR="00EA3F59" w:rsidRPr="00015A68" w14:paraId="41A40DC5" w14:textId="77777777" w:rsidTr="00620EC0">
        <w:trPr>
          <w:trHeight w:val="288"/>
        </w:trPr>
        <w:tc>
          <w:tcPr>
            <w:tcW w:w="4531" w:type="dxa"/>
            <w:vMerge/>
            <w:hideMark/>
          </w:tcPr>
          <w:p w14:paraId="29DE4148" w14:textId="77777777" w:rsidR="00EA3F59" w:rsidRPr="00015A68" w:rsidRDefault="00EA3F59" w:rsidP="00EA3F59">
            <w:pPr>
              <w:spacing w:before="0" w:after="0"/>
              <w:rPr>
                <w:rFonts w:cs="Arial"/>
                <w:b/>
                <w:bCs/>
                <w:sz w:val="20"/>
                <w:szCs w:val="20"/>
              </w:rPr>
            </w:pPr>
          </w:p>
        </w:tc>
        <w:tc>
          <w:tcPr>
            <w:tcW w:w="993" w:type="dxa"/>
            <w:noWrap/>
            <w:hideMark/>
          </w:tcPr>
          <w:p w14:paraId="4E7B2BCA" w14:textId="77777777" w:rsidR="00EA3F59" w:rsidRPr="00015A68" w:rsidRDefault="00EA3F59" w:rsidP="00EA3F59">
            <w:pPr>
              <w:spacing w:before="0" w:after="0"/>
              <w:rPr>
                <w:rFonts w:cs="Arial"/>
                <w:b/>
                <w:bCs/>
                <w:sz w:val="20"/>
                <w:szCs w:val="20"/>
              </w:rPr>
            </w:pPr>
            <w:r w:rsidRPr="00015A68">
              <w:rPr>
                <w:rFonts w:cs="Arial"/>
                <w:b/>
                <w:bCs/>
                <w:sz w:val="20"/>
                <w:szCs w:val="20"/>
              </w:rPr>
              <w:t>£000</w:t>
            </w:r>
          </w:p>
        </w:tc>
        <w:tc>
          <w:tcPr>
            <w:tcW w:w="1134" w:type="dxa"/>
            <w:noWrap/>
            <w:hideMark/>
          </w:tcPr>
          <w:p w14:paraId="664BCCE8" w14:textId="77777777" w:rsidR="00EA3F59" w:rsidRPr="00015A68" w:rsidRDefault="00EA3F59" w:rsidP="00EA3F59">
            <w:pPr>
              <w:spacing w:before="0" w:after="0"/>
              <w:rPr>
                <w:rFonts w:cs="Arial"/>
                <w:b/>
                <w:bCs/>
                <w:sz w:val="20"/>
                <w:szCs w:val="20"/>
              </w:rPr>
            </w:pPr>
            <w:r w:rsidRPr="00015A68">
              <w:rPr>
                <w:rFonts w:cs="Arial"/>
                <w:b/>
                <w:bCs/>
                <w:sz w:val="20"/>
                <w:szCs w:val="20"/>
              </w:rPr>
              <w:t>£000</w:t>
            </w:r>
          </w:p>
        </w:tc>
        <w:tc>
          <w:tcPr>
            <w:tcW w:w="1275" w:type="dxa"/>
            <w:noWrap/>
            <w:hideMark/>
          </w:tcPr>
          <w:p w14:paraId="0500C909" w14:textId="77777777" w:rsidR="00EA3F59" w:rsidRPr="00015A68" w:rsidRDefault="00EA3F59" w:rsidP="00EA3F59">
            <w:pPr>
              <w:spacing w:before="0" w:after="0"/>
              <w:rPr>
                <w:rFonts w:cs="Arial"/>
                <w:b/>
                <w:bCs/>
                <w:sz w:val="20"/>
                <w:szCs w:val="20"/>
              </w:rPr>
            </w:pPr>
            <w:r w:rsidRPr="00015A68">
              <w:rPr>
                <w:rFonts w:cs="Arial"/>
                <w:b/>
                <w:bCs/>
                <w:sz w:val="20"/>
                <w:szCs w:val="20"/>
              </w:rPr>
              <w:t>£000</w:t>
            </w:r>
          </w:p>
        </w:tc>
        <w:tc>
          <w:tcPr>
            <w:tcW w:w="1276" w:type="dxa"/>
            <w:noWrap/>
            <w:hideMark/>
          </w:tcPr>
          <w:p w14:paraId="0A2D0F34" w14:textId="77777777" w:rsidR="00EA3F59" w:rsidRPr="00015A68" w:rsidRDefault="00EA3F59" w:rsidP="00EA3F59">
            <w:pPr>
              <w:spacing w:before="0" w:after="0"/>
              <w:rPr>
                <w:rFonts w:cs="Arial"/>
                <w:b/>
                <w:bCs/>
                <w:sz w:val="20"/>
                <w:szCs w:val="20"/>
              </w:rPr>
            </w:pPr>
            <w:r w:rsidRPr="00015A68">
              <w:rPr>
                <w:rFonts w:cs="Arial"/>
                <w:b/>
                <w:bCs/>
                <w:sz w:val="20"/>
                <w:szCs w:val="20"/>
              </w:rPr>
              <w:t>£000</w:t>
            </w:r>
          </w:p>
        </w:tc>
        <w:tc>
          <w:tcPr>
            <w:tcW w:w="1134" w:type="dxa"/>
            <w:noWrap/>
            <w:hideMark/>
          </w:tcPr>
          <w:p w14:paraId="7DACE274" w14:textId="77777777" w:rsidR="00EA3F59" w:rsidRPr="00015A68" w:rsidRDefault="00EA3F59" w:rsidP="00EA3F59">
            <w:pPr>
              <w:spacing w:before="0" w:after="0"/>
              <w:rPr>
                <w:rFonts w:cs="Arial"/>
                <w:b/>
                <w:bCs/>
                <w:sz w:val="20"/>
                <w:szCs w:val="20"/>
              </w:rPr>
            </w:pPr>
            <w:r w:rsidRPr="00015A68">
              <w:rPr>
                <w:rFonts w:cs="Arial"/>
                <w:b/>
                <w:bCs/>
                <w:sz w:val="20"/>
                <w:szCs w:val="20"/>
              </w:rPr>
              <w:t>£000</w:t>
            </w:r>
          </w:p>
        </w:tc>
        <w:tc>
          <w:tcPr>
            <w:tcW w:w="1134" w:type="dxa"/>
            <w:noWrap/>
            <w:hideMark/>
          </w:tcPr>
          <w:p w14:paraId="6C786E8E" w14:textId="77777777" w:rsidR="00EA3F59" w:rsidRPr="00015A68" w:rsidRDefault="00EA3F59" w:rsidP="00EA3F59">
            <w:pPr>
              <w:spacing w:before="0" w:after="0"/>
              <w:rPr>
                <w:rFonts w:cs="Arial"/>
                <w:b/>
                <w:bCs/>
                <w:sz w:val="20"/>
                <w:szCs w:val="20"/>
              </w:rPr>
            </w:pPr>
            <w:r w:rsidRPr="00015A68">
              <w:rPr>
                <w:rFonts w:cs="Arial"/>
                <w:b/>
                <w:bCs/>
                <w:sz w:val="20"/>
                <w:szCs w:val="20"/>
              </w:rPr>
              <w:t>£000</w:t>
            </w:r>
          </w:p>
        </w:tc>
        <w:tc>
          <w:tcPr>
            <w:tcW w:w="1276" w:type="dxa"/>
            <w:noWrap/>
            <w:hideMark/>
          </w:tcPr>
          <w:p w14:paraId="63362582" w14:textId="77777777" w:rsidR="00EA3F59" w:rsidRPr="00015A68" w:rsidRDefault="00EA3F59" w:rsidP="00EA3F59">
            <w:pPr>
              <w:spacing w:before="0" w:after="0"/>
              <w:rPr>
                <w:rFonts w:cs="Arial"/>
                <w:b/>
                <w:bCs/>
                <w:sz w:val="20"/>
                <w:szCs w:val="20"/>
              </w:rPr>
            </w:pPr>
            <w:r w:rsidRPr="00015A68">
              <w:rPr>
                <w:rFonts w:cs="Arial"/>
                <w:b/>
                <w:bCs/>
                <w:sz w:val="20"/>
                <w:szCs w:val="20"/>
              </w:rPr>
              <w:t>£000</w:t>
            </w:r>
          </w:p>
        </w:tc>
        <w:tc>
          <w:tcPr>
            <w:tcW w:w="1195" w:type="dxa"/>
            <w:noWrap/>
            <w:hideMark/>
          </w:tcPr>
          <w:p w14:paraId="2F49EA08" w14:textId="77777777" w:rsidR="00EA3F59" w:rsidRPr="00015A68" w:rsidRDefault="00EA3F59" w:rsidP="00EA3F59">
            <w:pPr>
              <w:spacing w:before="0" w:after="0"/>
              <w:rPr>
                <w:rFonts w:cs="Arial"/>
                <w:b/>
                <w:bCs/>
                <w:sz w:val="20"/>
                <w:szCs w:val="20"/>
              </w:rPr>
            </w:pPr>
            <w:r w:rsidRPr="00015A68">
              <w:rPr>
                <w:rFonts w:cs="Arial"/>
                <w:b/>
                <w:bCs/>
                <w:sz w:val="20"/>
                <w:szCs w:val="20"/>
              </w:rPr>
              <w:t>£000</w:t>
            </w:r>
          </w:p>
        </w:tc>
      </w:tr>
      <w:tr w:rsidR="00EA3F59" w:rsidRPr="00015A68" w14:paraId="35D00771" w14:textId="77777777" w:rsidTr="00620EC0">
        <w:trPr>
          <w:trHeight w:val="288"/>
        </w:trPr>
        <w:tc>
          <w:tcPr>
            <w:tcW w:w="4531" w:type="dxa"/>
            <w:noWrap/>
            <w:hideMark/>
          </w:tcPr>
          <w:p w14:paraId="4DB128BD" w14:textId="77777777" w:rsidR="00EA3F59" w:rsidRPr="002B3AB5" w:rsidRDefault="00EA3F59" w:rsidP="00EA3F59">
            <w:pPr>
              <w:spacing w:before="0" w:after="0"/>
              <w:rPr>
                <w:rFonts w:cs="Arial"/>
                <w:sz w:val="19"/>
                <w:szCs w:val="19"/>
              </w:rPr>
            </w:pPr>
            <w:r w:rsidRPr="002B3AB5">
              <w:rPr>
                <w:rFonts w:cs="Arial"/>
                <w:sz w:val="19"/>
                <w:szCs w:val="19"/>
              </w:rPr>
              <w:t>Emma Latimer - Chief Officer</w:t>
            </w:r>
          </w:p>
        </w:tc>
        <w:tc>
          <w:tcPr>
            <w:tcW w:w="993" w:type="dxa"/>
            <w:hideMark/>
          </w:tcPr>
          <w:p w14:paraId="2074C343" w14:textId="77777777" w:rsidR="00EA3F59" w:rsidRPr="002B3AB5" w:rsidRDefault="00EA3F59" w:rsidP="00EA3F59">
            <w:pPr>
              <w:spacing w:before="0" w:after="0"/>
              <w:rPr>
                <w:rFonts w:cs="Arial"/>
                <w:sz w:val="19"/>
                <w:szCs w:val="19"/>
              </w:rPr>
            </w:pPr>
            <w:r w:rsidRPr="002B3AB5">
              <w:rPr>
                <w:rFonts w:cs="Arial"/>
                <w:sz w:val="19"/>
                <w:szCs w:val="19"/>
              </w:rPr>
              <w:t>0-2.5</w:t>
            </w:r>
          </w:p>
        </w:tc>
        <w:tc>
          <w:tcPr>
            <w:tcW w:w="1134" w:type="dxa"/>
            <w:hideMark/>
          </w:tcPr>
          <w:p w14:paraId="3A73AAB2" w14:textId="77777777" w:rsidR="00EA3F59" w:rsidRPr="002B3AB5" w:rsidRDefault="00EA3F59" w:rsidP="00EA3F59">
            <w:pPr>
              <w:spacing w:before="0" w:after="0"/>
              <w:rPr>
                <w:rFonts w:cs="Arial"/>
                <w:sz w:val="19"/>
                <w:szCs w:val="19"/>
              </w:rPr>
            </w:pPr>
            <w:r w:rsidRPr="002B3AB5">
              <w:rPr>
                <w:rFonts w:cs="Arial"/>
                <w:sz w:val="19"/>
                <w:szCs w:val="19"/>
              </w:rPr>
              <w:t>0-2.5</w:t>
            </w:r>
          </w:p>
        </w:tc>
        <w:tc>
          <w:tcPr>
            <w:tcW w:w="1275" w:type="dxa"/>
            <w:hideMark/>
          </w:tcPr>
          <w:p w14:paraId="026841D7" w14:textId="77777777" w:rsidR="00EA3F59" w:rsidRPr="002B3AB5" w:rsidRDefault="00EA3F59" w:rsidP="00EA3F59">
            <w:pPr>
              <w:spacing w:before="0" w:after="0"/>
              <w:rPr>
                <w:rFonts w:cs="Arial"/>
                <w:sz w:val="19"/>
                <w:szCs w:val="19"/>
              </w:rPr>
            </w:pPr>
            <w:r w:rsidRPr="002B3AB5">
              <w:rPr>
                <w:rFonts w:cs="Arial"/>
                <w:sz w:val="19"/>
                <w:szCs w:val="19"/>
              </w:rPr>
              <w:t>45-50</w:t>
            </w:r>
          </w:p>
        </w:tc>
        <w:tc>
          <w:tcPr>
            <w:tcW w:w="1276" w:type="dxa"/>
            <w:hideMark/>
          </w:tcPr>
          <w:p w14:paraId="74B27A0B" w14:textId="77777777" w:rsidR="00EA3F59" w:rsidRPr="002B3AB5" w:rsidRDefault="00EA3F59" w:rsidP="00EA3F59">
            <w:pPr>
              <w:spacing w:before="0" w:after="0"/>
              <w:rPr>
                <w:rFonts w:cs="Arial"/>
                <w:sz w:val="19"/>
                <w:szCs w:val="19"/>
              </w:rPr>
            </w:pPr>
            <w:r w:rsidRPr="002B3AB5">
              <w:rPr>
                <w:rFonts w:cs="Arial"/>
                <w:sz w:val="19"/>
                <w:szCs w:val="19"/>
              </w:rPr>
              <w:t>110-115</w:t>
            </w:r>
          </w:p>
        </w:tc>
        <w:tc>
          <w:tcPr>
            <w:tcW w:w="1134" w:type="dxa"/>
            <w:hideMark/>
          </w:tcPr>
          <w:p w14:paraId="7E00E6E4" w14:textId="77777777" w:rsidR="00EA3F59" w:rsidRPr="002B3AB5" w:rsidRDefault="00EA3F59" w:rsidP="00EA3F59">
            <w:pPr>
              <w:spacing w:before="0" w:after="0"/>
              <w:rPr>
                <w:rFonts w:cs="Arial"/>
                <w:sz w:val="19"/>
                <w:szCs w:val="19"/>
              </w:rPr>
            </w:pPr>
            <w:r w:rsidRPr="002B3AB5">
              <w:rPr>
                <w:rFonts w:cs="Arial"/>
                <w:sz w:val="19"/>
                <w:szCs w:val="19"/>
              </w:rPr>
              <w:t>810</w:t>
            </w:r>
          </w:p>
        </w:tc>
        <w:tc>
          <w:tcPr>
            <w:tcW w:w="1134" w:type="dxa"/>
            <w:hideMark/>
          </w:tcPr>
          <w:p w14:paraId="03A6A328"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276" w:type="dxa"/>
            <w:hideMark/>
          </w:tcPr>
          <w:p w14:paraId="2ACDDF6B" w14:textId="77777777" w:rsidR="00EA3F59" w:rsidRPr="002B3AB5" w:rsidRDefault="00EA3F59" w:rsidP="00EA3F59">
            <w:pPr>
              <w:spacing w:before="0" w:after="0"/>
              <w:rPr>
                <w:rFonts w:cs="Arial"/>
                <w:sz w:val="19"/>
                <w:szCs w:val="19"/>
              </w:rPr>
            </w:pPr>
            <w:r w:rsidRPr="002B3AB5">
              <w:rPr>
                <w:rFonts w:cs="Arial"/>
                <w:sz w:val="19"/>
                <w:szCs w:val="19"/>
              </w:rPr>
              <w:t>810</w:t>
            </w:r>
          </w:p>
        </w:tc>
        <w:tc>
          <w:tcPr>
            <w:tcW w:w="1195" w:type="dxa"/>
            <w:hideMark/>
          </w:tcPr>
          <w:p w14:paraId="3700D3F4" w14:textId="77777777" w:rsidR="00EA3F59" w:rsidRPr="002B3AB5" w:rsidRDefault="00EA3F59" w:rsidP="00EA3F59">
            <w:pPr>
              <w:spacing w:before="0" w:after="0"/>
              <w:rPr>
                <w:rFonts w:cs="Arial"/>
                <w:sz w:val="19"/>
                <w:szCs w:val="19"/>
              </w:rPr>
            </w:pPr>
            <w:r w:rsidRPr="002B3AB5">
              <w:rPr>
                <w:rFonts w:cs="Arial"/>
                <w:sz w:val="19"/>
                <w:szCs w:val="19"/>
              </w:rPr>
              <w:t>0</w:t>
            </w:r>
          </w:p>
        </w:tc>
      </w:tr>
      <w:tr w:rsidR="00EA3F59" w:rsidRPr="00015A68" w14:paraId="2EE320C6" w14:textId="77777777" w:rsidTr="00620EC0">
        <w:trPr>
          <w:trHeight w:val="288"/>
        </w:trPr>
        <w:tc>
          <w:tcPr>
            <w:tcW w:w="4531" w:type="dxa"/>
            <w:noWrap/>
            <w:hideMark/>
          </w:tcPr>
          <w:p w14:paraId="08BA3EB0" w14:textId="77777777" w:rsidR="00EA3F59" w:rsidRPr="002B3AB5" w:rsidRDefault="00EA3F59" w:rsidP="00EA3F59">
            <w:pPr>
              <w:spacing w:before="0" w:after="0"/>
              <w:rPr>
                <w:rFonts w:cs="Arial"/>
                <w:sz w:val="19"/>
                <w:szCs w:val="19"/>
              </w:rPr>
            </w:pPr>
            <w:r w:rsidRPr="002B3AB5">
              <w:rPr>
                <w:rFonts w:cs="Arial"/>
                <w:sz w:val="19"/>
                <w:szCs w:val="19"/>
              </w:rPr>
              <w:t>Emma Sayner - Chief Finance Officer</w:t>
            </w:r>
          </w:p>
        </w:tc>
        <w:tc>
          <w:tcPr>
            <w:tcW w:w="993" w:type="dxa"/>
            <w:hideMark/>
          </w:tcPr>
          <w:p w14:paraId="6C03A819" w14:textId="77777777" w:rsidR="00EA3F59" w:rsidRPr="002B3AB5" w:rsidRDefault="00EA3F59" w:rsidP="00EA3F59">
            <w:pPr>
              <w:spacing w:before="0" w:after="0"/>
              <w:rPr>
                <w:rFonts w:cs="Arial"/>
                <w:sz w:val="19"/>
                <w:szCs w:val="19"/>
              </w:rPr>
            </w:pPr>
            <w:r w:rsidRPr="002B3AB5">
              <w:rPr>
                <w:rFonts w:cs="Arial"/>
                <w:sz w:val="19"/>
                <w:szCs w:val="19"/>
              </w:rPr>
              <w:t>0-2.5</w:t>
            </w:r>
          </w:p>
        </w:tc>
        <w:tc>
          <w:tcPr>
            <w:tcW w:w="1134" w:type="dxa"/>
            <w:hideMark/>
          </w:tcPr>
          <w:p w14:paraId="6354AFD4" w14:textId="77777777" w:rsidR="00EA3F59" w:rsidRPr="002B3AB5" w:rsidRDefault="00EA3F59" w:rsidP="00EA3F59">
            <w:pPr>
              <w:spacing w:before="0" w:after="0"/>
              <w:rPr>
                <w:rFonts w:cs="Arial"/>
                <w:sz w:val="19"/>
                <w:szCs w:val="19"/>
              </w:rPr>
            </w:pPr>
            <w:r w:rsidRPr="002B3AB5">
              <w:rPr>
                <w:rFonts w:cs="Arial"/>
                <w:sz w:val="19"/>
                <w:szCs w:val="19"/>
              </w:rPr>
              <w:t>0-2.5</w:t>
            </w:r>
          </w:p>
        </w:tc>
        <w:tc>
          <w:tcPr>
            <w:tcW w:w="1275" w:type="dxa"/>
            <w:hideMark/>
          </w:tcPr>
          <w:p w14:paraId="42EA55D2" w14:textId="77777777" w:rsidR="00EA3F59" w:rsidRPr="002B3AB5" w:rsidRDefault="00EA3F59" w:rsidP="00EA3F59">
            <w:pPr>
              <w:spacing w:before="0" w:after="0"/>
              <w:rPr>
                <w:rFonts w:cs="Arial"/>
                <w:sz w:val="19"/>
                <w:szCs w:val="19"/>
              </w:rPr>
            </w:pPr>
            <w:r w:rsidRPr="002B3AB5">
              <w:rPr>
                <w:rFonts w:cs="Arial"/>
                <w:sz w:val="19"/>
                <w:szCs w:val="19"/>
              </w:rPr>
              <w:t>35-40</w:t>
            </w:r>
          </w:p>
        </w:tc>
        <w:tc>
          <w:tcPr>
            <w:tcW w:w="1276" w:type="dxa"/>
            <w:hideMark/>
          </w:tcPr>
          <w:p w14:paraId="32EB3228" w14:textId="77777777" w:rsidR="00EA3F59" w:rsidRPr="002B3AB5" w:rsidRDefault="00EA3F59" w:rsidP="00EA3F59">
            <w:pPr>
              <w:spacing w:before="0" w:after="0"/>
              <w:rPr>
                <w:rFonts w:cs="Arial"/>
                <w:sz w:val="19"/>
                <w:szCs w:val="19"/>
              </w:rPr>
            </w:pPr>
            <w:r w:rsidRPr="002B3AB5">
              <w:rPr>
                <w:rFonts w:cs="Arial"/>
                <w:sz w:val="19"/>
                <w:szCs w:val="19"/>
              </w:rPr>
              <w:t>60-65</w:t>
            </w:r>
          </w:p>
        </w:tc>
        <w:tc>
          <w:tcPr>
            <w:tcW w:w="1134" w:type="dxa"/>
            <w:hideMark/>
          </w:tcPr>
          <w:p w14:paraId="03EFEC58" w14:textId="77777777" w:rsidR="00EA3F59" w:rsidRPr="002B3AB5" w:rsidRDefault="00EA3F59" w:rsidP="00EA3F59">
            <w:pPr>
              <w:spacing w:before="0" w:after="0"/>
              <w:rPr>
                <w:rFonts w:cs="Arial"/>
                <w:sz w:val="19"/>
                <w:szCs w:val="19"/>
              </w:rPr>
            </w:pPr>
            <w:r w:rsidRPr="002B3AB5">
              <w:rPr>
                <w:rFonts w:cs="Arial"/>
                <w:sz w:val="19"/>
                <w:szCs w:val="19"/>
              </w:rPr>
              <w:t>501</w:t>
            </w:r>
          </w:p>
        </w:tc>
        <w:tc>
          <w:tcPr>
            <w:tcW w:w="1134" w:type="dxa"/>
            <w:hideMark/>
          </w:tcPr>
          <w:p w14:paraId="264AAE35" w14:textId="77777777" w:rsidR="00EA3F59" w:rsidRPr="002B3AB5" w:rsidRDefault="00EA3F59" w:rsidP="00EA3F59">
            <w:pPr>
              <w:spacing w:before="0" w:after="0"/>
              <w:rPr>
                <w:rFonts w:cs="Arial"/>
                <w:sz w:val="19"/>
                <w:szCs w:val="19"/>
              </w:rPr>
            </w:pPr>
            <w:r w:rsidRPr="002B3AB5">
              <w:rPr>
                <w:rFonts w:cs="Arial"/>
                <w:sz w:val="19"/>
                <w:szCs w:val="19"/>
              </w:rPr>
              <w:t>58</w:t>
            </w:r>
          </w:p>
        </w:tc>
        <w:tc>
          <w:tcPr>
            <w:tcW w:w="1276" w:type="dxa"/>
            <w:hideMark/>
          </w:tcPr>
          <w:p w14:paraId="1A09F09D" w14:textId="77777777" w:rsidR="00EA3F59" w:rsidRPr="002B3AB5" w:rsidRDefault="00EA3F59" w:rsidP="00EA3F59">
            <w:pPr>
              <w:spacing w:before="0" w:after="0"/>
              <w:rPr>
                <w:rFonts w:cs="Arial"/>
                <w:sz w:val="19"/>
                <w:szCs w:val="19"/>
              </w:rPr>
            </w:pPr>
            <w:r w:rsidRPr="002B3AB5">
              <w:rPr>
                <w:rFonts w:cs="Arial"/>
                <w:sz w:val="19"/>
                <w:szCs w:val="19"/>
              </w:rPr>
              <w:t>545</w:t>
            </w:r>
          </w:p>
        </w:tc>
        <w:tc>
          <w:tcPr>
            <w:tcW w:w="1195" w:type="dxa"/>
            <w:hideMark/>
          </w:tcPr>
          <w:p w14:paraId="0A6063D9" w14:textId="77777777" w:rsidR="00EA3F59" w:rsidRPr="002B3AB5" w:rsidRDefault="00EA3F59" w:rsidP="00EA3F59">
            <w:pPr>
              <w:spacing w:before="0" w:after="0"/>
              <w:rPr>
                <w:rFonts w:cs="Arial"/>
                <w:sz w:val="19"/>
                <w:szCs w:val="19"/>
              </w:rPr>
            </w:pPr>
            <w:r w:rsidRPr="002B3AB5">
              <w:rPr>
                <w:rFonts w:cs="Arial"/>
                <w:sz w:val="19"/>
                <w:szCs w:val="19"/>
              </w:rPr>
              <w:t>0</w:t>
            </w:r>
          </w:p>
        </w:tc>
      </w:tr>
      <w:tr w:rsidR="00EA3F59" w:rsidRPr="00015A68" w14:paraId="611E7EF4" w14:textId="77777777" w:rsidTr="00620EC0">
        <w:trPr>
          <w:trHeight w:val="288"/>
        </w:trPr>
        <w:tc>
          <w:tcPr>
            <w:tcW w:w="4531" w:type="dxa"/>
            <w:noWrap/>
            <w:hideMark/>
          </w:tcPr>
          <w:p w14:paraId="5A6D1476" w14:textId="77777777" w:rsidR="00EA3F59" w:rsidRPr="002B3AB5" w:rsidRDefault="00EA3F59" w:rsidP="00EA3F59">
            <w:pPr>
              <w:spacing w:before="0" w:after="0"/>
              <w:rPr>
                <w:rFonts w:cs="Arial"/>
                <w:sz w:val="19"/>
                <w:szCs w:val="19"/>
              </w:rPr>
            </w:pPr>
            <w:r w:rsidRPr="002B3AB5">
              <w:rPr>
                <w:rFonts w:cs="Arial"/>
                <w:sz w:val="19"/>
                <w:szCs w:val="19"/>
              </w:rPr>
              <w:t>Erica Daley - Interim Chief Operating Officer</w:t>
            </w:r>
          </w:p>
        </w:tc>
        <w:tc>
          <w:tcPr>
            <w:tcW w:w="993" w:type="dxa"/>
            <w:hideMark/>
          </w:tcPr>
          <w:p w14:paraId="25B6C61D"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34" w:type="dxa"/>
            <w:hideMark/>
          </w:tcPr>
          <w:p w14:paraId="6FDB18CE"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275" w:type="dxa"/>
            <w:hideMark/>
          </w:tcPr>
          <w:p w14:paraId="4353819C"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276" w:type="dxa"/>
            <w:hideMark/>
          </w:tcPr>
          <w:p w14:paraId="75A0115D"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34" w:type="dxa"/>
            <w:hideMark/>
          </w:tcPr>
          <w:p w14:paraId="18C718DE"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34" w:type="dxa"/>
            <w:hideMark/>
          </w:tcPr>
          <w:p w14:paraId="2911CEB2"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276" w:type="dxa"/>
            <w:hideMark/>
          </w:tcPr>
          <w:p w14:paraId="2B335889"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95" w:type="dxa"/>
            <w:hideMark/>
          </w:tcPr>
          <w:p w14:paraId="6BD83963" w14:textId="77777777" w:rsidR="00EA3F59" w:rsidRPr="002B3AB5" w:rsidRDefault="00EA3F59" w:rsidP="00EA3F59">
            <w:pPr>
              <w:spacing w:before="0" w:after="0"/>
              <w:rPr>
                <w:rFonts w:cs="Arial"/>
                <w:sz w:val="19"/>
                <w:szCs w:val="19"/>
              </w:rPr>
            </w:pPr>
            <w:r w:rsidRPr="002B3AB5">
              <w:rPr>
                <w:rFonts w:cs="Arial"/>
                <w:sz w:val="19"/>
                <w:szCs w:val="19"/>
              </w:rPr>
              <w:t>0</w:t>
            </w:r>
          </w:p>
        </w:tc>
      </w:tr>
      <w:tr w:rsidR="00EA3F59" w:rsidRPr="00015A68" w14:paraId="1FBE3BB7" w14:textId="77777777" w:rsidTr="00620EC0">
        <w:trPr>
          <w:trHeight w:val="288"/>
        </w:trPr>
        <w:tc>
          <w:tcPr>
            <w:tcW w:w="4531" w:type="dxa"/>
            <w:noWrap/>
            <w:hideMark/>
          </w:tcPr>
          <w:p w14:paraId="69F9375F" w14:textId="77777777" w:rsidR="00EA3F59" w:rsidRPr="002B3AB5" w:rsidRDefault="00EA3F59" w:rsidP="00EA3F59">
            <w:pPr>
              <w:spacing w:before="0" w:after="0"/>
              <w:rPr>
                <w:rFonts w:cs="Arial"/>
                <w:sz w:val="19"/>
                <w:szCs w:val="19"/>
              </w:rPr>
            </w:pPr>
            <w:r w:rsidRPr="002B3AB5">
              <w:rPr>
                <w:rFonts w:cs="Arial"/>
                <w:sz w:val="19"/>
                <w:szCs w:val="19"/>
              </w:rPr>
              <w:t>Clare Linley - Director of Nursing and Quality (Executive Nurse) (April to June 2021)</w:t>
            </w:r>
          </w:p>
        </w:tc>
        <w:tc>
          <w:tcPr>
            <w:tcW w:w="993" w:type="dxa"/>
            <w:hideMark/>
          </w:tcPr>
          <w:p w14:paraId="18CE2476"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37597A64"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5" w:type="dxa"/>
            <w:hideMark/>
          </w:tcPr>
          <w:p w14:paraId="7EB918A7"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6" w:type="dxa"/>
            <w:hideMark/>
          </w:tcPr>
          <w:p w14:paraId="1DF3C611"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2C023658"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6BEBA256"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6" w:type="dxa"/>
            <w:hideMark/>
          </w:tcPr>
          <w:p w14:paraId="49BFAB50"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95" w:type="dxa"/>
            <w:hideMark/>
          </w:tcPr>
          <w:p w14:paraId="591BEF75" w14:textId="77777777" w:rsidR="00EA3F59" w:rsidRPr="002B3AB5" w:rsidRDefault="00EA3F59" w:rsidP="00EA3F59">
            <w:pPr>
              <w:spacing w:before="0" w:after="0"/>
              <w:rPr>
                <w:rFonts w:cs="Arial"/>
                <w:sz w:val="19"/>
                <w:szCs w:val="19"/>
              </w:rPr>
            </w:pPr>
            <w:r w:rsidRPr="002B3AB5">
              <w:rPr>
                <w:rFonts w:cs="Arial"/>
                <w:sz w:val="19"/>
                <w:szCs w:val="19"/>
              </w:rPr>
              <w:t>**</w:t>
            </w:r>
          </w:p>
        </w:tc>
      </w:tr>
      <w:tr w:rsidR="00EA3F59" w:rsidRPr="00015A68" w14:paraId="06964175" w14:textId="77777777" w:rsidTr="00620EC0">
        <w:trPr>
          <w:trHeight w:val="288"/>
        </w:trPr>
        <w:tc>
          <w:tcPr>
            <w:tcW w:w="4531" w:type="dxa"/>
            <w:noWrap/>
            <w:hideMark/>
          </w:tcPr>
          <w:p w14:paraId="600597A5" w14:textId="77777777" w:rsidR="00EA3F59" w:rsidRPr="002B3AB5" w:rsidRDefault="00EA3F59" w:rsidP="00EA3F59">
            <w:pPr>
              <w:spacing w:before="0" w:after="0"/>
              <w:rPr>
                <w:rFonts w:cs="Arial"/>
                <w:sz w:val="19"/>
                <w:szCs w:val="19"/>
              </w:rPr>
            </w:pPr>
            <w:r w:rsidRPr="002B3AB5">
              <w:rPr>
                <w:rFonts w:cs="Arial"/>
                <w:sz w:val="19"/>
                <w:szCs w:val="19"/>
              </w:rPr>
              <w:t>Debbie Lowe - Acting Director of Nursing &amp; Quality (From July 2021)</w:t>
            </w:r>
          </w:p>
        </w:tc>
        <w:tc>
          <w:tcPr>
            <w:tcW w:w="993" w:type="dxa"/>
            <w:hideMark/>
          </w:tcPr>
          <w:p w14:paraId="51978FAC" w14:textId="77777777" w:rsidR="00EA3F59" w:rsidRPr="002B3AB5" w:rsidRDefault="00EA3F59" w:rsidP="00EA3F59">
            <w:pPr>
              <w:spacing w:before="0" w:after="0"/>
              <w:rPr>
                <w:rFonts w:cs="Arial"/>
                <w:sz w:val="19"/>
                <w:szCs w:val="19"/>
              </w:rPr>
            </w:pPr>
            <w:r w:rsidRPr="002B3AB5">
              <w:rPr>
                <w:rFonts w:cs="Arial"/>
                <w:sz w:val="19"/>
                <w:szCs w:val="19"/>
              </w:rPr>
              <w:t>0-2.5</w:t>
            </w:r>
          </w:p>
        </w:tc>
        <w:tc>
          <w:tcPr>
            <w:tcW w:w="1134" w:type="dxa"/>
            <w:hideMark/>
          </w:tcPr>
          <w:p w14:paraId="3E6FA78E"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275" w:type="dxa"/>
            <w:hideMark/>
          </w:tcPr>
          <w:p w14:paraId="5C7BC5E8" w14:textId="77777777" w:rsidR="00EA3F59" w:rsidRPr="002B3AB5" w:rsidRDefault="00EA3F59" w:rsidP="00EA3F59">
            <w:pPr>
              <w:spacing w:before="0" w:after="0"/>
              <w:rPr>
                <w:rFonts w:cs="Arial"/>
                <w:sz w:val="19"/>
                <w:szCs w:val="19"/>
              </w:rPr>
            </w:pPr>
            <w:r w:rsidRPr="002B3AB5">
              <w:rPr>
                <w:rFonts w:cs="Arial"/>
                <w:sz w:val="19"/>
                <w:szCs w:val="19"/>
              </w:rPr>
              <w:t>10-15</w:t>
            </w:r>
          </w:p>
        </w:tc>
        <w:tc>
          <w:tcPr>
            <w:tcW w:w="1276" w:type="dxa"/>
            <w:hideMark/>
          </w:tcPr>
          <w:p w14:paraId="13642E86" w14:textId="77777777" w:rsidR="00EA3F59" w:rsidRPr="002B3AB5" w:rsidRDefault="00EA3F59" w:rsidP="00EA3F59">
            <w:pPr>
              <w:spacing w:before="0" w:after="0"/>
              <w:rPr>
                <w:rFonts w:cs="Arial"/>
                <w:sz w:val="19"/>
                <w:szCs w:val="19"/>
              </w:rPr>
            </w:pPr>
            <w:r w:rsidRPr="002B3AB5">
              <w:rPr>
                <w:rFonts w:cs="Arial"/>
                <w:sz w:val="19"/>
                <w:szCs w:val="19"/>
              </w:rPr>
              <w:t>20-25</w:t>
            </w:r>
          </w:p>
        </w:tc>
        <w:tc>
          <w:tcPr>
            <w:tcW w:w="1134" w:type="dxa"/>
            <w:hideMark/>
          </w:tcPr>
          <w:p w14:paraId="05598AF9" w14:textId="77777777" w:rsidR="00EA3F59" w:rsidRPr="002B3AB5" w:rsidRDefault="00EA3F59" w:rsidP="00EA3F59">
            <w:pPr>
              <w:spacing w:before="0" w:after="0"/>
              <w:rPr>
                <w:rFonts w:cs="Arial"/>
                <w:sz w:val="19"/>
                <w:szCs w:val="19"/>
              </w:rPr>
            </w:pPr>
            <w:r w:rsidRPr="002B3AB5">
              <w:rPr>
                <w:rFonts w:cs="Arial"/>
                <w:sz w:val="19"/>
                <w:szCs w:val="19"/>
              </w:rPr>
              <w:t>163</w:t>
            </w:r>
          </w:p>
        </w:tc>
        <w:tc>
          <w:tcPr>
            <w:tcW w:w="1134" w:type="dxa"/>
            <w:hideMark/>
          </w:tcPr>
          <w:p w14:paraId="57352016" w14:textId="77777777" w:rsidR="00EA3F59" w:rsidRPr="002B3AB5" w:rsidRDefault="00EA3F59" w:rsidP="00EA3F59">
            <w:pPr>
              <w:spacing w:before="0" w:after="0"/>
              <w:rPr>
                <w:rFonts w:cs="Arial"/>
                <w:sz w:val="19"/>
                <w:szCs w:val="19"/>
              </w:rPr>
            </w:pPr>
            <w:r w:rsidRPr="002B3AB5">
              <w:rPr>
                <w:rFonts w:cs="Arial"/>
                <w:sz w:val="19"/>
                <w:szCs w:val="19"/>
              </w:rPr>
              <w:t>25</w:t>
            </w:r>
          </w:p>
        </w:tc>
        <w:tc>
          <w:tcPr>
            <w:tcW w:w="1276" w:type="dxa"/>
            <w:hideMark/>
          </w:tcPr>
          <w:p w14:paraId="2C1CDD96" w14:textId="77777777" w:rsidR="00EA3F59" w:rsidRPr="002B3AB5" w:rsidRDefault="00EA3F59" w:rsidP="00EA3F59">
            <w:pPr>
              <w:spacing w:before="0" w:after="0"/>
              <w:rPr>
                <w:rFonts w:cs="Arial"/>
                <w:sz w:val="19"/>
                <w:szCs w:val="19"/>
              </w:rPr>
            </w:pPr>
            <w:r w:rsidRPr="002B3AB5">
              <w:rPr>
                <w:rFonts w:cs="Arial"/>
                <w:sz w:val="19"/>
                <w:szCs w:val="19"/>
              </w:rPr>
              <w:t>188</w:t>
            </w:r>
          </w:p>
        </w:tc>
        <w:tc>
          <w:tcPr>
            <w:tcW w:w="1195" w:type="dxa"/>
            <w:hideMark/>
          </w:tcPr>
          <w:p w14:paraId="6A6D850D" w14:textId="77777777" w:rsidR="00EA3F59" w:rsidRPr="002B3AB5" w:rsidRDefault="00EA3F59" w:rsidP="00EA3F59">
            <w:pPr>
              <w:spacing w:before="0" w:after="0"/>
              <w:rPr>
                <w:rFonts w:cs="Arial"/>
                <w:sz w:val="19"/>
                <w:szCs w:val="19"/>
              </w:rPr>
            </w:pPr>
            <w:r w:rsidRPr="002B3AB5">
              <w:rPr>
                <w:rFonts w:cs="Arial"/>
                <w:sz w:val="19"/>
                <w:szCs w:val="19"/>
              </w:rPr>
              <w:t>0</w:t>
            </w:r>
          </w:p>
        </w:tc>
      </w:tr>
      <w:tr w:rsidR="00EA3F59" w:rsidRPr="00015A68" w14:paraId="64D8BBD5" w14:textId="77777777" w:rsidTr="00620EC0">
        <w:trPr>
          <w:trHeight w:val="288"/>
        </w:trPr>
        <w:tc>
          <w:tcPr>
            <w:tcW w:w="4531" w:type="dxa"/>
            <w:noWrap/>
            <w:hideMark/>
          </w:tcPr>
          <w:p w14:paraId="4D59D109" w14:textId="77777777" w:rsidR="00EA3F59" w:rsidRPr="002B3AB5" w:rsidRDefault="00EA3F59" w:rsidP="00EA3F59">
            <w:pPr>
              <w:spacing w:before="0" w:after="0"/>
              <w:rPr>
                <w:rFonts w:cs="Arial"/>
                <w:sz w:val="19"/>
                <w:szCs w:val="19"/>
              </w:rPr>
            </w:pPr>
            <w:r w:rsidRPr="002B3AB5">
              <w:rPr>
                <w:rFonts w:cs="Arial"/>
                <w:sz w:val="19"/>
                <w:szCs w:val="19"/>
              </w:rPr>
              <w:t>Dr Daniel Roper - Chair of CCG Governing Body</w:t>
            </w:r>
          </w:p>
        </w:tc>
        <w:tc>
          <w:tcPr>
            <w:tcW w:w="993" w:type="dxa"/>
            <w:hideMark/>
          </w:tcPr>
          <w:p w14:paraId="09B53491"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07AE608B"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5" w:type="dxa"/>
            <w:hideMark/>
          </w:tcPr>
          <w:p w14:paraId="47BA5B02"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6" w:type="dxa"/>
            <w:hideMark/>
          </w:tcPr>
          <w:p w14:paraId="53424380"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3024754B"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01B49864"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6" w:type="dxa"/>
            <w:hideMark/>
          </w:tcPr>
          <w:p w14:paraId="0846D527"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95" w:type="dxa"/>
            <w:hideMark/>
          </w:tcPr>
          <w:p w14:paraId="206BDBB7" w14:textId="77777777" w:rsidR="00EA3F59" w:rsidRPr="002B3AB5" w:rsidRDefault="00EA3F59" w:rsidP="00EA3F59">
            <w:pPr>
              <w:spacing w:before="0" w:after="0"/>
              <w:rPr>
                <w:rFonts w:cs="Arial"/>
                <w:sz w:val="19"/>
                <w:szCs w:val="19"/>
              </w:rPr>
            </w:pPr>
            <w:r w:rsidRPr="002B3AB5">
              <w:rPr>
                <w:rFonts w:cs="Arial"/>
                <w:sz w:val="19"/>
                <w:szCs w:val="19"/>
              </w:rPr>
              <w:t>*</w:t>
            </w:r>
          </w:p>
        </w:tc>
      </w:tr>
      <w:tr w:rsidR="00EA3F59" w:rsidRPr="00015A68" w14:paraId="1E50EAB7" w14:textId="77777777" w:rsidTr="00620EC0">
        <w:trPr>
          <w:trHeight w:val="288"/>
        </w:trPr>
        <w:tc>
          <w:tcPr>
            <w:tcW w:w="4531" w:type="dxa"/>
            <w:noWrap/>
            <w:hideMark/>
          </w:tcPr>
          <w:p w14:paraId="69AACC74" w14:textId="77777777" w:rsidR="00EA3F59" w:rsidRPr="002B3AB5" w:rsidRDefault="00EA3F59" w:rsidP="00EA3F59">
            <w:pPr>
              <w:spacing w:before="0" w:after="0"/>
              <w:rPr>
                <w:rFonts w:cs="Arial"/>
                <w:sz w:val="19"/>
                <w:szCs w:val="19"/>
              </w:rPr>
            </w:pPr>
            <w:r w:rsidRPr="002B3AB5">
              <w:rPr>
                <w:rFonts w:cs="Arial"/>
                <w:sz w:val="19"/>
                <w:szCs w:val="19"/>
              </w:rPr>
              <w:t>Dr James Moult - CCG Governing Body Member</w:t>
            </w:r>
          </w:p>
        </w:tc>
        <w:tc>
          <w:tcPr>
            <w:tcW w:w="993" w:type="dxa"/>
            <w:hideMark/>
          </w:tcPr>
          <w:p w14:paraId="58728037"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3BADA468"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5" w:type="dxa"/>
            <w:hideMark/>
          </w:tcPr>
          <w:p w14:paraId="0F890F3D"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6" w:type="dxa"/>
            <w:hideMark/>
          </w:tcPr>
          <w:p w14:paraId="181A4864"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4357E4C4"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1DF01523"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6" w:type="dxa"/>
            <w:hideMark/>
          </w:tcPr>
          <w:p w14:paraId="1E67A2B4"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95" w:type="dxa"/>
            <w:hideMark/>
          </w:tcPr>
          <w:p w14:paraId="08D995B5" w14:textId="77777777" w:rsidR="00EA3F59" w:rsidRPr="002B3AB5" w:rsidRDefault="00EA3F59" w:rsidP="00EA3F59">
            <w:pPr>
              <w:spacing w:before="0" w:after="0"/>
              <w:rPr>
                <w:rFonts w:cs="Arial"/>
                <w:sz w:val="19"/>
                <w:szCs w:val="19"/>
              </w:rPr>
            </w:pPr>
            <w:r w:rsidRPr="002B3AB5">
              <w:rPr>
                <w:rFonts w:cs="Arial"/>
                <w:sz w:val="19"/>
                <w:szCs w:val="19"/>
              </w:rPr>
              <w:t>*</w:t>
            </w:r>
          </w:p>
        </w:tc>
      </w:tr>
      <w:tr w:rsidR="00EA3F59" w:rsidRPr="00015A68" w14:paraId="67D2F0A9" w14:textId="77777777" w:rsidTr="00620EC0">
        <w:trPr>
          <w:trHeight w:val="288"/>
        </w:trPr>
        <w:tc>
          <w:tcPr>
            <w:tcW w:w="4531" w:type="dxa"/>
            <w:noWrap/>
            <w:hideMark/>
          </w:tcPr>
          <w:p w14:paraId="21493D88" w14:textId="77777777" w:rsidR="00EA3F59" w:rsidRPr="002B3AB5" w:rsidRDefault="00EA3F59" w:rsidP="00EA3F59">
            <w:pPr>
              <w:spacing w:before="0" w:after="0"/>
              <w:rPr>
                <w:rFonts w:cs="Arial"/>
                <w:sz w:val="19"/>
                <w:szCs w:val="19"/>
              </w:rPr>
            </w:pPr>
            <w:r w:rsidRPr="002B3AB5">
              <w:rPr>
                <w:rFonts w:cs="Arial"/>
                <w:sz w:val="19"/>
                <w:szCs w:val="19"/>
              </w:rPr>
              <w:t>Dr Vincent Rawcliffe - CCG Governing Body Member</w:t>
            </w:r>
          </w:p>
        </w:tc>
        <w:tc>
          <w:tcPr>
            <w:tcW w:w="993" w:type="dxa"/>
            <w:hideMark/>
          </w:tcPr>
          <w:p w14:paraId="11CA5616"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1A554F01"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5" w:type="dxa"/>
            <w:hideMark/>
          </w:tcPr>
          <w:p w14:paraId="55C49801"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6" w:type="dxa"/>
            <w:hideMark/>
          </w:tcPr>
          <w:p w14:paraId="72083281"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3F867E64"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25ABA22A"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6" w:type="dxa"/>
            <w:hideMark/>
          </w:tcPr>
          <w:p w14:paraId="4478E4F2"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95" w:type="dxa"/>
            <w:hideMark/>
          </w:tcPr>
          <w:p w14:paraId="6CF400E3" w14:textId="77777777" w:rsidR="00EA3F59" w:rsidRPr="002B3AB5" w:rsidRDefault="00EA3F59" w:rsidP="00EA3F59">
            <w:pPr>
              <w:spacing w:before="0" w:after="0"/>
              <w:rPr>
                <w:rFonts w:cs="Arial"/>
                <w:sz w:val="19"/>
                <w:szCs w:val="19"/>
              </w:rPr>
            </w:pPr>
            <w:r w:rsidRPr="002B3AB5">
              <w:rPr>
                <w:rFonts w:cs="Arial"/>
                <w:sz w:val="19"/>
                <w:szCs w:val="19"/>
              </w:rPr>
              <w:t>*</w:t>
            </w:r>
          </w:p>
        </w:tc>
      </w:tr>
      <w:tr w:rsidR="00EA3F59" w:rsidRPr="00015A68" w14:paraId="5AB0515B" w14:textId="77777777" w:rsidTr="00620EC0">
        <w:trPr>
          <w:trHeight w:val="288"/>
        </w:trPr>
        <w:tc>
          <w:tcPr>
            <w:tcW w:w="4531" w:type="dxa"/>
            <w:noWrap/>
            <w:hideMark/>
          </w:tcPr>
          <w:p w14:paraId="22676853" w14:textId="77777777" w:rsidR="00EA3F59" w:rsidRPr="002B3AB5" w:rsidRDefault="00EA3F59" w:rsidP="00EA3F59">
            <w:pPr>
              <w:spacing w:before="0" w:after="0"/>
              <w:rPr>
                <w:rFonts w:cs="Arial"/>
                <w:sz w:val="19"/>
                <w:szCs w:val="19"/>
              </w:rPr>
            </w:pPr>
            <w:r w:rsidRPr="002B3AB5">
              <w:rPr>
                <w:rFonts w:cs="Arial"/>
                <w:sz w:val="19"/>
                <w:szCs w:val="19"/>
              </w:rPr>
              <w:t>Dr Masood Balouch - CCG Governing Body Member</w:t>
            </w:r>
          </w:p>
        </w:tc>
        <w:tc>
          <w:tcPr>
            <w:tcW w:w="993" w:type="dxa"/>
            <w:hideMark/>
          </w:tcPr>
          <w:p w14:paraId="741A0553"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254B44CE"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5" w:type="dxa"/>
            <w:hideMark/>
          </w:tcPr>
          <w:p w14:paraId="539B4BDB"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6" w:type="dxa"/>
            <w:hideMark/>
          </w:tcPr>
          <w:p w14:paraId="07B9F32B"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03B26D99"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6F234A2A"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6" w:type="dxa"/>
            <w:hideMark/>
          </w:tcPr>
          <w:p w14:paraId="37E12751"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95" w:type="dxa"/>
            <w:hideMark/>
          </w:tcPr>
          <w:p w14:paraId="53AE2438" w14:textId="77777777" w:rsidR="00EA3F59" w:rsidRPr="002B3AB5" w:rsidRDefault="00EA3F59" w:rsidP="00EA3F59">
            <w:pPr>
              <w:spacing w:before="0" w:after="0"/>
              <w:rPr>
                <w:rFonts w:cs="Arial"/>
                <w:sz w:val="19"/>
                <w:szCs w:val="19"/>
              </w:rPr>
            </w:pPr>
            <w:r w:rsidRPr="002B3AB5">
              <w:rPr>
                <w:rFonts w:cs="Arial"/>
                <w:sz w:val="19"/>
                <w:szCs w:val="19"/>
              </w:rPr>
              <w:t>*</w:t>
            </w:r>
          </w:p>
        </w:tc>
      </w:tr>
      <w:tr w:rsidR="00EA3F59" w:rsidRPr="00015A68" w14:paraId="29436A87" w14:textId="77777777" w:rsidTr="00620EC0">
        <w:trPr>
          <w:trHeight w:val="288"/>
        </w:trPr>
        <w:tc>
          <w:tcPr>
            <w:tcW w:w="4531" w:type="dxa"/>
            <w:noWrap/>
            <w:hideMark/>
          </w:tcPr>
          <w:p w14:paraId="392E082B" w14:textId="77777777" w:rsidR="00EA3F59" w:rsidRPr="002B3AB5" w:rsidRDefault="00EA3F59" w:rsidP="00EA3F59">
            <w:pPr>
              <w:spacing w:before="0" w:after="0"/>
              <w:rPr>
                <w:rFonts w:cs="Arial"/>
                <w:sz w:val="19"/>
                <w:szCs w:val="19"/>
              </w:rPr>
            </w:pPr>
            <w:r w:rsidRPr="002B3AB5">
              <w:rPr>
                <w:rFonts w:cs="Arial"/>
                <w:sz w:val="19"/>
                <w:szCs w:val="19"/>
              </w:rPr>
              <w:t>Dr Bushra Ali - CCG Governing Body Member</w:t>
            </w:r>
          </w:p>
        </w:tc>
        <w:tc>
          <w:tcPr>
            <w:tcW w:w="993" w:type="dxa"/>
            <w:hideMark/>
          </w:tcPr>
          <w:p w14:paraId="35FC39FB"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28491C4A"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5" w:type="dxa"/>
            <w:hideMark/>
          </w:tcPr>
          <w:p w14:paraId="17CF0F03"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6" w:type="dxa"/>
            <w:hideMark/>
          </w:tcPr>
          <w:p w14:paraId="7D7FAE8B"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2657FD23"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1896FE42"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6" w:type="dxa"/>
            <w:hideMark/>
          </w:tcPr>
          <w:p w14:paraId="73A4FBF2"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95" w:type="dxa"/>
            <w:hideMark/>
          </w:tcPr>
          <w:p w14:paraId="1B62682E" w14:textId="77777777" w:rsidR="00EA3F59" w:rsidRPr="002B3AB5" w:rsidRDefault="00EA3F59" w:rsidP="00EA3F59">
            <w:pPr>
              <w:spacing w:before="0" w:after="0"/>
              <w:rPr>
                <w:rFonts w:cs="Arial"/>
                <w:sz w:val="19"/>
                <w:szCs w:val="19"/>
              </w:rPr>
            </w:pPr>
            <w:r w:rsidRPr="002B3AB5">
              <w:rPr>
                <w:rFonts w:cs="Arial"/>
                <w:sz w:val="19"/>
                <w:szCs w:val="19"/>
              </w:rPr>
              <w:t>*</w:t>
            </w:r>
          </w:p>
        </w:tc>
      </w:tr>
      <w:tr w:rsidR="00EA3F59" w:rsidRPr="00015A68" w14:paraId="4BC1495F" w14:textId="77777777" w:rsidTr="00620EC0">
        <w:trPr>
          <w:trHeight w:val="288"/>
        </w:trPr>
        <w:tc>
          <w:tcPr>
            <w:tcW w:w="4531" w:type="dxa"/>
            <w:noWrap/>
            <w:hideMark/>
          </w:tcPr>
          <w:p w14:paraId="1A5A9144" w14:textId="77777777" w:rsidR="00EA3F59" w:rsidRPr="002B3AB5" w:rsidRDefault="00EA3F59" w:rsidP="00EA3F59">
            <w:pPr>
              <w:spacing w:before="0" w:after="0"/>
              <w:rPr>
                <w:rFonts w:cs="Arial"/>
                <w:sz w:val="19"/>
                <w:szCs w:val="19"/>
              </w:rPr>
            </w:pPr>
            <w:r w:rsidRPr="002B3AB5">
              <w:rPr>
                <w:rFonts w:cs="Arial"/>
                <w:sz w:val="19"/>
                <w:szCs w:val="19"/>
              </w:rPr>
              <w:t>Dr Amy Oehring - CCG Governing Body Member</w:t>
            </w:r>
          </w:p>
        </w:tc>
        <w:tc>
          <w:tcPr>
            <w:tcW w:w="993" w:type="dxa"/>
            <w:hideMark/>
          </w:tcPr>
          <w:p w14:paraId="1F83977A"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1656D886"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5" w:type="dxa"/>
            <w:hideMark/>
          </w:tcPr>
          <w:p w14:paraId="1CBD3ECF"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6" w:type="dxa"/>
            <w:hideMark/>
          </w:tcPr>
          <w:p w14:paraId="231F5288"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03AE0241"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459918BB"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6" w:type="dxa"/>
            <w:hideMark/>
          </w:tcPr>
          <w:p w14:paraId="1D56A2B7"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95" w:type="dxa"/>
            <w:hideMark/>
          </w:tcPr>
          <w:p w14:paraId="1FAD05B9" w14:textId="77777777" w:rsidR="00EA3F59" w:rsidRPr="002B3AB5" w:rsidRDefault="00EA3F59" w:rsidP="00EA3F59">
            <w:pPr>
              <w:spacing w:before="0" w:after="0"/>
              <w:rPr>
                <w:rFonts w:cs="Arial"/>
                <w:sz w:val="19"/>
                <w:szCs w:val="19"/>
              </w:rPr>
            </w:pPr>
            <w:r w:rsidRPr="002B3AB5">
              <w:rPr>
                <w:rFonts w:cs="Arial"/>
                <w:sz w:val="19"/>
                <w:szCs w:val="19"/>
              </w:rPr>
              <w:t>*</w:t>
            </w:r>
          </w:p>
        </w:tc>
      </w:tr>
      <w:tr w:rsidR="00EA3F59" w:rsidRPr="00015A68" w14:paraId="78A4F192" w14:textId="77777777" w:rsidTr="00620EC0">
        <w:trPr>
          <w:trHeight w:val="576"/>
        </w:trPr>
        <w:tc>
          <w:tcPr>
            <w:tcW w:w="4531" w:type="dxa"/>
            <w:hideMark/>
          </w:tcPr>
          <w:p w14:paraId="5128A012" w14:textId="77777777" w:rsidR="00EA3F59" w:rsidRPr="002B3AB5" w:rsidRDefault="00EA3F59" w:rsidP="00EA3F59">
            <w:pPr>
              <w:spacing w:before="0" w:after="0"/>
              <w:rPr>
                <w:rFonts w:cs="Arial"/>
                <w:sz w:val="19"/>
                <w:szCs w:val="19"/>
              </w:rPr>
            </w:pPr>
            <w:r w:rsidRPr="002B3AB5">
              <w:rPr>
                <w:rFonts w:cs="Arial"/>
                <w:sz w:val="19"/>
                <w:szCs w:val="19"/>
              </w:rPr>
              <w:t>Dr David Heseltine - CCG Governing Body Member (to April 2021)</w:t>
            </w:r>
          </w:p>
        </w:tc>
        <w:tc>
          <w:tcPr>
            <w:tcW w:w="993" w:type="dxa"/>
            <w:hideMark/>
          </w:tcPr>
          <w:p w14:paraId="1E91B539"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56E207A6"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5" w:type="dxa"/>
            <w:hideMark/>
          </w:tcPr>
          <w:p w14:paraId="384C5122"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6" w:type="dxa"/>
            <w:hideMark/>
          </w:tcPr>
          <w:p w14:paraId="62D1596B"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1460566F"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34" w:type="dxa"/>
            <w:hideMark/>
          </w:tcPr>
          <w:p w14:paraId="4EE09DC4" w14:textId="77777777" w:rsidR="00EA3F59" w:rsidRPr="002B3AB5" w:rsidRDefault="00EA3F59" w:rsidP="00EA3F59">
            <w:pPr>
              <w:spacing w:before="0" w:after="0"/>
              <w:rPr>
                <w:rFonts w:cs="Arial"/>
                <w:sz w:val="19"/>
                <w:szCs w:val="19"/>
              </w:rPr>
            </w:pPr>
            <w:r w:rsidRPr="002B3AB5">
              <w:rPr>
                <w:rFonts w:cs="Arial"/>
                <w:sz w:val="19"/>
                <w:szCs w:val="19"/>
              </w:rPr>
              <w:t>*</w:t>
            </w:r>
          </w:p>
        </w:tc>
        <w:tc>
          <w:tcPr>
            <w:tcW w:w="1276" w:type="dxa"/>
            <w:hideMark/>
          </w:tcPr>
          <w:p w14:paraId="1A113FF2" w14:textId="77777777" w:rsidR="00EA3F59" w:rsidRPr="002B3AB5" w:rsidRDefault="00EA3F59" w:rsidP="00EA3F59">
            <w:pPr>
              <w:spacing w:before="0" w:after="0"/>
              <w:rPr>
                <w:rFonts w:cs="Arial"/>
                <w:sz w:val="19"/>
                <w:szCs w:val="19"/>
              </w:rPr>
            </w:pPr>
            <w:r w:rsidRPr="002B3AB5">
              <w:rPr>
                <w:rFonts w:cs="Arial"/>
                <w:sz w:val="19"/>
                <w:szCs w:val="19"/>
              </w:rPr>
              <w:t>*</w:t>
            </w:r>
          </w:p>
        </w:tc>
        <w:tc>
          <w:tcPr>
            <w:tcW w:w="1195" w:type="dxa"/>
            <w:hideMark/>
          </w:tcPr>
          <w:p w14:paraId="22CEF54B" w14:textId="77777777" w:rsidR="00EA3F59" w:rsidRPr="002B3AB5" w:rsidRDefault="00EA3F59" w:rsidP="00EA3F59">
            <w:pPr>
              <w:spacing w:before="0" w:after="0"/>
              <w:rPr>
                <w:rFonts w:cs="Arial"/>
                <w:sz w:val="19"/>
                <w:szCs w:val="19"/>
              </w:rPr>
            </w:pPr>
            <w:r w:rsidRPr="002B3AB5">
              <w:rPr>
                <w:rFonts w:cs="Arial"/>
                <w:sz w:val="19"/>
                <w:szCs w:val="19"/>
              </w:rPr>
              <w:t>*</w:t>
            </w:r>
          </w:p>
        </w:tc>
      </w:tr>
      <w:tr w:rsidR="00EA3F59" w:rsidRPr="00015A68" w14:paraId="5CFF7294" w14:textId="77777777" w:rsidTr="00620EC0">
        <w:trPr>
          <w:trHeight w:val="288"/>
        </w:trPr>
        <w:tc>
          <w:tcPr>
            <w:tcW w:w="4531" w:type="dxa"/>
            <w:noWrap/>
            <w:hideMark/>
          </w:tcPr>
          <w:p w14:paraId="6AD45823" w14:textId="77777777" w:rsidR="00EA3F59" w:rsidRPr="002B3AB5" w:rsidRDefault="00EA3F59" w:rsidP="00EA3F59">
            <w:pPr>
              <w:spacing w:before="0" w:after="0"/>
              <w:rPr>
                <w:rFonts w:cs="Arial"/>
                <w:sz w:val="19"/>
                <w:szCs w:val="19"/>
              </w:rPr>
            </w:pPr>
            <w:r w:rsidRPr="002B3AB5">
              <w:rPr>
                <w:rFonts w:cs="Arial"/>
                <w:sz w:val="19"/>
                <w:szCs w:val="19"/>
              </w:rPr>
              <w:t xml:space="preserve">Karen Marshall - Lay Member </w:t>
            </w:r>
          </w:p>
        </w:tc>
        <w:tc>
          <w:tcPr>
            <w:tcW w:w="993" w:type="dxa"/>
            <w:hideMark/>
          </w:tcPr>
          <w:p w14:paraId="6F461858"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34" w:type="dxa"/>
            <w:hideMark/>
          </w:tcPr>
          <w:p w14:paraId="6F20DBE1"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275" w:type="dxa"/>
            <w:hideMark/>
          </w:tcPr>
          <w:p w14:paraId="5AA046F0"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276" w:type="dxa"/>
            <w:hideMark/>
          </w:tcPr>
          <w:p w14:paraId="51CE5D4C"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34" w:type="dxa"/>
            <w:hideMark/>
          </w:tcPr>
          <w:p w14:paraId="74DE0CF7"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34" w:type="dxa"/>
            <w:hideMark/>
          </w:tcPr>
          <w:p w14:paraId="05A45034"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276" w:type="dxa"/>
            <w:hideMark/>
          </w:tcPr>
          <w:p w14:paraId="0BA580BC"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95" w:type="dxa"/>
            <w:hideMark/>
          </w:tcPr>
          <w:p w14:paraId="6748555B" w14:textId="77777777" w:rsidR="00EA3F59" w:rsidRPr="002B3AB5" w:rsidRDefault="00EA3F59" w:rsidP="00EA3F59">
            <w:pPr>
              <w:spacing w:before="0" w:after="0"/>
              <w:rPr>
                <w:rFonts w:cs="Arial"/>
                <w:sz w:val="19"/>
                <w:szCs w:val="19"/>
              </w:rPr>
            </w:pPr>
            <w:r w:rsidRPr="002B3AB5">
              <w:rPr>
                <w:rFonts w:cs="Arial"/>
                <w:sz w:val="19"/>
                <w:szCs w:val="19"/>
              </w:rPr>
              <w:t>0</w:t>
            </w:r>
          </w:p>
        </w:tc>
      </w:tr>
      <w:tr w:rsidR="00EA3F59" w:rsidRPr="00015A68" w14:paraId="5570F5BD" w14:textId="77777777" w:rsidTr="00620EC0">
        <w:trPr>
          <w:trHeight w:val="288"/>
        </w:trPr>
        <w:tc>
          <w:tcPr>
            <w:tcW w:w="4531" w:type="dxa"/>
            <w:noWrap/>
            <w:hideMark/>
          </w:tcPr>
          <w:p w14:paraId="4EDB6E88" w14:textId="77777777" w:rsidR="00EA3F59" w:rsidRPr="002B3AB5" w:rsidRDefault="00EA3F59" w:rsidP="00EA3F59">
            <w:pPr>
              <w:spacing w:before="0" w:after="0"/>
              <w:rPr>
                <w:rFonts w:cs="Arial"/>
                <w:sz w:val="19"/>
                <w:szCs w:val="19"/>
              </w:rPr>
            </w:pPr>
            <w:r w:rsidRPr="002B3AB5">
              <w:rPr>
                <w:rFonts w:cs="Arial"/>
                <w:sz w:val="19"/>
                <w:szCs w:val="19"/>
              </w:rPr>
              <w:t>Jason Stamp - Lay Member</w:t>
            </w:r>
          </w:p>
        </w:tc>
        <w:tc>
          <w:tcPr>
            <w:tcW w:w="993" w:type="dxa"/>
            <w:hideMark/>
          </w:tcPr>
          <w:p w14:paraId="532C3E48"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34" w:type="dxa"/>
            <w:hideMark/>
          </w:tcPr>
          <w:p w14:paraId="635E390E"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275" w:type="dxa"/>
            <w:hideMark/>
          </w:tcPr>
          <w:p w14:paraId="30BFB351"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276" w:type="dxa"/>
            <w:hideMark/>
          </w:tcPr>
          <w:p w14:paraId="454EED1D"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34" w:type="dxa"/>
            <w:hideMark/>
          </w:tcPr>
          <w:p w14:paraId="7FEB3E55"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34" w:type="dxa"/>
            <w:hideMark/>
          </w:tcPr>
          <w:p w14:paraId="7EC34A0C"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276" w:type="dxa"/>
            <w:hideMark/>
          </w:tcPr>
          <w:p w14:paraId="24FCA247"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95" w:type="dxa"/>
            <w:hideMark/>
          </w:tcPr>
          <w:p w14:paraId="0AEA3146" w14:textId="77777777" w:rsidR="00EA3F59" w:rsidRPr="002B3AB5" w:rsidRDefault="00EA3F59" w:rsidP="00EA3F59">
            <w:pPr>
              <w:spacing w:before="0" w:after="0"/>
              <w:rPr>
                <w:rFonts w:cs="Arial"/>
                <w:sz w:val="19"/>
                <w:szCs w:val="19"/>
              </w:rPr>
            </w:pPr>
            <w:r w:rsidRPr="002B3AB5">
              <w:rPr>
                <w:rFonts w:cs="Arial"/>
                <w:sz w:val="19"/>
                <w:szCs w:val="19"/>
              </w:rPr>
              <w:t>0</w:t>
            </w:r>
          </w:p>
        </w:tc>
      </w:tr>
      <w:tr w:rsidR="00EA3F59" w:rsidRPr="00015A68" w14:paraId="188298D8" w14:textId="77777777" w:rsidTr="00620EC0">
        <w:trPr>
          <w:trHeight w:val="288"/>
        </w:trPr>
        <w:tc>
          <w:tcPr>
            <w:tcW w:w="4531" w:type="dxa"/>
            <w:noWrap/>
            <w:hideMark/>
          </w:tcPr>
          <w:p w14:paraId="69902D0C" w14:textId="77777777" w:rsidR="00EA3F59" w:rsidRPr="002B3AB5" w:rsidRDefault="00EA3F59" w:rsidP="00EA3F59">
            <w:pPr>
              <w:spacing w:before="0" w:after="0"/>
              <w:rPr>
                <w:rFonts w:cs="Arial"/>
                <w:sz w:val="19"/>
                <w:szCs w:val="19"/>
              </w:rPr>
            </w:pPr>
            <w:r w:rsidRPr="002B3AB5">
              <w:rPr>
                <w:rFonts w:cs="Arial"/>
                <w:sz w:val="19"/>
                <w:szCs w:val="19"/>
              </w:rPr>
              <w:t xml:space="preserve">Ian Goode - Lay Member </w:t>
            </w:r>
          </w:p>
        </w:tc>
        <w:tc>
          <w:tcPr>
            <w:tcW w:w="993" w:type="dxa"/>
            <w:hideMark/>
          </w:tcPr>
          <w:p w14:paraId="5B1D19F2"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34" w:type="dxa"/>
            <w:hideMark/>
          </w:tcPr>
          <w:p w14:paraId="06794B09"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275" w:type="dxa"/>
            <w:hideMark/>
          </w:tcPr>
          <w:p w14:paraId="76403DE1"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276" w:type="dxa"/>
            <w:hideMark/>
          </w:tcPr>
          <w:p w14:paraId="1992E7FD"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34" w:type="dxa"/>
            <w:hideMark/>
          </w:tcPr>
          <w:p w14:paraId="33DA8324"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34" w:type="dxa"/>
            <w:hideMark/>
          </w:tcPr>
          <w:p w14:paraId="60E5D8B0"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276" w:type="dxa"/>
            <w:hideMark/>
          </w:tcPr>
          <w:p w14:paraId="6CB6C541"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95" w:type="dxa"/>
            <w:hideMark/>
          </w:tcPr>
          <w:p w14:paraId="3ABA4F57" w14:textId="77777777" w:rsidR="00EA3F59" w:rsidRPr="002B3AB5" w:rsidRDefault="00EA3F59" w:rsidP="00EA3F59">
            <w:pPr>
              <w:spacing w:before="0" w:after="0"/>
              <w:rPr>
                <w:rFonts w:cs="Arial"/>
                <w:sz w:val="19"/>
                <w:szCs w:val="19"/>
              </w:rPr>
            </w:pPr>
            <w:r w:rsidRPr="002B3AB5">
              <w:rPr>
                <w:rFonts w:cs="Arial"/>
                <w:sz w:val="19"/>
                <w:szCs w:val="19"/>
              </w:rPr>
              <w:t>0</w:t>
            </w:r>
          </w:p>
        </w:tc>
      </w:tr>
      <w:tr w:rsidR="00EA3F59" w:rsidRPr="00015A68" w14:paraId="171C55CB" w14:textId="77777777" w:rsidTr="00620EC0">
        <w:trPr>
          <w:trHeight w:val="288"/>
        </w:trPr>
        <w:tc>
          <w:tcPr>
            <w:tcW w:w="4531" w:type="dxa"/>
            <w:noWrap/>
            <w:hideMark/>
          </w:tcPr>
          <w:p w14:paraId="652E60F2" w14:textId="77777777" w:rsidR="00EA3F59" w:rsidRPr="002B3AB5" w:rsidRDefault="00EA3F59" w:rsidP="00EA3F59">
            <w:pPr>
              <w:spacing w:before="0" w:after="0"/>
              <w:rPr>
                <w:rFonts w:cs="Arial"/>
                <w:sz w:val="19"/>
                <w:szCs w:val="19"/>
              </w:rPr>
            </w:pPr>
            <w:r w:rsidRPr="002B3AB5">
              <w:rPr>
                <w:rFonts w:cs="Arial"/>
                <w:sz w:val="19"/>
                <w:szCs w:val="19"/>
              </w:rPr>
              <w:t>Mark Whitaker - Practice Manager</w:t>
            </w:r>
          </w:p>
        </w:tc>
        <w:tc>
          <w:tcPr>
            <w:tcW w:w="993" w:type="dxa"/>
            <w:hideMark/>
          </w:tcPr>
          <w:p w14:paraId="3F4A12E2"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34" w:type="dxa"/>
            <w:hideMark/>
          </w:tcPr>
          <w:p w14:paraId="17C34251"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275" w:type="dxa"/>
            <w:hideMark/>
          </w:tcPr>
          <w:p w14:paraId="38D3EB94"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276" w:type="dxa"/>
            <w:hideMark/>
          </w:tcPr>
          <w:p w14:paraId="3501518D"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34" w:type="dxa"/>
            <w:hideMark/>
          </w:tcPr>
          <w:p w14:paraId="0EA25E53"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34" w:type="dxa"/>
            <w:hideMark/>
          </w:tcPr>
          <w:p w14:paraId="0609504D"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276" w:type="dxa"/>
            <w:hideMark/>
          </w:tcPr>
          <w:p w14:paraId="2E5A4BA7" w14:textId="77777777" w:rsidR="00EA3F59" w:rsidRPr="002B3AB5" w:rsidRDefault="00EA3F59" w:rsidP="00EA3F59">
            <w:pPr>
              <w:spacing w:before="0" w:after="0"/>
              <w:rPr>
                <w:rFonts w:cs="Arial"/>
                <w:sz w:val="19"/>
                <w:szCs w:val="19"/>
              </w:rPr>
            </w:pPr>
            <w:r w:rsidRPr="002B3AB5">
              <w:rPr>
                <w:rFonts w:cs="Arial"/>
                <w:sz w:val="19"/>
                <w:szCs w:val="19"/>
              </w:rPr>
              <w:t>0</w:t>
            </w:r>
          </w:p>
        </w:tc>
        <w:tc>
          <w:tcPr>
            <w:tcW w:w="1195" w:type="dxa"/>
            <w:hideMark/>
          </w:tcPr>
          <w:p w14:paraId="5915098D" w14:textId="77777777" w:rsidR="00EA3F59" w:rsidRPr="002B3AB5" w:rsidRDefault="00EA3F59" w:rsidP="00EA3F59">
            <w:pPr>
              <w:spacing w:before="0" w:after="0"/>
              <w:rPr>
                <w:rFonts w:cs="Arial"/>
                <w:sz w:val="19"/>
                <w:szCs w:val="19"/>
              </w:rPr>
            </w:pPr>
            <w:r w:rsidRPr="002B3AB5">
              <w:rPr>
                <w:rFonts w:cs="Arial"/>
                <w:sz w:val="19"/>
                <w:szCs w:val="19"/>
              </w:rPr>
              <w:t>0</w:t>
            </w:r>
          </w:p>
        </w:tc>
      </w:tr>
    </w:tbl>
    <w:p w14:paraId="0A8B7093" w14:textId="77777777" w:rsidR="00721D60" w:rsidRPr="00E20337" w:rsidRDefault="00721D60" w:rsidP="00B66DE2">
      <w:pPr>
        <w:pStyle w:val="NoSpacing"/>
        <w:spacing w:before="0"/>
        <w:rPr>
          <w:rFonts w:cs="Arial"/>
          <w:color w:val="auto"/>
          <w:sz w:val="16"/>
          <w:szCs w:val="16"/>
        </w:rPr>
      </w:pPr>
    </w:p>
    <w:p w14:paraId="1296E8ED" w14:textId="0AA61DBB" w:rsidR="00EA3F59" w:rsidRPr="00015A68" w:rsidRDefault="00EA3F59" w:rsidP="00EA3F59">
      <w:pPr>
        <w:spacing w:before="0" w:after="0"/>
        <w:rPr>
          <w:rFonts w:cs="Arial"/>
          <w:sz w:val="16"/>
          <w:szCs w:val="16"/>
        </w:rPr>
      </w:pPr>
      <w:r w:rsidRPr="00015A68">
        <w:rPr>
          <w:rFonts w:cs="Arial"/>
          <w:sz w:val="16"/>
          <w:szCs w:val="16"/>
        </w:rPr>
        <w:t>Notes</w:t>
      </w:r>
    </w:p>
    <w:p w14:paraId="42728F15" w14:textId="77777777" w:rsidR="00EA3F59" w:rsidRPr="00015A68" w:rsidRDefault="00EA3F59" w:rsidP="00EA3F59">
      <w:pPr>
        <w:spacing w:before="0" w:after="0"/>
        <w:rPr>
          <w:rFonts w:cs="Arial"/>
          <w:sz w:val="16"/>
          <w:szCs w:val="16"/>
        </w:rPr>
      </w:pPr>
      <w:r w:rsidRPr="00015A68">
        <w:rPr>
          <w:rFonts w:cs="Arial"/>
          <w:sz w:val="16"/>
          <w:szCs w:val="16"/>
        </w:rPr>
        <w:t>* It is not possible to provide the pension related benefits in relation to GPs due to their practitioner membership of the NHS pension scheme.</w:t>
      </w:r>
    </w:p>
    <w:p w14:paraId="3FE8014E" w14:textId="77777777" w:rsidR="00EA3F59" w:rsidRPr="00015A68" w:rsidRDefault="00EA3F59" w:rsidP="00EA3F59">
      <w:pPr>
        <w:spacing w:before="0" w:after="0"/>
        <w:rPr>
          <w:rFonts w:cs="Arial"/>
          <w:sz w:val="16"/>
          <w:szCs w:val="16"/>
        </w:rPr>
      </w:pPr>
      <w:r w:rsidRPr="00015A68">
        <w:rPr>
          <w:rFonts w:cs="Arial"/>
          <w:sz w:val="16"/>
          <w:szCs w:val="16"/>
        </w:rPr>
        <w:t>** For pension information for Clare Linley, please see NHS North Lincolnshire CCG Annual Report</w:t>
      </w:r>
    </w:p>
    <w:p w14:paraId="3BD3D28A" w14:textId="4286DDA9" w:rsidR="007D5154" w:rsidRPr="00103B1C" w:rsidRDefault="007D5154" w:rsidP="00B66DE2">
      <w:pPr>
        <w:spacing w:before="0" w:line="240" w:lineRule="auto"/>
        <w:rPr>
          <w:rFonts w:cs="Arial"/>
          <w:sz w:val="18"/>
          <w:szCs w:val="18"/>
        </w:rPr>
        <w:sectPr w:rsidR="007D5154" w:rsidRPr="00103B1C" w:rsidSect="00FD7BD4">
          <w:pgSz w:w="16838" w:h="11906" w:orient="landscape"/>
          <w:pgMar w:top="1134" w:right="1134" w:bottom="363" w:left="1134" w:header="680" w:footer="170" w:gutter="0"/>
          <w:cols w:space="708"/>
          <w:docGrid w:linePitch="360"/>
        </w:sectPr>
      </w:pPr>
    </w:p>
    <w:p w14:paraId="12D0BB6B" w14:textId="77777777" w:rsidR="00D66981" w:rsidRPr="00682410" w:rsidRDefault="00D66981" w:rsidP="00D66981">
      <w:pPr>
        <w:pStyle w:val="Heading4"/>
        <w:rPr>
          <w:rFonts w:ascii="Arial" w:hAnsi="Arial" w:cs="Arial"/>
          <w:i w:val="0"/>
          <w:color w:val="auto"/>
          <w:sz w:val="16"/>
          <w:szCs w:val="16"/>
        </w:rPr>
      </w:pPr>
      <w:r w:rsidRPr="00682410">
        <w:rPr>
          <w:rFonts w:ascii="Arial" w:hAnsi="Arial" w:cs="Arial"/>
          <w:i w:val="0"/>
          <w:color w:val="auto"/>
          <w:sz w:val="16"/>
          <w:szCs w:val="16"/>
        </w:rPr>
        <w:lastRenderedPageBreak/>
        <w:t xml:space="preserve">Cash equivalent transfer values </w:t>
      </w:r>
    </w:p>
    <w:p w14:paraId="6CB2BEAD" w14:textId="77777777" w:rsidR="00D66981" w:rsidRPr="00682410" w:rsidRDefault="00D66981" w:rsidP="00D66981">
      <w:pPr>
        <w:rPr>
          <w:rFonts w:cs="Arial"/>
          <w:sz w:val="16"/>
          <w:szCs w:val="16"/>
        </w:rPr>
      </w:pPr>
      <w:r w:rsidRPr="00682410">
        <w:rPr>
          <w:rFonts w:cs="Arial"/>
          <w:sz w:val="16"/>
          <w:szCs w:val="16"/>
        </w:rPr>
        <w:t>A cash equivalent transfer value (CETV) is the actuarially assessed capital value of the pension scheme benefits accrued by a member at a particular point in time. The benefits valued are the member’s accrued benefits and any contingent spouse’s (or other allowable beneficiary’s) pension payable from the scheme.</w:t>
      </w:r>
    </w:p>
    <w:p w14:paraId="2049E5A4" w14:textId="77777777" w:rsidR="00D66981" w:rsidRPr="00682410" w:rsidRDefault="00D66981" w:rsidP="00D66981">
      <w:pPr>
        <w:rPr>
          <w:rFonts w:cs="Arial"/>
          <w:sz w:val="16"/>
          <w:szCs w:val="16"/>
        </w:rPr>
      </w:pPr>
      <w:r w:rsidRPr="00682410">
        <w:rPr>
          <w:rFonts w:cs="Arial"/>
          <w:sz w:val="16"/>
          <w:szCs w:val="16"/>
        </w:rPr>
        <w:t>A CETV is a payment made by a pension scheme or arrangement to secure pension benefits in another pension scheme or arrangement when the member leaves a scheme and chooses to transfer the benefits accrued in their former scheme. The pension figures shown relate to the benefits that the individual has accrued as a consequence of their total membership of the pension scheme, not just their service in a senior capacity to which disclosure applies.</w:t>
      </w:r>
    </w:p>
    <w:p w14:paraId="4DFB828B" w14:textId="77777777" w:rsidR="00D66981" w:rsidRPr="00682410" w:rsidRDefault="00D66981" w:rsidP="00D66981">
      <w:pPr>
        <w:rPr>
          <w:rFonts w:cs="Arial"/>
          <w:b/>
          <w:sz w:val="16"/>
          <w:szCs w:val="16"/>
        </w:rPr>
      </w:pPr>
      <w:r w:rsidRPr="00682410">
        <w:rPr>
          <w:rFonts w:cs="Arial"/>
          <w:sz w:val="16"/>
          <w:szCs w:val="16"/>
        </w:rPr>
        <w:t>The CETV figures and the other pension details include the value of any pension benefits in another scheme or arrangement which the individual has transferred to the NHS pension scheme. They also include any additional pension benefit accrued to the member as a result of their purchasing additional years of pension service in the scheme at their own cost. CETVs are calculated within the guidelines and framework prescribed by the Institute and Faculty of Actuaries.</w:t>
      </w:r>
      <w:r w:rsidRPr="00682410">
        <w:rPr>
          <w:rFonts w:cs="Arial"/>
          <w:b/>
          <w:sz w:val="16"/>
          <w:szCs w:val="16"/>
        </w:rPr>
        <w:t xml:space="preserve"> </w:t>
      </w:r>
    </w:p>
    <w:p w14:paraId="44CBF0A7" w14:textId="77777777" w:rsidR="00D66981" w:rsidRPr="00682410" w:rsidRDefault="00D66981" w:rsidP="00D66981">
      <w:pPr>
        <w:pStyle w:val="Heading4"/>
        <w:rPr>
          <w:rFonts w:ascii="Arial" w:hAnsi="Arial" w:cs="Arial"/>
          <w:i w:val="0"/>
          <w:color w:val="auto"/>
          <w:sz w:val="16"/>
          <w:szCs w:val="16"/>
        </w:rPr>
      </w:pPr>
      <w:r w:rsidRPr="00682410">
        <w:rPr>
          <w:rFonts w:ascii="Arial" w:hAnsi="Arial" w:cs="Arial"/>
          <w:i w:val="0"/>
          <w:color w:val="auto"/>
          <w:sz w:val="16"/>
          <w:szCs w:val="16"/>
        </w:rPr>
        <w:t>Real increase in CETV</w:t>
      </w:r>
    </w:p>
    <w:p w14:paraId="5EDC0E8F" w14:textId="77777777" w:rsidR="00D66981" w:rsidRPr="00682410" w:rsidRDefault="00D66981" w:rsidP="00D66981">
      <w:pPr>
        <w:rPr>
          <w:rFonts w:cs="Arial"/>
          <w:sz w:val="16"/>
          <w:szCs w:val="16"/>
        </w:rPr>
      </w:pPr>
      <w:r w:rsidRPr="00682410">
        <w:rPr>
          <w:rFonts w:cs="Arial"/>
          <w:sz w:val="16"/>
          <w:szCs w:val="16"/>
        </w:rPr>
        <w:t>This reflects the increase in CETV that is funded by the employer. It does not include the increase in accrued pension due to inflation or contributions paid by the employee (including the value of any benefits transferred from another scheme or arrangement).</w:t>
      </w:r>
    </w:p>
    <w:p w14:paraId="42D833CD" w14:textId="238D84B3" w:rsidR="00F20882" w:rsidRPr="00F20882" w:rsidRDefault="00F20882" w:rsidP="00F20882">
      <w:pPr>
        <w:rPr>
          <w:rFonts w:asciiTheme="minorHAnsi" w:eastAsiaTheme="minorHAnsi" w:hAnsiTheme="minorHAnsi"/>
          <w:b/>
          <w:noProof w:val="0"/>
          <w:sz w:val="24"/>
          <w:szCs w:val="24"/>
        </w:rPr>
      </w:pPr>
      <w:r w:rsidRPr="00F20882">
        <w:rPr>
          <w:b/>
          <w:sz w:val="24"/>
          <w:szCs w:val="24"/>
        </w:rPr>
        <w:t>Other payments during 2021-22 (subject to audit)</w:t>
      </w:r>
    </w:p>
    <w:p w14:paraId="7B481988" w14:textId="77777777" w:rsidR="00F20882" w:rsidRDefault="00F20882" w:rsidP="00F20882">
      <w:r>
        <w:t>The CCG can confirm that there were no senior manager service contracts, exit packages, severance packages or off payroll engagements made during 2021-22.</w:t>
      </w:r>
    </w:p>
    <w:p w14:paraId="18088359" w14:textId="77777777" w:rsidR="00F20882" w:rsidRDefault="00F20882" w:rsidP="00F20882">
      <w:r>
        <w:t>There was no compensation for early retirement or loss of office or payments to past directors during 2021-22. The CCG has no losses or special payments to report in 2021-22, however a contractual payment in relation to an agreed departure was made to the value of £5.6k was made in 2021-22, this cost was shared with NHS North Lincolnshire CCG, this equated to £2.8k per CCG.</w:t>
      </w:r>
    </w:p>
    <w:p w14:paraId="2B35A99B" w14:textId="4F5F37BA" w:rsidR="00D66981" w:rsidRPr="00F20882" w:rsidRDefault="00D66981" w:rsidP="00B71FAD">
      <w:pPr>
        <w:pStyle w:val="Heading2"/>
      </w:pPr>
      <w:bookmarkStart w:id="141" w:name="_Toc103695059"/>
      <w:r w:rsidRPr="00F20882">
        <w:t xml:space="preserve">Fair Pay Disclosure </w:t>
      </w:r>
      <w:r w:rsidR="00B36217" w:rsidRPr="00F20882">
        <w:t>and Pay ratio information</w:t>
      </w:r>
      <w:r w:rsidRPr="00F20882">
        <w:rPr>
          <w:rStyle w:val="Heading3Char"/>
          <w:b/>
        </w:rPr>
        <w:t xml:space="preserve"> (subject to audit)</w:t>
      </w:r>
      <w:bookmarkEnd w:id="141"/>
      <w:r w:rsidRPr="00F20882">
        <w:t xml:space="preserve"> </w:t>
      </w:r>
    </w:p>
    <w:p w14:paraId="50FE6329" w14:textId="31289377" w:rsidR="00730F70" w:rsidRDefault="00730F70" w:rsidP="004778B8">
      <w:r>
        <w:t>At 31 March 2022, remuneration ranged from band £15-£20k to £185-190k (0% change against 2020/21: £15-20k to £185-190k) based on annualised, full-time equivalent remuneration of all staff (including temporary and agency staff). Total remuneration includes salary, non-consolidated performance-related pay, benefits-in-kind, but not severance payments.  It does not include employer pension contributions and the cash equivalent transfer value of pensions.</w:t>
      </w:r>
    </w:p>
    <w:p w14:paraId="4A2EEC71" w14:textId="18D0C0FA" w:rsidR="00730F70" w:rsidRDefault="00730F70" w:rsidP="004778B8">
      <w:r>
        <w:t xml:space="preserve">Remuneration of </w:t>
      </w:r>
      <w:r w:rsidR="004778B8">
        <w:t xml:space="preserve">NHS </w:t>
      </w:r>
      <w:r>
        <w:t>Hull CCG staff is shown in the table below:</w:t>
      </w:r>
    </w:p>
    <w:tbl>
      <w:tblPr>
        <w:tblStyle w:val="TableGrid"/>
        <w:tblW w:w="0" w:type="auto"/>
        <w:tblLook w:val="04A0" w:firstRow="1" w:lastRow="0" w:firstColumn="1" w:lastColumn="0" w:noHBand="0" w:noVBand="1"/>
      </w:tblPr>
      <w:tblGrid>
        <w:gridCol w:w="5774"/>
        <w:gridCol w:w="1256"/>
        <w:gridCol w:w="1156"/>
        <w:gridCol w:w="1256"/>
      </w:tblGrid>
      <w:tr w:rsidR="00730F70" w14:paraId="378B1BA7" w14:textId="77777777" w:rsidTr="004778B8">
        <w:trPr>
          <w:trHeight w:val="727"/>
        </w:trPr>
        <w:tc>
          <w:tcPr>
            <w:tcW w:w="577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5318F02" w14:textId="77777777" w:rsidR="00730F70" w:rsidRDefault="00730F70" w:rsidP="004778B8">
            <w:pPr>
              <w:spacing w:after="0" w:line="276" w:lineRule="auto"/>
              <w:rPr>
                <w:b/>
                <w:bCs/>
              </w:rPr>
            </w:pPr>
            <w:r>
              <w:rPr>
                <w:b/>
                <w:bCs/>
              </w:rPr>
              <w:t> </w:t>
            </w:r>
          </w:p>
        </w:tc>
        <w:tc>
          <w:tcPr>
            <w:tcW w:w="115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947FF0A" w14:textId="77777777" w:rsidR="00730F70" w:rsidRDefault="00730F70" w:rsidP="004778B8">
            <w:pPr>
              <w:spacing w:after="0" w:line="276" w:lineRule="auto"/>
              <w:rPr>
                <w:b/>
                <w:bCs/>
              </w:rPr>
            </w:pPr>
            <w:r>
              <w:rPr>
                <w:b/>
                <w:bCs/>
              </w:rPr>
              <w:t>25th percentile</w:t>
            </w:r>
          </w:p>
        </w:tc>
        <w:tc>
          <w:tcPr>
            <w:tcW w:w="115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A100F21" w14:textId="77777777" w:rsidR="00730F70" w:rsidRDefault="00730F70" w:rsidP="004778B8">
            <w:pPr>
              <w:spacing w:after="0" w:line="276" w:lineRule="auto"/>
              <w:rPr>
                <w:b/>
                <w:bCs/>
              </w:rPr>
            </w:pPr>
            <w:r>
              <w:rPr>
                <w:b/>
                <w:bCs/>
              </w:rPr>
              <w:t xml:space="preserve">Median </w:t>
            </w:r>
          </w:p>
        </w:tc>
        <w:tc>
          <w:tcPr>
            <w:tcW w:w="115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5213F6E" w14:textId="77777777" w:rsidR="00730F70" w:rsidRDefault="00730F70" w:rsidP="004778B8">
            <w:pPr>
              <w:spacing w:after="0" w:line="276" w:lineRule="auto"/>
              <w:rPr>
                <w:b/>
                <w:bCs/>
              </w:rPr>
            </w:pPr>
            <w:r>
              <w:rPr>
                <w:b/>
                <w:bCs/>
              </w:rPr>
              <w:t>75th percentile</w:t>
            </w:r>
          </w:p>
        </w:tc>
      </w:tr>
      <w:tr w:rsidR="00730F70" w14:paraId="2BE86C30" w14:textId="77777777" w:rsidTr="00730F70">
        <w:trPr>
          <w:trHeight w:val="576"/>
        </w:trPr>
        <w:tc>
          <w:tcPr>
            <w:tcW w:w="5774" w:type="dxa"/>
            <w:tcBorders>
              <w:top w:val="single" w:sz="4" w:space="0" w:color="auto"/>
              <w:left w:val="single" w:sz="4" w:space="0" w:color="auto"/>
              <w:bottom w:val="single" w:sz="4" w:space="0" w:color="auto"/>
              <w:right w:val="single" w:sz="4" w:space="0" w:color="auto"/>
            </w:tcBorders>
            <w:hideMark/>
          </w:tcPr>
          <w:p w14:paraId="6EB0B473" w14:textId="77777777" w:rsidR="00730F70" w:rsidRDefault="00730F70" w:rsidP="004778B8">
            <w:pPr>
              <w:spacing w:after="0" w:line="276" w:lineRule="auto"/>
            </w:pPr>
            <w:r>
              <w:t>‘All staff’ remuneration based on annualised, full-time equivalent remuneration of all staff (including temporary and agency staff)</w:t>
            </w:r>
          </w:p>
        </w:tc>
        <w:tc>
          <w:tcPr>
            <w:tcW w:w="1156" w:type="dxa"/>
            <w:tcBorders>
              <w:top w:val="single" w:sz="4" w:space="0" w:color="auto"/>
              <w:left w:val="single" w:sz="4" w:space="0" w:color="auto"/>
              <w:bottom w:val="single" w:sz="4" w:space="0" w:color="auto"/>
              <w:right w:val="single" w:sz="4" w:space="0" w:color="auto"/>
            </w:tcBorders>
            <w:noWrap/>
            <w:hideMark/>
          </w:tcPr>
          <w:p w14:paraId="0C07975E" w14:textId="77777777" w:rsidR="00730F70" w:rsidRDefault="00730F70" w:rsidP="004778B8">
            <w:pPr>
              <w:spacing w:after="0" w:line="276" w:lineRule="auto"/>
            </w:pPr>
            <w:r>
              <w:t>£38,285</w:t>
            </w:r>
          </w:p>
        </w:tc>
        <w:tc>
          <w:tcPr>
            <w:tcW w:w="1156" w:type="dxa"/>
            <w:tcBorders>
              <w:top w:val="single" w:sz="4" w:space="0" w:color="auto"/>
              <w:left w:val="single" w:sz="4" w:space="0" w:color="auto"/>
              <w:bottom w:val="single" w:sz="4" w:space="0" w:color="auto"/>
              <w:right w:val="single" w:sz="4" w:space="0" w:color="auto"/>
            </w:tcBorders>
            <w:noWrap/>
            <w:hideMark/>
          </w:tcPr>
          <w:p w14:paraId="1A46A0BB" w14:textId="77777777" w:rsidR="00730F70" w:rsidRDefault="00730F70" w:rsidP="004778B8">
            <w:pPr>
              <w:spacing w:after="0" w:line="276" w:lineRule="auto"/>
            </w:pPr>
            <w:r>
              <w:t>£45,839</w:t>
            </w:r>
          </w:p>
        </w:tc>
        <w:tc>
          <w:tcPr>
            <w:tcW w:w="1156" w:type="dxa"/>
            <w:tcBorders>
              <w:top w:val="single" w:sz="4" w:space="0" w:color="auto"/>
              <w:left w:val="single" w:sz="4" w:space="0" w:color="auto"/>
              <w:bottom w:val="single" w:sz="4" w:space="0" w:color="auto"/>
              <w:right w:val="single" w:sz="4" w:space="0" w:color="auto"/>
            </w:tcBorders>
            <w:noWrap/>
            <w:hideMark/>
          </w:tcPr>
          <w:p w14:paraId="2290E686" w14:textId="77777777" w:rsidR="00730F70" w:rsidRDefault="00730F70" w:rsidP="004778B8">
            <w:pPr>
              <w:spacing w:after="0" w:line="276" w:lineRule="auto"/>
            </w:pPr>
            <w:r>
              <w:t>£63,862</w:t>
            </w:r>
          </w:p>
        </w:tc>
      </w:tr>
      <w:tr w:rsidR="00730F70" w14:paraId="7F59EE87" w14:textId="77777777" w:rsidTr="00730F70">
        <w:trPr>
          <w:trHeight w:val="576"/>
        </w:trPr>
        <w:tc>
          <w:tcPr>
            <w:tcW w:w="5774" w:type="dxa"/>
            <w:tcBorders>
              <w:top w:val="single" w:sz="4" w:space="0" w:color="auto"/>
              <w:left w:val="single" w:sz="4" w:space="0" w:color="auto"/>
              <w:bottom w:val="single" w:sz="4" w:space="0" w:color="auto"/>
              <w:right w:val="single" w:sz="4" w:space="0" w:color="auto"/>
            </w:tcBorders>
            <w:hideMark/>
          </w:tcPr>
          <w:p w14:paraId="0E8B282F" w14:textId="77777777" w:rsidR="00730F70" w:rsidRDefault="00730F70" w:rsidP="004778B8">
            <w:pPr>
              <w:spacing w:after="0" w:line="276" w:lineRule="auto"/>
            </w:pPr>
            <w:r>
              <w:t>salary component of ‘all staff’ remuneration based on annualised, full-time equivalent remuneration of all staff (including temporary and agency staff)</w:t>
            </w:r>
          </w:p>
        </w:tc>
        <w:tc>
          <w:tcPr>
            <w:tcW w:w="1156" w:type="dxa"/>
            <w:tcBorders>
              <w:top w:val="single" w:sz="4" w:space="0" w:color="auto"/>
              <w:left w:val="single" w:sz="4" w:space="0" w:color="auto"/>
              <w:bottom w:val="single" w:sz="4" w:space="0" w:color="auto"/>
              <w:right w:val="single" w:sz="4" w:space="0" w:color="auto"/>
            </w:tcBorders>
            <w:noWrap/>
            <w:hideMark/>
          </w:tcPr>
          <w:p w14:paraId="0B915623" w14:textId="77777777" w:rsidR="00730F70" w:rsidRDefault="00730F70" w:rsidP="004778B8">
            <w:pPr>
              <w:spacing w:after="0" w:line="276" w:lineRule="auto"/>
            </w:pPr>
            <w:r>
              <w:t>£38,285</w:t>
            </w:r>
          </w:p>
        </w:tc>
        <w:tc>
          <w:tcPr>
            <w:tcW w:w="1156" w:type="dxa"/>
            <w:tcBorders>
              <w:top w:val="single" w:sz="4" w:space="0" w:color="auto"/>
              <w:left w:val="single" w:sz="4" w:space="0" w:color="auto"/>
              <w:bottom w:val="single" w:sz="4" w:space="0" w:color="auto"/>
              <w:right w:val="single" w:sz="4" w:space="0" w:color="auto"/>
            </w:tcBorders>
            <w:noWrap/>
            <w:hideMark/>
          </w:tcPr>
          <w:p w14:paraId="61A245FE" w14:textId="77777777" w:rsidR="00730F70" w:rsidRDefault="00730F70" w:rsidP="004778B8">
            <w:pPr>
              <w:spacing w:after="0" w:line="276" w:lineRule="auto"/>
            </w:pPr>
            <w:r>
              <w:t>£45,839</w:t>
            </w:r>
          </w:p>
        </w:tc>
        <w:tc>
          <w:tcPr>
            <w:tcW w:w="1156" w:type="dxa"/>
            <w:tcBorders>
              <w:top w:val="single" w:sz="4" w:space="0" w:color="auto"/>
              <w:left w:val="single" w:sz="4" w:space="0" w:color="auto"/>
              <w:bottom w:val="single" w:sz="4" w:space="0" w:color="auto"/>
              <w:right w:val="single" w:sz="4" w:space="0" w:color="auto"/>
            </w:tcBorders>
            <w:noWrap/>
            <w:hideMark/>
          </w:tcPr>
          <w:p w14:paraId="296413D7" w14:textId="77777777" w:rsidR="00730F70" w:rsidRDefault="00730F70" w:rsidP="004778B8">
            <w:pPr>
              <w:spacing w:after="0" w:line="276" w:lineRule="auto"/>
            </w:pPr>
            <w:r>
              <w:t>£63,862</w:t>
            </w:r>
          </w:p>
        </w:tc>
      </w:tr>
    </w:tbl>
    <w:p w14:paraId="38209F90" w14:textId="77777777" w:rsidR="00730F70" w:rsidRDefault="00730F70" w:rsidP="004778B8">
      <w:pPr>
        <w:spacing w:before="0" w:after="0"/>
        <w:rPr>
          <w:rFonts w:asciiTheme="minorHAnsi" w:hAnsiTheme="minorHAnsi"/>
          <w:lang w:eastAsia="en-US"/>
        </w:rPr>
      </w:pPr>
    </w:p>
    <w:p w14:paraId="56962E27" w14:textId="5A0D35CD" w:rsidR="00730F70" w:rsidRDefault="00730F70" w:rsidP="00730F70">
      <w:r>
        <w:t xml:space="preserve">The ratios of staff remuneration against the mid-point of the banded remuneration of the highest paid director, is illustrated in the </w:t>
      </w:r>
      <w:r w:rsidRPr="004456EC">
        <w:t xml:space="preserve">table </w:t>
      </w:r>
      <w:r w:rsidR="004456EC" w:rsidRPr="004456EC">
        <w:t>overleaf</w:t>
      </w:r>
      <w:r w:rsidRPr="004456EC">
        <w:t>.</w:t>
      </w:r>
    </w:p>
    <w:tbl>
      <w:tblPr>
        <w:tblStyle w:val="TableGrid"/>
        <w:tblW w:w="0" w:type="auto"/>
        <w:tblLook w:val="04A0" w:firstRow="1" w:lastRow="0" w:firstColumn="1" w:lastColumn="0" w:noHBand="0" w:noVBand="1"/>
      </w:tblPr>
      <w:tblGrid>
        <w:gridCol w:w="6060"/>
        <w:gridCol w:w="1256"/>
        <w:gridCol w:w="1056"/>
        <w:gridCol w:w="1256"/>
      </w:tblGrid>
      <w:tr w:rsidR="00730F70" w14:paraId="5207A5DA" w14:textId="77777777" w:rsidTr="004778B8">
        <w:trPr>
          <w:trHeight w:val="772"/>
        </w:trPr>
        <w:tc>
          <w:tcPr>
            <w:tcW w:w="1150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A757C03" w14:textId="77777777" w:rsidR="00730F70" w:rsidRDefault="00730F70">
            <w:pPr>
              <w:spacing w:after="0"/>
              <w:rPr>
                <w:b/>
                <w:bCs/>
              </w:rPr>
            </w:pPr>
            <w:r>
              <w:rPr>
                <w:b/>
                <w:bCs/>
              </w:rPr>
              <w:lastRenderedPageBreak/>
              <w:t>Year</w:t>
            </w:r>
          </w:p>
        </w:tc>
        <w:tc>
          <w:tcPr>
            <w:tcW w:w="114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82363DE" w14:textId="77777777" w:rsidR="00730F70" w:rsidRDefault="00730F70">
            <w:pPr>
              <w:spacing w:after="0"/>
              <w:rPr>
                <w:b/>
                <w:bCs/>
              </w:rPr>
            </w:pPr>
            <w:r>
              <w:rPr>
                <w:b/>
                <w:bCs/>
              </w:rPr>
              <w:t>25th percentile pay ratio</w:t>
            </w:r>
          </w:p>
        </w:tc>
        <w:tc>
          <w:tcPr>
            <w:tcW w:w="114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0BB2141" w14:textId="77777777" w:rsidR="00730F70" w:rsidRDefault="00730F70">
            <w:pPr>
              <w:spacing w:after="0"/>
              <w:rPr>
                <w:b/>
                <w:bCs/>
              </w:rPr>
            </w:pPr>
            <w:r>
              <w:rPr>
                <w:b/>
                <w:bCs/>
              </w:rPr>
              <w:t>Median pay ratio</w:t>
            </w:r>
          </w:p>
        </w:tc>
        <w:tc>
          <w:tcPr>
            <w:tcW w:w="114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5F779C8" w14:textId="77777777" w:rsidR="00730F70" w:rsidRDefault="00730F70">
            <w:pPr>
              <w:spacing w:after="0"/>
              <w:rPr>
                <w:b/>
                <w:bCs/>
              </w:rPr>
            </w:pPr>
            <w:r>
              <w:rPr>
                <w:b/>
                <w:bCs/>
              </w:rPr>
              <w:t>75th percentile pay ratio</w:t>
            </w:r>
          </w:p>
        </w:tc>
      </w:tr>
      <w:tr w:rsidR="00730F70" w14:paraId="61079096" w14:textId="77777777" w:rsidTr="00730F70">
        <w:trPr>
          <w:trHeight w:val="300"/>
        </w:trPr>
        <w:tc>
          <w:tcPr>
            <w:tcW w:w="11500" w:type="dxa"/>
            <w:tcBorders>
              <w:top w:val="single" w:sz="4" w:space="0" w:color="auto"/>
              <w:left w:val="single" w:sz="4" w:space="0" w:color="auto"/>
              <w:bottom w:val="single" w:sz="4" w:space="0" w:color="auto"/>
              <w:right w:val="single" w:sz="4" w:space="0" w:color="auto"/>
            </w:tcBorders>
            <w:hideMark/>
          </w:tcPr>
          <w:p w14:paraId="0A727EE1" w14:textId="17FABEB3" w:rsidR="00730F70" w:rsidRDefault="00730F70">
            <w:pPr>
              <w:spacing w:after="0"/>
            </w:pPr>
            <w:r>
              <w:t>2021</w:t>
            </w:r>
            <w:r w:rsidR="004778B8">
              <w:t>-</w:t>
            </w:r>
            <w:r>
              <w:t>22</w:t>
            </w:r>
          </w:p>
        </w:tc>
        <w:tc>
          <w:tcPr>
            <w:tcW w:w="1140" w:type="dxa"/>
            <w:tcBorders>
              <w:top w:val="single" w:sz="4" w:space="0" w:color="auto"/>
              <w:left w:val="single" w:sz="4" w:space="0" w:color="auto"/>
              <w:bottom w:val="single" w:sz="4" w:space="0" w:color="auto"/>
              <w:right w:val="single" w:sz="4" w:space="0" w:color="auto"/>
            </w:tcBorders>
            <w:hideMark/>
          </w:tcPr>
          <w:p w14:paraId="657A39AE" w14:textId="77777777" w:rsidR="00730F70" w:rsidRDefault="00730F70">
            <w:pPr>
              <w:spacing w:after="0"/>
            </w:pPr>
            <w:r>
              <w:t>4:1</w:t>
            </w:r>
          </w:p>
        </w:tc>
        <w:tc>
          <w:tcPr>
            <w:tcW w:w="1140" w:type="dxa"/>
            <w:tcBorders>
              <w:top w:val="single" w:sz="4" w:space="0" w:color="auto"/>
              <w:left w:val="single" w:sz="4" w:space="0" w:color="auto"/>
              <w:bottom w:val="single" w:sz="4" w:space="0" w:color="auto"/>
              <w:right w:val="single" w:sz="4" w:space="0" w:color="auto"/>
            </w:tcBorders>
            <w:hideMark/>
          </w:tcPr>
          <w:p w14:paraId="1D03AE0A" w14:textId="77777777" w:rsidR="00730F70" w:rsidRDefault="00730F70">
            <w:pPr>
              <w:spacing w:after="0"/>
            </w:pPr>
            <w:r>
              <w:t>3:1</w:t>
            </w:r>
          </w:p>
        </w:tc>
        <w:tc>
          <w:tcPr>
            <w:tcW w:w="1140" w:type="dxa"/>
            <w:tcBorders>
              <w:top w:val="single" w:sz="4" w:space="0" w:color="auto"/>
              <w:left w:val="single" w:sz="4" w:space="0" w:color="auto"/>
              <w:bottom w:val="single" w:sz="4" w:space="0" w:color="auto"/>
              <w:right w:val="single" w:sz="4" w:space="0" w:color="auto"/>
            </w:tcBorders>
            <w:hideMark/>
          </w:tcPr>
          <w:p w14:paraId="313889B4" w14:textId="77777777" w:rsidR="00730F70" w:rsidRDefault="00730F70">
            <w:pPr>
              <w:spacing w:after="0"/>
            </w:pPr>
            <w:r>
              <w:t>2:1</w:t>
            </w:r>
          </w:p>
        </w:tc>
      </w:tr>
      <w:tr w:rsidR="00730F70" w14:paraId="4DD3D8EE" w14:textId="77777777" w:rsidTr="00730F70">
        <w:trPr>
          <w:trHeight w:val="300"/>
        </w:trPr>
        <w:tc>
          <w:tcPr>
            <w:tcW w:w="11500" w:type="dxa"/>
            <w:tcBorders>
              <w:top w:val="single" w:sz="4" w:space="0" w:color="auto"/>
              <w:left w:val="single" w:sz="4" w:space="0" w:color="auto"/>
              <w:bottom w:val="single" w:sz="4" w:space="0" w:color="auto"/>
              <w:right w:val="single" w:sz="4" w:space="0" w:color="auto"/>
            </w:tcBorders>
            <w:hideMark/>
          </w:tcPr>
          <w:p w14:paraId="7A42AE4B" w14:textId="0C50EDD9" w:rsidR="00730F70" w:rsidRDefault="00730F70">
            <w:pPr>
              <w:spacing w:after="0"/>
            </w:pPr>
            <w:r>
              <w:t>2020</w:t>
            </w:r>
            <w:r w:rsidR="004778B8">
              <w:t>-</w:t>
            </w:r>
            <w:r>
              <w:t>21</w:t>
            </w:r>
          </w:p>
        </w:tc>
        <w:tc>
          <w:tcPr>
            <w:tcW w:w="1140" w:type="dxa"/>
            <w:tcBorders>
              <w:top w:val="single" w:sz="4" w:space="0" w:color="auto"/>
              <w:left w:val="single" w:sz="4" w:space="0" w:color="auto"/>
              <w:bottom w:val="single" w:sz="4" w:space="0" w:color="auto"/>
              <w:right w:val="single" w:sz="4" w:space="0" w:color="auto"/>
            </w:tcBorders>
            <w:hideMark/>
          </w:tcPr>
          <w:p w14:paraId="6B257159" w14:textId="77777777" w:rsidR="00730F70" w:rsidRDefault="00730F70">
            <w:pPr>
              <w:spacing w:after="0"/>
            </w:pPr>
            <w:r>
              <w:t>4:1</w:t>
            </w:r>
          </w:p>
        </w:tc>
        <w:tc>
          <w:tcPr>
            <w:tcW w:w="1140" w:type="dxa"/>
            <w:tcBorders>
              <w:top w:val="single" w:sz="4" w:space="0" w:color="auto"/>
              <w:left w:val="single" w:sz="4" w:space="0" w:color="auto"/>
              <w:bottom w:val="single" w:sz="4" w:space="0" w:color="auto"/>
              <w:right w:val="single" w:sz="4" w:space="0" w:color="auto"/>
            </w:tcBorders>
            <w:hideMark/>
          </w:tcPr>
          <w:p w14:paraId="167A5826" w14:textId="77777777" w:rsidR="00730F70" w:rsidRDefault="00730F70">
            <w:pPr>
              <w:spacing w:after="0"/>
            </w:pPr>
            <w:r>
              <w:t>3:1</w:t>
            </w:r>
          </w:p>
        </w:tc>
        <w:tc>
          <w:tcPr>
            <w:tcW w:w="1140" w:type="dxa"/>
            <w:tcBorders>
              <w:top w:val="single" w:sz="4" w:space="0" w:color="auto"/>
              <w:left w:val="single" w:sz="4" w:space="0" w:color="auto"/>
              <w:bottom w:val="single" w:sz="4" w:space="0" w:color="auto"/>
              <w:right w:val="single" w:sz="4" w:space="0" w:color="auto"/>
            </w:tcBorders>
            <w:hideMark/>
          </w:tcPr>
          <w:p w14:paraId="6E94642C" w14:textId="77777777" w:rsidR="00730F70" w:rsidRDefault="00730F70">
            <w:pPr>
              <w:spacing w:after="0"/>
            </w:pPr>
            <w:r>
              <w:t>2:1</w:t>
            </w:r>
          </w:p>
        </w:tc>
      </w:tr>
    </w:tbl>
    <w:p w14:paraId="6456A835" w14:textId="765EE662" w:rsidR="00730F70" w:rsidRDefault="00730F70" w:rsidP="004778B8">
      <w:r>
        <w:t>Reporting bodies are required to disclose the relationship between the remuneration of the highest-paid director / member in their organisation against the 25th percentile, median and 75th percentile of remuneration of the organisation’s workforce. Total remuneration is further broken down to show the relationship between the highest paid director's salary component of their total remuneration against the 25th percentile, median and 75th percentile of salary components of the organisation’s workforce</w:t>
      </w:r>
    </w:p>
    <w:p w14:paraId="6B7FDC75" w14:textId="77027081" w:rsidR="00730F70" w:rsidRDefault="00730F70" w:rsidP="004778B8">
      <w:r>
        <w:t>The banded remuneration of the highest paid director/member in Hull CCG in the financial year 2021</w:t>
      </w:r>
      <w:r w:rsidR="00886E22">
        <w:t>-</w:t>
      </w:r>
      <w:r>
        <w:t>22 was £140-145k  (1.7% decrease  against 2020/21: £145-150k) and the relationship to the remuneration of the organisation's workforce is disclosed in the below table</w:t>
      </w:r>
    </w:p>
    <w:tbl>
      <w:tblPr>
        <w:tblStyle w:val="TableGrid"/>
        <w:tblW w:w="0" w:type="auto"/>
        <w:tblLook w:val="04A0" w:firstRow="1" w:lastRow="0" w:firstColumn="1" w:lastColumn="0" w:noHBand="0" w:noVBand="1"/>
      </w:tblPr>
      <w:tblGrid>
        <w:gridCol w:w="1275"/>
        <w:gridCol w:w="1622"/>
        <w:gridCol w:w="1256"/>
        <w:gridCol w:w="1622"/>
        <w:gridCol w:w="975"/>
        <w:gridCol w:w="1622"/>
        <w:gridCol w:w="1256"/>
      </w:tblGrid>
      <w:tr w:rsidR="00730F70" w14:paraId="1C956A24" w14:textId="77777777" w:rsidTr="004778B8">
        <w:trPr>
          <w:trHeight w:val="1279"/>
        </w:trPr>
        <w:tc>
          <w:tcPr>
            <w:tcW w:w="1093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339613A" w14:textId="77777777" w:rsidR="00730F70" w:rsidRDefault="00730F70">
            <w:pPr>
              <w:spacing w:after="0"/>
              <w:rPr>
                <w:b/>
                <w:bCs/>
              </w:rPr>
            </w:pPr>
            <w:r>
              <w:rPr>
                <w:b/>
                <w:bCs/>
              </w:rPr>
              <w:t>Year</w:t>
            </w:r>
          </w:p>
        </w:tc>
        <w:tc>
          <w:tcPr>
            <w:tcW w:w="129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B53B720" w14:textId="77777777" w:rsidR="00730F70" w:rsidRDefault="00730F70">
            <w:pPr>
              <w:spacing w:after="0"/>
              <w:rPr>
                <w:b/>
                <w:bCs/>
              </w:rPr>
            </w:pPr>
            <w:r>
              <w:rPr>
                <w:b/>
                <w:bCs/>
              </w:rPr>
              <w:t>25th percentile total remuneration ratio</w:t>
            </w:r>
          </w:p>
        </w:tc>
        <w:tc>
          <w:tcPr>
            <w:tcW w:w="113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5A5244A" w14:textId="77777777" w:rsidR="00730F70" w:rsidRDefault="00730F70">
            <w:pPr>
              <w:spacing w:after="0"/>
              <w:rPr>
                <w:b/>
                <w:bCs/>
              </w:rPr>
            </w:pPr>
            <w:r>
              <w:rPr>
                <w:b/>
                <w:bCs/>
              </w:rPr>
              <w:t>25th percentile salary ratio</w:t>
            </w:r>
          </w:p>
        </w:tc>
        <w:tc>
          <w:tcPr>
            <w:tcW w:w="129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6DE075" w14:textId="77777777" w:rsidR="00730F70" w:rsidRDefault="00730F70">
            <w:pPr>
              <w:spacing w:after="0"/>
              <w:rPr>
                <w:b/>
                <w:bCs/>
              </w:rPr>
            </w:pPr>
            <w:r>
              <w:rPr>
                <w:b/>
                <w:bCs/>
              </w:rPr>
              <w:t>Median total remuneration ratio</w:t>
            </w:r>
          </w:p>
        </w:tc>
        <w:tc>
          <w:tcPr>
            <w:tcW w:w="100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148BD79" w14:textId="77777777" w:rsidR="00730F70" w:rsidRDefault="00730F70">
            <w:pPr>
              <w:spacing w:after="0"/>
              <w:rPr>
                <w:b/>
                <w:bCs/>
              </w:rPr>
            </w:pPr>
            <w:r>
              <w:rPr>
                <w:b/>
                <w:bCs/>
              </w:rPr>
              <w:t>Median salary ratio</w:t>
            </w:r>
          </w:p>
        </w:tc>
        <w:tc>
          <w:tcPr>
            <w:tcW w:w="129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E99A40C" w14:textId="77777777" w:rsidR="00730F70" w:rsidRDefault="00730F70">
            <w:pPr>
              <w:spacing w:after="0"/>
              <w:rPr>
                <w:b/>
                <w:bCs/>
              </w:rPr>
            </w:pPr>
            <w:r>
              <w:rPr>
                <w:b/>
                <w:bCs/>
              </w:rPr>
              <w:t>75th percentile total remuneration ratio</w:t>
            </w:r>
          </w:p>
        </w:tc>
        <w:tc>
          <w:tcPr>
            <w:tcW w:w="101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7373912" w14:textId="77777777" w:rsidR="00730F70" w:rsidRDefault="00730F70">
            <w:pPr>
              <w:spacing w:after="0"/>
              <w:rPr>
                <w:b/>
                <w:bCs/>
              </w:rPr>
            </w:pPr>
            <w:r>
              <w:rPr>
                <w:b/>
                <w:bCs/>
              </w:rPr>
              <w:t>75th percentile salary ratio</w:t>
            </w:r>
          </w:p>
        </w:tc>
      </w:tr>
      <w:tr w:rsidR="00730F70" w14:paraId="67E490BD" w14:textId="77777777" w:rsidTr="00730F70">
        <w:trPr>
          <w:trHeight w:val="300"/>
        </w:trPr>
        <w:tc>
          <w:tcPr>
            <w:tcW w:w="10931" w:type="dxa"/>
            <w:tcBorders>
              <w:top w:val="single" w:sz="4" w:space="0" w:color="auto"/>
              <w:left w:val="single" w:sz="4" w:space="0" w:color="auto"/>
              <w:bottom w:val="single" w:sz="4" w:space="0" w:color="auto"/>
              <w:right w:val="single" w:sz="4" w:space="0" w:color="auto"/>
            </w:tcBorders>
            <w:hideMark/>
          </w:tcPr>
          <w:p w14:paraId="2B15B1A2" w14:textId="28D1C691" w:rsidR="00730F70" w:rsidRDefault="00730F70">
            <w:pPr>
              <w:spacing w:after="0"/>
            </w:pPr>
            <w:r>
              <w:t>2021</w:t>
            </w:r>
            <w:r w:rsidR="004778B8">
              <w:t>-</w:t>
            </w:r>
            <w:r>
              <w:t>22</w:t>
            </w:r>
          </w:p>
        </w:tc>
        <w:tc>
          <w:tcPr>
            <w:tcW w:w="1299" w:type="dxa"/>
            <w:tcBorders>
              <w:top w:val="single" w:sz="4" w:space="0" w:color="auto"/>
              <w:left w:val="single" w:sz="4" w:space="0" w:color="auto"/>
              <w:bottom w:val="single" w:sz="4" w:space="0" w:color="auto"/>
              <w:right w:val="single" w:sz="4" w:space="0" w:color="auto"/>
            </w:tcBorders>
            <w:hideMark/>
          </w:tcPr>
          <w:p w14:paraId="7A4C636C" w14:textId="77777777" w:rsidR="00730F70" w:rsidRDefault="00730F70">
            <w:pPr>
              <w:spacing w:after="0"/>
            </w:pPr>
            <w:r>
              <w:t>4:1</w:t>
            </w:r>
          </w:p>
        </w:tc>
        <w:tc>
          <w:tcPr>
            <w:tcW w:w="1131" w:type="dxa"/>
            <w:tcBorders>
              <w:top w:val="single" w:sz="4" w:space="0" w:color="auto"/>
              <w:left w:val="single" w:sz="4" w:space="0" w:color="auto"/>
              <w:bottom w:val="single" w:sz="4" w:space="0" w:color="auto"/>
              <w:right w:val="single" w:sz="4" w:space="0" w:color="auto"/>
            </w:tcBorders>
            <w:hideMark/>
          </w:tcPr>
          <w:p w14:paraId="5F8F22B0" w14:textId="77777777" w:rsidR="00730F70" w:rsidRDefault="00730F70">
            <w:pPr>
              <w:spacing w:after="0"/>
            </w:pPr>
            <w:r>
              <w:t>3:1</w:t>
            </w:r>
          </w:p>
        </w:tc>
        <w:tc>
          <w:tcPr>
            <w:tcW w:w="1299" w:type="dxa"/>
            <w:tcBorders>
              <w:top w:val="single" w:sz="4" w:space="0" w:color="auto"/>
              <w:left w:val="single" w:sz="4" w:space="0" w:color="auto"/>
              <w:bottom w:val="single" w:sz="4" w:space="0" w:color="auto"/>
              <w:right w:val="single" w:sz="4" w:space="0" w:color="auto"/>
            </w:tcBorders>
            <w:hideMark/>
          </w:tcPr>
          <w:p w14:paraId="1132AEE7" w14:textId="77777777" w:rsidR="00730F70" w:rsidRDefault="00730F70">
            <w:pPr>
              <w:spacing w:after="0"/>
            </w:pPr>
            <w:r>
              <w:t>3:1</w:t>
            </w:r>
          </w:p>
        </w:tc>
        <w:tc>
          <w:tcPr>
            <w:tcW w:w="1004" w:type="dxa"/>
            <w:tcBorders>
              <w:top w:val="single" w:sz="4" w:space="0" w:color="auto"/>
              <w:left w:val="single" w:sz="4" w:space="0" w:color="auto"/>
              <w:bottom w:val="single" w:sz="4" w:space="0" w:color="auto"/>
              <w:right w:val="single" w:sz="4" w:space="0" w:color="auto"/>
            </w:tcBorders>
            <w:hideMark/>
          </w:tcPr>
          <w:p w14:paraId="606C9C26" w14:textId="77777777" w:rsidR="00730F70" w:rsidRDefault="00730F70">
            <w:pPr>
              <w:spacing w:after="0"/>
            </w:pPr>
            <w:r>
              <w:t>3:1</w:t>
            </w:r>
          </w:p>
        </w:tc>
        <w:tc>
          <w:tcPr>
            <w:tcW w:w="1299" w:type="dxa"/>
            <w:tcBorders>
              <w:top w:val="single" w:sz="4" w:space="0" w:color="auto"/>
              <w:left w:val="single" w:sz="4" w:space="0" w:color="auto"/>
              <w:bottom w:val="single" w:sz="4" w:space="0" w:color="auto"/>
              <w:right w:val="single" w:sz="4" w:space="0" w:color="auto"/>
            </w:tcBorders>
            <w:hideMark/>
          </w:tcPr>
          <w:p w14:paraId="41AF3B8A" w14:textId="77777777" w:rsidR="00730F70" w:rsidRDefault="00730F70">
            <w:pPr>
              <w:spacing w:after="0"/>
            </w:pPr>
            <w:r>
              <w:t>2:1</w:t>
            </w:r>
          </w:p>
        </w:tc>
        <w:tc>
          <w:tcPr>
            <w:tcW w:w="1017" w:type="dxa"/>
            <w:tcBorders>
              <w:top w:val="single" w:sz="4" w:space="0" w:color="auto"/>
              <w:left w:val="single" w:sz="4" w:space="0" w:color="auto"/>
              <w:bottom w:val="single" w:sz="4" w:space="0" w:color="auto"/>
              <w:right w:val="single" w:sz="4" w:space="0" w:color="auto"/>
            </w:tcBorders>
            <w:hideMark/>
          </w:tcPr>
          <w:p w14:paraId="7A8BFFE3" w14:textId="77777777" w:rsidR="00730F70" w:rsidRDefault="00730F70">
            <w:pPr>
              <w:spacing w:after="0"/>
            </w:pPr>
            <w:r>
              <w:t>2:1</w:t>
            </w:r>
          </w:p>
        </w:tc>
      </w:tr>
      <w:tr w:rsidR="00730F70" w14:paraId="5DC87DC1" w14:textId="77777777" w:rsidTr="00730F70">
        <w:trPr>
          <w:trHeight w:val="300"/>
        </w:trPr>
        <w:tc>
          <w:tcPr>
            <w:tcW w:w="10931" w:type="dxa"/>
            <w:tcBorders>
              <w:top w:val="single" w:sz="4" w:space="0" w:color="auto"/>
              <w:left w:val="single" w:sz="4" w:space="0" w:color="auto"/>
              <w:bottom w:val="single" w:sz="4" w:space="0" w:color="auto"/>
              <w:right w:val="single" w:sz="4" w:space="0" w:color="auto"/>
            </w:tcBorders>
            <w:hideMark/>
          </w:tcPr>
          <w:p w14:paraId="46918471" w14:textId="3E03B9B4" w:rsidR="00730F70" w:rsidRDefault="00730F70">
            <w:pPr>
              <w:spacing w:after="0"/>
            </w:pPr>
            <w:r>
              <w:t>2020</w:t>
            </w:r>
            <w:r w:rsidR="004778B8">
              <w:t>-</w:t>
            </w:r>
            <w:r>
              <w:t>21</w:t>
            </w:r>
          </w:p>
        </w:tc>
        <w:tc>
          <w:tcPr>
            <w:tcW w:w="1299" w:type="dxa"/>
            <w:tcBorders>
              <w:top w:val="single" w:sz="4" w:space="0" w:color="auto"/>
              <w:left w:val="single" w:sz="4" w:space="0" w:color="auto"/>
              <w:bottom w:val="single" w:sz="4" w:space="0" w:color="auto"/>
              <w:right w:val="single" w:sz="4" w:space="0" w:color="auto"/>
            </w:tcBorders>
            <w:hideMark/>
          </w:tcPr>
          <w:p w14:paraId="5792BE76" w14:textId="77777777" w:rsidR="00730F70" w:rsidRDefault="00730F70">
            <w:pPr>
              <w:spacing w:after="0"/>
            </w:pPr>
            <w:r>
              <w:t>4:1</w:t>
            </w:r>
          </w:p>
        </w:tc>
        <w:tc>
          <w:tcPr>
            <w:tcW w:w="1131" w:type="dxa"/>
            <w:tcBorders>
              <w:top w:val="single" w:sz="4" w:space="0" w:color="auto"/>
              <w:left w:val="single" w:sz="4" w:space="0" w:color="auto"/>
              <w:bottom w:val="single" w:sz="4" w:space="0" w:color="auto"/>
              <w:right w:val="single" w:sz="4" w:space="0" w:color="auto"/>
            </w:tcBorders>
            <w:hideMark/>
          </w:tcPr>
          <w:p w14:paraId="33A1A5C9" w14:textId="77777777" w:rsidR="00730F70" w:rsidRDefault="00730F70">
            <w:pPr>
              <w:spacing w:after="0"/>
            </w:pPr>
            <w:r>
              <w:t>4:1</w:t>
            </w:r>
          </w:p>
        </w:tc>
        <w:tc>
          <w:tcPr>
            <w:tcW w:w="1299" w:type="dxa"/>
            <w:tcBorders>
              <w:top w:val="single" w:sz="4" w:space="0" w:color="auto"/>
              <w:left w:val="single" w:sz="4" w:space="0" w:color="auto"/>
              <w:bottom w:val="single" w:sz="4" w:space="0" w:color="auto"/>
              <w:right w:val="single" w:sz="4" w:space="0" w:color="auto"/>
            </w:tcBorders>
            <w:hideMark/>
          </w:tcPr>
          <w:p w14:paraId="5B61DF98" w14:textId="77777777" w:rsidR="00730F70" w:rsidRDefault="00730F70">
            <w:pPr>
              <w:spacing w:after="0"/>
            </w:pPr>
            <w:r>
              <w:t>3:1</w:t>
            </w:r>
          </w:p>
        </w:tc>
        <w:tc>
          <w:tcPr>
            <w:tcW w:w="1004" w:type="dxa"/>
            <w:tcBorders>
              <w:top w:val="single" w:sz="4" w:space="0" w:color="auto"/>
              <w:left w:val="single" w:sz="4" w:space="0" w:color="auto"/>
              <w:bottom w:val="single" w:sz="4" w:space="0" w:color="auto"/>
              <w:right w:val="single" w:sz="4" w:space="0" w:color="auto"/>
            </w:tcBorders>
            <w:hideMark/>
          </w:tcPr>
          <w:p w14:paraId="54CBA04F" w14:textId="77777777" w:rsidR="00730F70" w:rsidRDefault="00730F70">
            <w:pPr>
              <w:spacing w:after="0"/>
            </w:pPr>
            <w:r>
              <w:t>3:1</w:t>
            </w:r>
          </w:p>
        </w:tc>
        <w:tc>
          <w:tcPr>
            <w:tcW w:w="1299" w:type="dxa"/>
            <w:tcBorders>
              <w:top w:val="single" w:sz="4" w:space="0" w:color="auto"/>
              <w:left w:val="single" w:sz="4" w:space="0" w:color="auto"/>
              <w:bottom w:val="single" w:sz="4" w:space="0" w:color="auto"/>
              <w:right w:val="single" w:sz="4" w:space="0" w:color="auto"/>
            </w:tcBorders>
            <w:hideMark/>
          </w:tcPr>
          <w:p w14:paraId="22D1EB97" w14:textId="77777777" w:rsidR="00730F70" w:rsidRDefault="00730F70">
            <w:pPr>
              <w:spacing w:after="0"/>
            </w:pPr>
            <w:r>
              <w:t>2:1</w:t>
            </w:r>
          </w:p>
        </w:tc>
        <w:tc>
          <w:tcPr>
            <w:tcW w:w="1017" w:type="dxa"/>
            <w:tcBorders>
              <w:top w:val="single" w:sz="4" w:space="0" w:color="auto"/>
              <w:left w:val="single" w:sz="4" w:space="0" w:color="auto"/>
              <w:bottom w:val="single" w:sz="4" w:space="0" w:color="auto"/>
              <w:right w:val="single" w:sz="4" w:space="0" w:color="auto"/>
            </w:tcBorders>
            <w:hideMark/>
          </w:tcPr>
          <w:p w14:paraId="6A47C11E" w14:textId="77777777" w:rsidR="00730F70" w:rsidRDefault="00730F70">
            <w:pPr>
              <w:spacing w:after="0"/>
            </w:pPr>
            <w:r>
              <w:t>2:1</w:t>
            </w:r>
          </w:p>
        </w:tc>
      </w:tr>
    </w:tbl>
    <w:p w14:paraId="1796C992" w14:textId="496209B4" w:rsidR="00730F70" w:rsidRDefault="00730F70" w:rsidP="00730F70">
      <w:r>
        <w:t>The remuneration of the highest paid director/Member has decreased slightly due to reduced Benefit in Kind in 2021</w:t>
      </w:r>
      <w:r w:rsidR="004778B8">
        <w:t>-</w:t>
      </w:r>
      <w:r>
        <w:t xml:space="preserve">22. </w:t>
      </w:r>
    </w:p>
    <w:p w14:paraId="0EBFB5FE" w14:textId="2FF809A8" w:rsidR="00730F70" w:rsidRDefault="00730F70" w:rsidP="00730F70">
      <w:r>
        <w:t>In 2021</w:t>
      </w:r>
      <w:r w:rsidR="004778B8">
        <w:t>-</w:t>
      </w:r>
      <w:r>
        <w:t>22, 3 (2020</w:t>
      </w:r>
      <w:r w:rsidR="004778B8">
        <w:t>-</w:t>
      </w:r>
      <w:r>
        <w:t>21, 6) employees received remuneration, which when grossed up to a full time equivalent, was in excess of the highest-paid member of the Governing Body. These employees are part time clinical advisory staff.</w:t>
      </w:r>
    </w:p>
    <w:p w14:paraId="6BB57D7B" w14:textId="77777777" w:rsidR="00730F70" w:rsidRDefault="00730F70" w:rsidP="00730F70">
      <w:r>
        <w:t>Please note for the purpose of this calculation the GP members of the Governing Body have been considered to be akin to non-Executive as described in the Hutton Fair Pay Review and as such their salaries have not been grossed up to a standard whole time equivalent.</w:t>
      </w:r>
    </w:p>
    <w:p w14:paraId="72F5837D" w14:textId="547A01D5" w:rsidR="00346B28" w:rsidRDefault="00346B28" w:rsidP="00B66DE2">
      <w:pPr>
        <w:pStyle w:val="Heading3"/>
        <w:spacing w:line="240" w:lineRule="auto"/>
      </w:pPr>
      <w:bookmarkStart w:id="142" w:name="_Toc103695060"/>
      <w:bookmarkStart w:id="143" w:name="_Toc450193722"/>
      <w:bookmarkStart w:id="144" w:name="_Toc453089780"/>
      <w:bookmarkEnd w:id="76"/>
      <w:bookmarkEnd w:id="77"/>
      <w:r w:rsidRPr="00DD0A7F">
        <w:t xml:space="preserve">Audit costs </w:t>
      </w:r>
      <w:r w:rsidR="001B17E6">
        <w:t>202</w:t>
      </w:r>
      <w:r w:rsidR="00814EAD">
        <w:t>1</w:t>
      </w:r>
      <w:r w:rsidR="001B17E6">
        <w:t>-2</w:t>
      </w:r>
      <w:r w:rsidR="00814EAD">
        <w:t>2</w:t>
      </w:r>
      <w:bookmarkEnd w:id="142"/>
    </w:p>
    <w:p w14:paraId="6E23E9C3" w14:textId="77777777" w:rsidR="009859BA" w:rsidRPr="00346B28" w:rsidRDefault="009859BA" w:rsidP="009859BA">
      <w:r w:rsidRPr="00346B28">
        <w:rPr>
          <w:spacing w:val="1"/>
        </w:rPr>
        <w:t>O</w:t>
      </w:r>
      <w:r w:rsidRPr="00346B28">
        <w:t>ur</w:t>
      </w:r>
      <w:r w:rsidRPr="00346B28">
        <w:rPr>
          <w:spacing w:val="-1"/>
        </w:rPr>
        <w:t xml:space="preserve"> </w:t>
      </w:r>
      <w:r w:rsidRPr="00346B28">
        <w:t>e</w:t>
      </w:r>
      <w:r w:rsidRPr="00346B28">
        <w:rPr>
          <w:spacing w:val="-3"/>
        </w:rPr>
        <w:t>x</w:t>
      </w:r>
      <w:r w:rsidRPr="00346B28">
        <w:rPr>
          <w:spacing w:val="1"/>
        </w:rPr>
        <w:t>t</w:t>
      </w:r>
      <w:r w:rsidRPr="00346B28">
        <w:t>ernal a</w:t>
      </w:r>
      <w:r w:rsidRPr="00346B28">
        <w:rPr>
          <w:spacing w:val="-1"/>
        </w:rPr>
        <w:t>u</w:t>
      </w:r>
      <w:r w:rsidRPr="00346B28">
        <w:t>d</w:t>
      </w:r>
      <w:r w:rsidRPr="00346B28">
        <w:rPr>
          <w:spacing w:val="-1"/>
        </w:rPr>
        <w:t>i</w:t>
      </w:r>
      <w:r w:rsidRPr="00346B28">
        <w:rPr>
          <w:spacing w:val="1"/>
        </w:rPr>
        <w:t>t</w:t>
      </w:r>
      <w:r w:rsidRPr="00346B28">
        <w:rPr>
          <w:spacing w:val="-3"/>
        </w:rPr>
        <w:t>o</w:t>
      </w:r>
      <w:r w:rsidRPr="00346B28">
        <w:t>r</w:t>
      </w:r>
      <w:r w:rsidRPr="00346B28">
        <w:rPr>
          <w:spacing w:val="3"/>
        </w:rPr>
        <w:t xml:space="preserve"> </w:t>
      </w:r>
      <w:r w:rsidRPr="00346B28">
        <w:t>is Mazars, Salvus House, Aykley Heads, Durham, DH1 5TS. Auditors' remune</w:t>
      </w:r>
      <w:r>
        <w:t>ration in relation to April 2021</w:t>
      </w:r>
      <w:r w:rsidRPr="00346B28">
        <w:t xml:space="preserve"> to March 20</w:t>
      </w:r>
      <w:r>
        <w:t xml:space="preserve">22 totalled </w:t>
      </w:r>
      <w:r w:rsidRPr="001E405C">
        <w:rPr>
          <w:rFonts w:cstheme="minorHAnsi"/>
        </w:rPr>
        <w:t xml:space="preserve">£56,280 </w:t>
      </w:r>
      <w:r w:rsidRPr="00346B28">
        <w:t>for statutory audit services. This</w:t>
      </w:r>
      <w:r w:rsidRPr="00346B28">
        <w:rPr>
          <w:spacing w:val="-1"/>
        </w:rPr>
        <w:t xml:space="preserve"> </w:t>
      </w:r>
      <w:r w:rsidRPr="00346B28">
        <w:t>co</w:t>
      </w:r>
      <w:r w:rsidRPr="00346B28">
        <w:rPr>
          <w:spacing w:val="-3"/>
        </w:rPr>
        <w:t>v</w:t>
      </w:r>
      <w:r w:rsidRPr="00346B28">
        <w:t>ered</w:t>
      </w:r>
      <w:r w:rsidRPr="00346B28">
        <w:rPr>
          <w:spacing w:val="1"/>
        </w:rPr>
        <w:t xml:space="preserve"> </w:t>
      </w:r>
      <w:r w:rsidRPr="00346B28">
        <w:t>a</w:t>
      </w:r>
      <w:r w:rsidRPr="00346B28">
        <w:rPr>
          <w:spacing w:val="-1"/>
        </w:rPr>
        <w:t>u</w:t>
      </w:r>
      <w:r w:rsidRPr="00346B28">
        <w:t>d</w:t>
      </w:r>
      <w:r w:rsidRPr="00346B28">
        <w:rPr>
          <w:spacing w:val="-1"/>
        </w:rPr>
        <w:t>i</w:t>
      </w:r>
      <w:r w:rsidRPr="00346B28">
        <w:t>t ser</w:t>
      </w:r>
      <w:r w:rsidRPr="00346B28">
        <w:rPr>
          <w:spacing w:val="-2"/>
        </w:rPr>
        <w:t>v</w:t>
      </w:r>
      <w:r w:rsidRPr="00346B28">
        <w:rPr>
          <w:spacing w:val="-1"/>
        </w:rPr>
        <w:t>i</w:t>
      </w:r>
      <w:r w:rsidRPr="00346B28">
        <w:t xml:space="preserve">ces </w:t>
      </w:r>
      <w:r w:rsidRPr="00346B28">
        <w:rPr>
          <w:spacing w:val="1"/>
        </w:rPr>
        <w:t>r</w:t>
      </w:r>
      <w:r w:rsidRPr="00346B28">
        <w:rPr>
          <w:spacing w:val="-3"/>
        </w:rPr>
        <w:t>e</w:t>
      </w:r>
      <w:r w:rsidRPr="00346B28">
        <w:rPr>
          <w:spacing w:val="2"/>
        </w:rPr>
        <w:t>q</w:t>
      </w:r>
      <w:r w:rsidRPr="00346B28">
        <w:t>u</w:t>
      </w:r>
      <w:r w:rsidRPr="00346B28">
        <w:rPr>
          <w:spacing w:val="-1"/>
        </w:rPr>
        <w:t>i</w:t>
      </w:r>
      <w:r w:rsidRPr="00346B28">
        <w:rPr>
          <w:spacing w:val="1"/>
        </w:rPr>
        <w:t>r</w:t>
      </w:r>
      <w:r w:rsidRPr="00346B28">
        <w:t>ed</w:t>
      </w:r>
      <w:r w:rsidRPr="00346B28">
        <w:rPr>
          <w:spacing w:val="-2"/>
        </w:rPr>
        <w:t xml:space="preserve"> </w:t>
      </w:r>
      <w:r w:rsidRPr="00346B28">
        <w:t>u</w:t>
      </w:r>
      <w:r w:rsidRPr="00346B28">
        <w:rPr>
          <w:spacing w:val="-1"/>
        </w:rPr>
        <w:t>n</w:t>
      </w:r>
      <w:r w:rsidRPr="00346B28">
        <w:t>d</w:t>
      </w:r>
      <w:r w:rsidRPr="00346B28">
        <w:rPr>
          <w:spacing w:val="-1"/>
        </w:rPr>
        <w:t>e</w:t>
      </w:r>
      <w:r w:rsidRPr="00346B28">
        <w:t xml:space="preserve">r </w:t>
      </w:r>
      <w:r w:rsidRPr="00346B28">
        <w:rPr>
          <w:spacing w:val="-1"/>
        </w:rPr>
        <w:t>t</w:t>
      </w:r>
      <w:r w:rsidRPr="00346B28">
        <w:t xml:space="preserve">he </w:t>
      </w:r>
      <w:r w:rsidRPr="00346B28">
        <w:rPr>
          <w:spacing w:val="-1"/>
        </w:rPr>
        <w:t>A</w:t>
      </w:r>
      <w:r w:rsidRPr="00346B28">
        <w:rPr>
          <w:spacing w:val="-3"/>
        </w:rPr>
        <w:t>u</w:t>
      </w:r>
      <w:r w:rsidRPr="00346B28">
        <w:t>d</w:t>
      </w:r>
      <w:r w:rsidRPr="00346B28">
        <w:rPr>
          <w:spacing w:val="-1"/>
        </w:rPr>
        <w:t>i</w:t>
      </w:r>
      <w:r w:rsidRPr="00346B28">
        <w:t>t</w:t>
      </w:r>
      <w:r w:rsidRPr="00346B28">
        <w:rPr>
          <w:spacing w:val="2"/>
        </w:rPr>
        <w:t xml:space="preserve"> </w:t>
      </w:r>
      <w:r w:rsidRPr="00346B28">
        <w:rPr>
          <w:spacing w:val="-1"/>
        </w:rPr>
        <w:t>C</w:t>
      </w:r>
      <w:r w:rsidRPr="00346B28">
        <w:t>o</w:t>
      </w:r>
      <w:r w:rsidRPr="00346B28">
        <w:rPr>
          <w:spacing w:val="-2"/>
        </w:rPr>
        <w:t>m</w:t>
      </w:r>
      <w:r w:rsidRPr="00346B28">
        <w:rPr>
          <w:spacing w:val="1"/>
        </w:rPr>
        <w:t>m</w:t>
      </w:r>
      <w:r w:rsidRPr="00346B28">
        <w:rPr>
          <w:spacing w:val="-1"/>
        </w:rPr>
        <w:t>i</w:t>
      </w:r>
      <w:r w:rsidRPr="00346B28">
        <w:rPr>
          <w:spacing w:val="3"/>
        </w:rPr>
        <w:t>s</w:t>
      </w:r>
      <w:r w:rsidRPr="00346B28">
        <w:t>s</w:t>
      </w:r>
      <w:r w:rsidRPr="00346B28">
        <w:rPr>
          <w:spacing w:val="-1"/>
        </w:rPr>
        <w:t>i</w:t>
      </w:r>
      <w:r w:rsidRPr="00346B28">
        <w:t>o</w:t>
      </w:r>
      <w:r w:rsidRPr="00346B28">
        <w:rPr>
          <w:spacing w:val="-1"/>
        </w:rPr>
        <w:t>n</w:t>
      </w:r>
      <w:r w:rsidRPr="00346B28">
        <w:rPr>
          <w:spacing w:val="1"/>
        </w:rPr>
        <w:t>'</w:t>
      </w:r>
      <w:r w:rsidRPr="00346B28">
        <w:t>s</w:t>
      </w:r>
      <w:r w:rsidRPr="00346B28">
        <w:rPr>
          <w:spacing w:val="-1"/>
        </w:rPr>
        <w:t xml:space="preserve"> C</w:t>
      </w:r>
      <w:r w:rsidRPr="00346B28">
        <w:t>o</w:t>
      </w:r>
      <w:r w:rsidRPr="00346B28">
        <w:rPr>
          <w:spacing w:val="-1"/>
        </w:rPr>
        <w:t>d</w:t>
      </w:r>
      <w:r w:rsidRPr="00346B28">
        <w:t xml:space="preserve">e </w:t>
      </w:r>
      <w:r w:rsidRPr="00346B28">
        <w:rPr>
          <w:spacing w:val="-2"/>
        </w:rPr>
        <w:t>o</w:t>
      </w:r>
      <w:r w:rsidRPr="00346B28">
        <w:t>f</w:t>
      </w:r>
      <w:r w:rsidRPr="00346B28">
        <w:rPr>
          <w:spacing w:val="2"/>
        </w:rPr>
        <w:t xml:space="preserve"> </w:t>
      </w:r>
      <w:r w:rsidRPr="00346B28">
        <w:rPr>
          <w:spacing w:val="-1"/>
        </w:rPr>
        <w:t>A</w:t>
      </w:r>
      <w:r w:rsidRPr="00346B28">
        <w:t>u</w:t>
      </w:r>
      <w:r w:rsidRPr="00346B28">
        <w:rPr>
          <w:spacing w:val="-1"/>
        </w:rPr>
        <w:t>di</w:t>
      </w:r>
      <w:r w:rsidRPr="00346B28">
        <w:t xml:space="preserve">t </w:t>
      </w:r>
      <w:r w:rsidRPr="00346B28">
        <w:rPr>
          <w:spacing w:val="-1"/>
        </w:rPr>
        <w:t>P</w:t>
      </w:r>
      <w:r w:rsidRPr="00346B28">
        <w:rPr>
          <w:spacing w:val="1"/>
        </w:rPr>
        <w:t>r</w:t>
      </w:r>
      <w:r w:rsidRPr="00346B28">
        <w:t>a</w:t>
      </w:r>
      <w:r w:rsidRPr="00346B28">
        <w:rPr>
          <w:spacing w:val="-3"/>
        </w:rPr>
        <w:t>c</w:t>
      </w:r>
      <w:r w:rsidRPr="00346B28">
        <w:rPr>
          <w:spacing w:val="1"/>
        </w:rPr>
        <w:t>t</w:t>
      </w:r>
      <w:r w:rsidRPr="00346B28">
        <w:rPr>
          <w:spacing w:val="-1"/>
        </w:rPr>
        <w:t>i</w:t>
      </w:r>
      <w:r w:rsidRPr="00346B28">
        <w:t xml:space="preserve">ce </w:t>
      </w:r>
      <w:r w:rsidRPr="00346B28">
        <w:rPr>
          <w:spacing w:val="1"/>
        </w:rPr>
        <w:t>(</w:t>
      </w:r>
      <w:r w:rsidRPr="00346B28">
        <w:rPr>
          <w:spacing w:val="2"/>
        </w:rPr>
        <w:t>g</w:t>
      </w:r>
      <w:r w:rsidRPr="00346B28">
        <w:rPr>
          <w:spacing w:val="-1"/>
        </w:rPr>
        <w:t>i</w:t>
      </w:r>
      <w:r w:rsidRPr="00346B28">
        <w:rPr>
          <w:spacing w:val="-2"/>
        </w:rPr>
        <w:t>v</w:t>
      </w:r>
      <w:r w:rsidRPr="00346B28">
        <w:rPr>
          <w:spacing w:val="-1"/>
        </w:rPr>
        <w:t>i</w:t>
      </w:r>
      <w:r w:rsidRPr="00346B28">
        <w:t>ng</w:t>
      </w:r>
      <w:r w:rsidRPr="00346B28">
        <w:rPr>
          <w:spacing w:val="3"/>
        </w:rPr>
        <w:t xml:space="preserve"> </w:t>
      </w:r>
      <w:r w:rsidRPr="00346B28">
        <w:rPr>
          <w:spacing w:val="-3"/>
        </w:rPr>
        <w:t>o</w:t>
      </w:r>
      <w:r w:rsidRPr="00346B28">
        <w:t>p</w:t>
      </w:r>
      <w:r w:rsidRPr="00346B28">
        <w:rPr>
          <w:spacing w:val="-1"/>
        </w:rPr>
        <w:t>i</w:t>
      </w:r>
      <w:r w:rsidRPr="00346B28">
        <w:t>n</w:t>
      </w:r>
      <w:r w:rsidRPr="00346B28">
        <w:rPr>
          <w:spacing w:val="-1"/>
        </w:rPr>
        <w:t>i</w:t>
      </w:r>
      <w:r w:rsidRPr="00346B28">
        <w:t xml:space="preserve">on on </w:t>
      </w:r>
      <w:r w:rsidRPr="00346B28">
        <w:rPr>
          <w:color w:val="1F497D"/>
        </w:rPr>
        <w:t>,</w:t>
      </w:r>
      <w:r w:rsidRPr="00346B28">
        <w:rPr>
          <w:spacing w:val="1"/>
        </w:rPr>
        <w:t>t</w:t>
      </w:r>
      <w:r w:rsidRPr="00346B28">
        <w:t>he</w:t>
      </w:r>
      <w:r w:rsidRPr="00346B28">
        <w:rPr>
          <w:spacing w:val="-2"/>
        </w:rPr>
        <w:t xml:space="preserve"> </w:t>
      </w:r>
      <w:r w:rsidRPr="00346B28">
        <w:rPr>
          <w:spacing w:val="-1"/>
        </w:rPr>
        <w:t>A</w:t>
      </w:r>
      <w:r w:rsidRPr="00346B28">
        <w:rPr>
          <w:spacing w:val="-3"/>
        </w:rPr>
        <w:t>n</w:t>
      </w:r>
      <w:r w:rsidRPr="00346B28">
        <w:t>n</w:t>
      </w:r>
      <w:r w:rsidRPr="00346B28">
        <w:rPr>
          <w:spacing w:val="-1"/>
        </w:rPr>
        <w:t>u</w:t>
      </w:r>
      <w:r w:rsidRPr="00346B28">
        <w:t xml:space="preserve">al </w:t>
      </w:r>
      <w:r w:rsidRPr="00346B28">
        <w:rPr>
          <w:spacing w:val="-1"/>
        </w:rPr>
        <w:t>A</w:t>
      </w:r>
      <w:r w:rsidRPr="00346B28">
        <w:t>cco</w:t>
      </w:r>
      <w:r w:rsidRPr="00346B28">
        <w:rPr>
          <w:spacing w:val="-1"/>
        </w:rPr>
        <w:t>u</w:t>
      </w:r>
      <w:r w:rsidRPr="00346B28">
        <w:t>nts</w:t>
      </w:r>
      <w:r w:rsidRPr="00346B28">
        <w:rPr>
          <w:spacing w:val="-1"/>
        </w:rPr>
        <w:t xml:space="preserve"> </w:t>
      </w:r>
      <w:r w:rsidRPr="00346B28">
        <w:t>a</w:t>
      </w:r>
      <w:r w:rsidRPr="00346B28">
        <w:rPr>
          <w:spacing w:val="-1"/>
        </w:rPr>
        <w:t>n</w:t>
      </w:r>
      <w:r w:rsidRPr="00346B28">
        <w:t xml:space="preserve">d </w:t>
      </w:r>
      <w:r w:rsidRPr="00346B28">
        <w:rPr>
          <w:spacing w:val="-3"/>
        </w:rPr>
        <w:t>w</w:t>
      </w:r>
      <w:r w:rsidRPr="00346B28">
        <w:t>o</w:t>
      </w:r>
      <w:r w:rsidRPr="00346B28">
        <w:rPr>
          <w:spacing w:val="-2"/>
        </w:rPr>
        <w:t>r</w:t>
      </w:r>
      <w:r w:rsidRPr="00346B28">
        <w:t>k</w:t>
      </w:r>
      <w:r w:rsidRPr="00346B28">
        <w:rPr>
          <w:spacing w:val="1"/>
        </w:rPr>
        <w:t xml:space="preserve"> t</w:t>
      </w:r>
      <w:r w:rsidRPr="00346B28">
        <w:t>o e</w:t>
      </w:r>
      <w:r w:rsidRPr="00346B28">
        <w:rPr>
          <w:spacing w:val="-2"/>
        </w:rPr>
        <w:t>x</w:t>
      </w:r>
      <w:r w:rsidRPr="00346B28">
        <w:t>ami</w:t>
      </w:r>
      <w:r w:rsidRPr="00346B28">
        <w:rPr>
          <w:spacing w:val="-1"/>
        </w:rPr>
        <w:t>n</w:t>
      </w:r>
      <w:r w:rsidRPr="00346B28">
        <w:t>e o</w:t>
      </w:r>
      <w:r w:rsidRPr="00346B28">
        <w:rPr>
          <w:spacing w:val="-2"/>
        </w:rPr>
        <w:t>u</w:t>
      </w:r>
      <w:r w:rsidRPr="00346B28">
        <w:t>r</w:t>
      </w:r>
      <w:r w:rsidRPr="00346B28">
        <w:rPr>
          <w:spacing w:val="2"/>
        </w:rPr>
        <w:t xml:space="preserve"> </w:t>
      </w:r>
      <w:r w:rsidRPr="00346B28">
        <w:t>use</w:t>
      </w:r>
      <w:r w:rsidRPr="00346B28">
        <w:rPr>
          <w:spacing w:val="-2"/>
        </w:rPr>
        <w:t xml:space="preserve"> </w:t>
      </w:r>
      <w:r w:rsidRPr="00346B28">
        <w:rPr>
          <w:spacing w:val="-3"/>
        </w:rPr>
        <w:t>o</w:t>
      </w:r>
      <w:r w:rsidRPr="00346B28">
        <w:t>f</w:t>
      </w:r>
      <w:r w:rsidRPr="00346B28">
        <w:rPr>
          <w:spacing w:val="2"/>
        </w:rPr>
        <w:t xml:space="preserve"> </w:t>
      </w:r>
      <w:r w:rsidRPr="00346B28">
        <w:rPr>
          <w:spacing w:val="1"/>
        </w:rPr>
        <w:t>r</w:t>
      </w:r>
      <w:r w:rsidRPr="00346B28">
        <w:rPr>
          <w:spacing w:val="-3"/>
        </w:rPr>
        <w:t>e</w:t>
      </w:r>
      <w:r w:rsidRPr="00346B28">
        <w:t>so</w:t>
      </w:r>
      <w:r w:rsidRPr="00346B28">
        <w:rPr>
          <w:spacing w:val="-1"/>
        </w:rPr>
        <w:t>u</w:t>
      </w:r>
      <w:r w:rsidRPr="00346B28">
        <w:rPr>
          <w:spacing w:val="1"/>
        </w:rPr>
        <w:t>r</w:t>
      </w:r>
      <w:r w:rsidRPr="00346B28">
        <w:t>ces</w:t>
      </w:r>
      <w:r w:rsidRPr="00346B28">
        <w:rPr>
          <w:spacing w:val="-2"/>
        </w:rPr>
        <w:t xml:space="preserve"> </w:t>
      </w:r>
      <w:r w:rsidRPr="00346B28">
        <w:t>a</w:t>
      </w:r>
      <w:r w:rsidRPr="00346B28">
        <w:rPr>
          <w:spacing w:val="-1"/>
        </w:rPr>
        <w:t>n</w:t>
      </w:r>
      <w:r w:rsidRPr="00346B28">
        <w:t xml:space="preserve">d </w:t>
      </w:r>
      <w:r w:rsidRPr="00346B28">
        <w:rPr>
          <w:spacing w:val="3"/>
        </w:rPr>
        <w:t>f</w:t>
      </w:r>
      <w:r w:rsidRPr="00346B28">
        <w:rPr>
          <w:spacing w:val="-1"/>
        </w:rPr>
        <w:t>i</w:t>
      </w:r>
      <w:r w:rsidRPr="00346B28">
        <w:t>n</w:t>
      </w:r>
      <w:r w:rsidRPr="00346B28">
        <w:rPr>
          <w:spacing w:val="-1"/>
        </w:rPr>
        <w:t>a</w:t>
      </w:r>
      <w:r w:rsidRPr="00346B28">
        <w:t>nc</w:t>
      </w:r>
      <w:r w:rsidRPr="00346B28">
        <w:rPr>
          <w:spacing w:val="-1"/>
        </w:rPr>
        <w:t>i</w:t>
      </w:r>
      <w:r w:rsidRPr="00346B28">
        <w:t>al as</w:t>
      </w:r>
      <w:r w:rsidRPr="00346B28">
        <w:rPr>
          <w:spacing w:val="-1"/>
        </w:rPr>
        <w:t>p</w:t>
      </w:r>
      <w:r w:rsidRPr="00346B28">
        <w:rPr>
          <w:spacing w:val="-3"/>
        </w:rPr>
        <w:t>e</w:t>
      </w:r>
      <w:r w:rsidRPr="00346B28">
        <w:t>c</w:t>
      </w:r>
      <w:r w:rsidRPr="00346B28">
        <w:rPr>
          <w:spacing w:val="1"/>
        </w:rPr>
        <w:t>t</w:t>
      </w:r>
      <w:r w:rsidRPr="00346B28">
        <w:t>s</w:t>
      </w:r>
      <w:r w:rsidRPr="00346B28">
        <w:rPr>
          <w:spacing w:val="-1"/>
        </w:rPr>
        <w:t xml:space="preserve"> </w:t>
      </w:r>
      <w:r w:rsidRPr="00346B28">
        <w:rPr>
          <w:spacing w:val="-3"/>
        </w:rPr>
        <w:t>o</w:t>
      </w:r>
      <w:r w:rsidRPr="00346B28">
        <w:t>f</w:t>
      </w:r>
      <w:r w:rsidRPr="00346B28">
        <w:rPr>
          <w:spacing w:val="2"/>
        </w:rPr>
        <w:t xml:space="preserve"> </w:t>
      </w:r>
      <w:r w:rsidRPr="00346B28">
        <w:t>c</w:t>
      </w:r>
      <w:r w:rsidRPr="00346B28">
        <w:rPr>
          <w:spacing w:val="-3"/>
        </w:rPr>
        <w:t>o</w:t>
      </w:r>
      <w:r w:rsidRPr="00346B28">
        <w:rPr>
          <w:spacing w:val="1"/>
        </w:rPr>
        <w:t>r</w:t>
      </w:r>
      <w:r w:rsidRPr="00346B28">
        <w:rPr>
          <w:spacing w:val="-3"/>
        </w:rPr>
        <w:t>p</w:t>
      </w:r>
      <w:r w:rsidRPr="00346B28">
        <w:t>ora</w:t>
      </w:r>
      <w:r w:rsidRPr="00346B28">
        <w:rPr>
          <w:spacing w:val="1"/>
        </w:rPr>
        <w:t>t</w:t>
      </w:r>
      <w:r w:rsidRPr="00346B28">
        <w:t>e</w:t>
      </w:r>
      <w:r w:rsidRPr="00346B28">
        <w:rPr>
          <w:spacing w:val="-4"/>
        </w:rPr>
        <w:t xml:space="preserve"> </w:t>
      </w:r>
      <w:r w:rsidRPr="00346B28">
        <w:rPr>
          <w:spacing w:val="2"/>
        </w:rPr>
        <w:t>g</w:t>
      </w:r>
      <w:r w:rsidRPr="00346B28">
        <w:t>o</w:t>
      </w:r>
      <w:r w:rsidRPr="00346B28">
        <w:rPr>
          <w:spacing w:val="-3"/>
        </w:rPr>
        <w:t>v</w:t>
      </w:r>
      <w:r w:rsidRPr="00346B28">
        <w:t>ernanc</w:t>
      </w:r>
      <w:r w:rsidRPr="00346B28">
        <w:rPr>
          <w:spacing w:val="-1"/>
        </w:rPr>
        <w:t>e</w:t>
      </w:r>
      <w:r w:rsidRPr="00346B28">
        <w:rPr>
          <w:spacing w:val="1"/>
        </w:rPr>
        <w:t>)</w:t>
      </w:r>
      <w:r w:rsidRPr="00346B28">
        <w:t>.</w:t>
      </w:r>
    </w:p>
    <w:p w14:paraId="72CBCC82" w14:textId="77777777" w:rsidR="009859BA" w:rsidRPr="00346B28" w:rsidRDefault="009859BA" w:rsidP="009859BA">
      <w:r w:rsidRPr="00346B28">
        <w:rPr>
          <w:spacing w:val="2"/>
        </w:rPr>
        <w:t>T</w:t>
      </w:r>
      <w:r w:rsidRPr="00346B28">
        <w:t>he</w:t>
      </w:r>
      <w:r w:rsidRPr="00346B28">
        <w:rPr>
          <w:spacing w:val="-2"/>
        </w:rPr>
        <w:t xml:space="preserve"> </w:t>
      </w:r>
      <w:r w:rsidRPr="00346B28">
        <w:t>e</w:t>
      </w:r>
      <w:r w:rsidRPr="00346B28">
        <w:rPr>
          <w:spacing w:val="-3"/>
        </w:rPr>
        <w:t>x</w:t>
      </w:r>
      <w:r w:rsidRPr="00346B28">
        <w:rPr>
          <w:spacing w:val="1"/>
        </w:rPr>
        <w:t>t</w:t>
      </w:r>
      <w:r w:rsidRPr="00346B28">
        <w:t>ernal a</w:t>
      </w:r>
      <w:r w:rsidRPr="00346B28">
        <w:rPr>
          <w:spacing w:val="-1"/>
        </w:rPr>
        <w:t>u</w:t>
      </w:r>
      <w:r w:rsidRPr="00346B28">
        <w:t>d</w:t>
      </w:r>
      <w:r w:rsidRPr="00346B28">
        <w:rPr>
          <w:spacing w:val="-1"/>
        </w:rPr>
        <w:t>i</w:t>
      </w:r>
      <w:r w:rsidRPr="00346B28">
        <w:rPr>
          <w:spacing w:val="1"/>
        </w:rPr>
        <w:t>t</w:t>
      </w:r>
      <w:r w:rsidRPr="00346B28">
        <w:rPr>
          <w:spacing w:val="-3"/>
        </w:rPr>
        <w:t>o</w:t>
      </w:r>
      <w:r w:rsidRPr="00346B28">
        <w:t>r</w:t>
      </w:r>
      <w:r w:rsidRPr="00346B28">
        <w:rPr>
          <w:spacing w:val="2"/>
        </w:rPr>
        <w:t xml:space="preserve"> </w:t>
      </w:r>
      <w:r w:rsidRPr="00346B28">
        <w:rPr>
          <w:spacing w:val="-1"/>
        </w:rPr>
        <w:t>i</w:t>
      </w:r>
      <w:r w:rsidRPr="00346B28">
        <w:t>s</w:t>
      </w:r>
      <w:r w:rsidRPr="00346B28">
        <w:rPr>
          <w:spacing w:val="-1"/>
        </w:rPr>
        <w:t xml:space="preserve"> </w:t>
      </w:r>
      <w:r w:rsidRPr="00346B28">
        <w:rPr>
          <w:spacing w:val="1"/>
        </w:rPr>
        <w:t>r</w:t>
      </w:r>
      <w:r w:rsidRPr="00346B28">
        <w:rPr>
          <w:spacing w:val="-3"/>
        </w:rPr>
        <w:t>e</w:t>
      </w:r>
      <w:r w:rsidRPr="00346B28">
        <w:rPr>
          <w:spacing w:val="2"/>
        </w:rPr>
        <w:t>q</w:t>
      </w:r>
      <w:r w:rsidRPr="00346B28">
        <w:t>u</w:t>
      </w:r>
      <w:r w:rsidRPr="00346B28">
        <w:rPr>
          <w:spacing w:val="-1"/>
        </w:rPr>
        <w:t>i</w:t>
      </w:r>
      <w:r w:rsidRPr="00346B28">
        <w:rPr>
          <w:spacing w:val="1"/>
        </w:rPr>
        <w:t>r</w:t>
      </w:r>
      <w:r w:rsidRPr="00346B28">
        <w:t>ed</w:t>
      </w:r>
      <w:r w:rsidRPr="00346B28">
        <w:rPr>
          <w:spacing w:val="-2"/>
        </w:rPr>
        <w:t xml:space="preserve"> </w:t>
      </w:r>
      <w:r w:rsidRPr="00346B28">
        <w:rPr>
          <w:spacing w:val="1"/>
        </w:rPr>
        <w:t>t</w:t>
      </w:r>
      <w:r w:rsidRPr="00346B28">
        <w:t>o</w:t>
      </w:r>
      <w:r w:rsidRPr="00346B28">
        <w:rPr>
          <w:spacing w:val="-2"/>
        </w:rPr>
        <w:t xml:space="preserve"> </w:t>
      </w:r>
      <w:r w:rsidRPr="00346B28">
        <w:t>c</w:t>
      </w:r>
      <w:r w:rsidRPr="00346B28">
        <w:rPr>
          <w:spacing w:val="-3"/>
        </w:rPr>
        <w:t>o</w:t>
      </w:r>
      <w:r w:rsidRPr="00346B28">
        <w:rPr>
          <w:spacing w:val="1"/>
        </w:rPr>
        <w:t>m</w:t>
      </w:r>
      <w:r w:rsidRPr="00346B28">
        <w:t>p</w:t>
      </w:r>
      <w:r w:rsidRPr="00346B28">
        <w:rPr>
          <w:spacing w:val="-1"/>
        </w:rPr>
        <w:t>l</w:t>
      </w:r>
      <w:r w:rsidRPr="00346B28">
        <w:t>y</w:t>
      </w:r>
      <w:r w:rsidRPr="00346B28">
        <w:rPr>
          <w:spacing w:val="-1"/>
        </w:rPr>
        <w:t xml:space="preserve"> wi</w:t>
      </w:r>
      <w:r w:rsidRPr="00346B28">
        <w:rPr>
          <w:spacing w:val="1"/>
        </w:rPr>
        <w:t>t</w:t>
      </w:r>
      <w:r w:rsidRPr="00346B28">
        <w:t xml:space="preserve">h </w:t>
      </w:r>
      <w:r w:rsidRPr="00346B28">
        <w:rPr>
          <w:spacing w:val="2"/>
        </w:rPr>
        <w:t>t</w:t>
      </w:r>
      <w:r w:rsidRPr="00346B28">
        <w:t>he</w:t>
      </w:r>
      <w:r w:rsidRPr="00346B28">
        <w:rPr>
          <w:spacing w:val="-2"/>
        </w:rPr>
        <w:t xml:space="preserve"> </w:t>
      </w:r>
      <w:r w:rsidRPr="00346B28">
        <w:rPr>
          <w:spacing w:val="-1"/>
        </w:rPr>
        <w:t>A</w:t>
      </w:r>
      <w:r w:rsidRPr="00346B28">
        <w:t>u</w:t>
      </w:r>
      <w:r w:rsidRPr="00346B28">
        <w:rPr>
          <w:spacing w:val="-1"/>
        </w:rPr>
        <w:t>di</w:t>
      </w:r>
      <w:r w:rsidRPr="00346B28">
        <w:t>t</w:t>
      </w:r>
      <w:r w:rsidRPr="00346B28">
        <w:rPr>
          <w:spacing w:val="2"/>
        </w:rPr>
        <w:t xml:space="preserve"> </w:t>
      </w:r>
      <w:r w:rsidRPr="00346B28">
        <w:rPr>
          <w:spacing w:val="-1"/>
        </w:rPr>
        <w:t>C</w:t>
      </w:r>
      <w:r w:rsidRPr="00346B28">
        <w:rPr>
          <w:spacing w:val="-3"/>
        </w:rPr>
        <w:t>o</w:t>
      </w:r>
      <w:r w:rsidRPr="00346B28">
        <w:rPr>
          <w:spacing w:val="1"/>
        </w:rPr>
        <w:t>mm</w:t>
      </w:r>
      <w:r w:rsidRPr="00346B28">
        <w:rPr>
          <w:spacing w:val="-1"/>
        </w:rPr>
        <w:t>i</w:t>
      </w:r>
      <w:r w:rsidRPr="00346B28">
        <w:t>ss</w:t>
      </w:r>
      <w:r w:rsidRPr="00346B28">
        <w:rPr>
          <w:spacing w:val="-1"/>
        </w:rPr>
        <w:t>i</w:t>
      </w:r>
      <w:r w:rsidRPr="00346B28">
        <w:t>o</w:t>
      </w:r>
      <w:r w:rsidRPr="00346B28">
        <w:rPr>
          <w:spacing w:val="-1"/>
        </w:rPr>
        <w:t>n</w:t>
      </w:r>
      <w:r w:rsidRPr="00346B28">
        <w:rPr>
          <w:spacing w:val="1"/>
        </w:rPr>
        <w:t>'</w:t>
      </w:r>
      <w:r w:rsidRPr="00346B28">
        <w:t>s</w:t>
      </w:r>
      <w:r w:rsidRPr="00346B28">
        <w:rPr>
          <w:spacing w:val="-1"/>
        </w:rPr>
        <w:t xml:space="preserve"> </w:t>
      </w:r>
      <w:r w:rsidRPr="00346B28">
        <w:rPr>
          <w:spacing w:val="1"/>
        </w:rPr>
        <w:t>r</w:t>
      </w:r>
      <w:r w:rsidRPr="00346B28">
        <w:rPr>
          <w:spacing w:val="-3"/>
        </w:rPr>
        <w:t>eq</w:t>
      </w:r>
      <w:r w:rsidRPr="00346B28">
        <w:t>u</w:t>
      </w:r>
      <w:r w:rsidRPr="00346B28">
        <w:rPr>
          <w:spacing w:val="-1"/>
        </w:rPr>
        <w:t>i</w:t>
      </w:r>
      <w:r w:rsidRPr="00346B28">
        <w:rPr>
          <w:spacing w:val="1"/>
        </w:rPr>
        <w:t>r</w:t>
      </w:r>
      <w:r w:rsidRPr="00346B28">
        <w:t xml:space="preserve">ement </w:t>
      </w:r>
      <w:r w:rsidRPr="00346B28">
        <w:rPr>
          <w:spacing w:val="-1"/>
        </w:rPr>
        <w:t>i</w:t>
      </w:r>
      <w:r w:rsidRPr="00346B28">
        <w:t xml:space="preserve">n </w:t>
      </w:r>
      <w:r w:rsidRPr="00346B28">
        <w:rPr>
          <w:spacing w:val="1"/>
        </w:rPr>
        <w:t>r</w:t>
      </w:r>
      <w:r w:rsidRPr="00346B28">
        <w:t>es</w:t>
      </w:r>
      <w:r w:rsidRPr="00346B28">
        <w:rPr>
          <w:spacing w:val="-1"/>
        </w:rPr>
        <w:t>p</w:t>
      </w:r>
      <w:r w:rsidRPr="00346B28">
        <w:t>ect</w:t>
      </w:r>
      <w:r w:rsidRPr="00346B28">
        <w:rPr>
          <w:spacing w:val="-1"/>
        </w:rPr>
        <w:t xml:space="preserve"> </w:t>
      </w:r>
      <w:r w:rsidRPr="00346B28">
        <w:rPr>
          <w:spacing w:val="-3"/>
        </w:rPr>
        <w:t>o</w:t>
      </w:r>
      <w:r w:rsidRPr="00346B28">
        <w:t>f</w:t>
      </w:r>
      <w:r w:rsidRPr="00346B28">
        <w:rPr>
          <w:spacing w:val="3"/>
        </w:rPr>
        <w:t xml:space="preserve"> </w:t>
      </w:r>
      <w:r w:rsidRPr="00346B28">
        <w:rPr>
          <w:spacing w:val="-1"/>
        </w:rPr>
        <w:t>i</w:t>
      </w:r>
      <w:r w:rsidRPr="00346B28">
        <w:t>n</w:t>
      </w:r>
      <w:r w:rsidRPr="00346B28">
        <w:rPr>
          <w:spacing w:val="-1"/>
        </w:rPr>
        <w:t>d</w:t>
      </w:r>
      <w:r w:rsidRPr="00346B28">
        <w:t>e</w:t>
      </w:r>
      <w:r w:rsidRPr="00346B28">
        <w:rPr>
          <w:spacing w:val="-1"/>
        </w:rPr>
        <w:t>p</w:t>
      </w:r>
      <w:r w:rsidRPr="00346B28">
        <w:t>e</w:t>
      </w:r>
      <w:r w:rsidRPr="00346B28">
        <w:rPr>
          <w:spacing w:val="-1"/>
        </w:rPr>
        <w:t>n</w:t>
      </w:r>
      <w:r w:rsidRPr="00346B28">
        <w:t>d</w:t>
      </w:r>
      <w:r w:rsidRPr="00346B28">
        <w:rPr>
          <w:spacing w:val="-1"/>
        </w:rPr>
        <w:t>e</w:t>
      </w:r>
      <w:r w:rsidRPr="00346B28">
        <w:t>nce</w:t>
      </w:r>
      <w:r w:rsidRPr="00346B28">
        <w:rPr>
          <w:spacing w:val="-2"/>
        </w:rPr>
        <w:t xml:space="preserve"> </w:t>
      </w:r>
      <w:r w:rsidRPr="00346B28">
        <w:t>a</w:t>
      </w:r>
      <w:r w:rsidRPr="00346B28">
        <w:rPr>
          <w:spacing w:val="-1"/>
        </w:rPr>
        <w:t>n</w:t>
      </w:r>
      <w:r w:rsidRPr="00346B28">
        <w:t>d o</w:t>
      </w:r>
      <w:r w:rsidRPr="00346B28">
        <w:rPr>
          <w:spacing w:val="-2"/>
        </w:rPr>
        <w:t>b</w:t>
      </w:r>
      <w:r w:rsidRPr="00346B28">
        <w:rPr>
          <w:spacing w:val="1"/>
        </w:rPr>
        <w:t>j</w:t>
      </w:r>
      <w:r w:rsidRPr="00346B28">
        <w:t>ecti</w:t>
      </w:r>
      <w:r w:rsidRPr="00346B28">
        <w:rPr>
          <w:spacing w:val="-3"/>
        </w:rPr>
        <w:t>v</w:t>
      </w:r>
      <w:r w:rsidRPr="00346B28">
        <w:rPr>
          <w:spacing w:val="-1"/>
        </w:rPr>
        <w:t>i</w:t>
      </w:r>
      <w:r w:rsidRPr="00346B28">
        <w:rPr>
          <w:spacing w:val="1"/>
        </w:rPr>
        <w:t>t</w:t>
      </w:r>
      <w:r w:rsidRPr="00346B28">
        <w:t>y</w:t>
      </w:r>
      <w:r w:rsidRPr="00346B28">
        <w:rPr>
          <w:spacing w:val="-1"/>
        </w:rPr>
        <w:t xml:space="preserve"> </w:t>
      </w:r>
      <w:r w:rsidRPr="00346B28">
        <w:t>a</w:t>
      </w:r>
      <w:r w:rsidRPr="00346B28">
        <w:rPr>
          <w:spacing w:val="-1"/>
        </w:rPr>
        <w:t>n</w:t>
      </w:r>
      <w:r w:rsidRPr="00346B28">
        <w:t xml:space="preserve">d </w:t>
      </w:r>
      <w:r w:rsidRPr="00346B28">
        <w:rPr>
          <w:spacing w:val="-3"/>
        </w:rPr>
        <w:t>w</w:t>
      </w:r>
      <w:r w:rsidRPr="00346B28">
        <w:rPr>
          <w:spacing w:val="-1"/>
        </w:rPr>
        <w:t>i</w:t>
      </w:r>
      <w:r w:rsidRPr="00346B28">
        <w:rPr>
          <w:spacing w:val="1"/>
        </w:rPr>
        <w:t>t</w:t>
      </w:r>
      <w:r w:rsidRPr="00346B28">
        <w:t xml:space="preserve">h </w:t>
      </w:r>
      <w:r w:rsidRPr="00346B28">
        <w:rPr>
          <w:spacing w:val="2"/>
        </w:rPr>
        <w:t>I</w:t>
      </w:r>
      <w:r w:rsidRPr="00346B28">
        <w:t>nt</w:t>
      </w:r>
      <w:r w:rsidRPr="00346B28">
        <w:rPr>
          <w:spacing w:val="-2"/>
        </w:rPr>
        <w:t>e</w:t>
      </w:r>
      <w:r w:rsidRPr="00346B28">
        <w:rPr>
          <w:spacing w:val="1"/>
        </w:rPr>
        <w:t>r</w:t>
      </w:r>
      <w:r w:rsidRPr="00346B28">
        <w:t>n</w:t>
      </w:r>
      <w:r w:rsidRPr="00346B28">
        <w:rPr>
          <w:spacing w:val="-1"/>
        </w:rPr>
        <w:t>a</w:t>
      </w:r>
      <w:r w:rsidRPr="00346B28">
        <w:rPr>
          <w:spacing w:val="1"/>
        </w:rPr>
        <w:t>t</w:t>
      </w:r>
      <w:r w:rsidRPr="00346B28">
        <w:rPr>
          <w:spacing w:val="-1"/>
        </w:rPr>
        <w:t>i</w:t>
      </w:r>
      <w:r w:rsidRPr="00346B28">
        <w:t>o</w:t>
      </w:r>
      <w:r w:rsidRPr="00346B28">
        <w:rPr>
          <w:spacing w:val="-1"/>
        </w:rPr>
        <w:t>n</w:t>
      </w:r>
      <w:r w:rsidRPr="00346B28">
        <w:t xml:space="preserve">al </w:t>
      </w:r>
      <w:r w:rsidRPr="00346B28">
        <w:rPr>
          <w:spacing w:val="-1"/>
        </w:rPr>
        <w:t>A</w:t>
      </w:r>
      <w:r w:rsidRPr="00346B28">
        <w:t>u</w:t>
      </w:r>
      <w:r w:rsidRPr="00346B28">
        <w:rPr>
          <w:spacing w:val="-1"/>
        </w:rPr>
        <w:t>di</w:t>
      </w:r>
      <w:r w:rsidRPr="00346B28">
        <w:rPr>
          <w:spacing w:val="1"/>
        </w:rPr>
        <w:t>t</w:t>
      </w:r>
      <w:r w:rsidRPr="00346B28">
        <w:rPr>
          <w:spacing w:val="-1"/>
        </w:rPr>
        <w:t>i</w:t>
      </w:r>
      <w:r w:rsidRPr="00346B28">
        <w:rPr>
          <w:spacing w:val="-3"/>
        </w:rPr>
        <w:t>n</w:t>
      </w:r>
      <w:r w:rsidRPr="00346B28">
        <w:t>g</w:t>
      </w:r>
      <w:r w:rsidRPr="00346B28">
        <w:rPr>
          <w:spacing w:val="3"/>
        </w:rPr>
        <w:t xml:space="preserve"> </w:t>
      </w:r>
      <w:r w:rsidRPr="00346B28">
        <w:rPr>
          <w:spacing w:val="-3"/>
        </w:rPr>
        <w:t>S</w:t>
      </w:r>
      <w:r w:rsidRPr="00346B28">
        <w:rPr>
          <w:spacing w:val="-1"/>
        </w:rPr>
        <w:t>t</w:t>
      </w:r>
      <w:r w:rsidRPr="00346B28">
        <w:t>a</w:t>
      </w:r>
      <w:r w:rsidRPr="00346B28">
        <w:rPr>
          <w:spacing w:val="-1"/>
        </w:rPr>
        <w:t>n</w:t>
      </w:r>
      <w:r w:rsidRPr="00346B28">
        <w:t>d</w:t>
      </w:r>
      <w:r w:rsidRPr="00346B28">
        <w:rPr>
          <w:spacing w:val="-1"/>
        </w:rPr>
        <w:t>a</w:t>
      </w:r>
      <w:r w:rsidRPr="00346B28">
        <w:rPr>
          <w:spacing w:val="1"/>
        </w:rPr>
        <w:t>r</w:t>
      </w:r>
      <w:r w:rsidRPr="00346B28">
        <w:t>d</w:t>
      </w:r>
      <w:r w:rsidRPr="00346B28">
        <w:rPr>
          <w:spacing w:val="-2"/>
        </w:rPr>
        <w:t xml:space="preserve"> </w:t>
      </w:r>
      <w:r w:rsidRPr="00346B28">
        <w:rPr>
          <w:spacing w:val="1"/>
        </w:rPr>
        <w:t>(</w:t>
      </w:r>
      <w:r w:rsidRPr="00346B28">
        <w:rPr>
          <w:spacing w:val="-1"/>
        </w:rPr>
        <w:t>U</w:t>
      </w:r>
      <w:r w:rsidRPr="00346B28">
        <w:t xml:space="preserve">K &amp; </w:t>
      </w:r>
      <w:r w:rsidRPr="00346B28">
        <w:rPr>
          <w:spacing w:val="1"/>
        </w:rPr>
        <w:t>Ir</w:t>
      </w:r>
      <w:r w:rsidRPr="00346B28">
        <w:t>e</w:t>
      </w:r>
      <w:r w:rsidRPr="00346B28">
        <w:rPr>
          <w:spacing w:val="-1"/>
        </w:rPr>
        <w:t>l</w:t>
      </w:r>
      <w:r w:rsidRPr="00346B28">
        <w:t>a</w:t>
      </w:r>
      <w:r w:rsidRPr="00346B28">
        <w:rPr>
          <w:spacing w:val="-1"/>
        </w:rPr>
        <w:t>n</w:t>
      </w:r>
      <w:r w:rsidRPr="00346B28">
        <w:t>d)</w:t>
      </w:r>
      <w:r w:rsidRPr="00346B28">
        <w:rPr>
          <w:spacing w:val="-1"/>
        </w:rPr>
        <w:t xml:space="preserve"> </w:t>
      </w:r>
      <w:r w:rsidRPr="00346B28">
        <w:t>2</w:t>
      </w:r>
      <w:r w:rsidRPr="00346B28">
        <w:rPr>
          <w:spacing w:val="-1"/>
        </w:rPr>
        <w:t>6</w:t>
      </w:r>
      <w:r w:rsidRPr="00346B28">
        <w:t>0:</w:t>
      </w:r>
      <w:r w:rsidRPr="00346B28">
        <w:rPr>
          <w:spacing w:val="-1"/>
        </w:rPr>
        <w:t xml:space="preserve"> </w:t>
      </w:r>
      <w:r w:rsidRPr="00346B28">
        <w:rPr>
          <w:spacing w:val="-2"/>
        </w:rPr>
        <w:t>“</w:t>
      </w:r>
      <w:r w:rsidRPr="00346B28">
        <w:rPr>
          <w:spacing w:val="2"/>
        </w:rPr>
        <w:t>T</w:t>
      </w:r>
      <w:r w:rsidRPr="00346B28">
        <w:t>he</w:t>
      </w:r>
      <w:r w:rsidRPr="00346B28">
        <w:rPr>
          <w:spacing w:val="-2"/>
        </w:rPr>
        <w:t xml:space="preserve"> </w:t>
      </w:r>
      <w:r w:rsidRPr="00346B28">
        <w:t>a</w:t>
      </w:r>
      <w:r w:rsidRPr="00346B28">
        <w:rPr>
          <w:spacing w:val="-1"/>
        </w:rPr>
        <w:t>u</w:t>
      </w:r>
      <w:r w:rsidRPr="00346B28">
        <w:t>d</w:t>
      </w:r>
      <w:r w:rsidRPr="00346B28">
        <w:rPr>
          <w:spacing w:val="-1"/>
        </w:rPr>
        <w:t>i</w:t>
      </w:r>
      <w:r w:rsidRPr="00346B28">
        <w:rPr>
          <w:spacing w:val="1"/>
        </w:rPr>
        <w:t>t</w:t>
      </w:r>
      <w:r w:rsidRPr="00346B28">
        <w:rPr>
          <w:spacing w:val="-3"/>
        </w:rPr>
        <w:t>o</w:t>
      </w:r>
      <w:r w:rsidRPr="00346B28">
        <w:rPr>
          <w:spacing w:val="1"/>
        </w:rPr>
        <w:t>r'</w:t>
      </w:r>
      <w:r w:rsidRPr="00346B28">
        <w:t>s</w:t>
      </w:r>
      <w:r w:rsidRPr="00346B28">
        <w:rPr>
          <w:spacing w:val="-1"/>
        </w:rPr>
        <w:t xml:space="preserve"> </w:t>
      </w:r>
      <w:r w:rsidRPr="00346B28">
        <w:t>co</w:t>
      </w:r>
      <w:r w:rsidRPr="00346B28">
        <w:rPr>
          <w:spacing w:val="-2"/>
        </w:rPr>
        <w:t>m</w:t>
      </w:r>
      <w:r w:rsidRPr="00346B28">
        <w:rPr>
          <w:spacing w:val="1"/>
        </w:rPr>
        <w:t>m</w:t>
      </w:r>
      <w:r w:rsidRPr="00346B28">
        <w:t>u</w:t>
      </w:r>
      <w:r w:rsidRPr="00346B28">
        <w:rPr>
          <w:spacing w:val="-1"/>
        </w:rPr>
        <w:t>ni</w:t>
      </w:r>
      <w:r w:rsidRPr="00346B28">
        <w:t>cati</w:t>
      </w:r>
      <w:r w:rsidRPr="00346B28">
        <w:rPr>
          <w:spacing w:val="-1"/>
        </w:rPr>
        <w:t>o</w:t>
      </w:r>
      <w:r w:rsidRPr="00346B28">
        <w:t>n</w:t>
      </w:r>
      <w:r w:rsidRPr="00346B28">
        <w:rPr>
          <w:spacing w:val="-2"/>
        </w:rPr>
        <w:t xml:space="preserve"> </w:t>
      </w:r>
      <w:r w:rsidRPr="00346B28">
        <w:rPr>
          <w:spacing w:val="-3"/>
        </w:rPr>
        <w:t>w</w:t>
      </w:r>
      <w:r w:rsidRPr="00346B28">
        <w:rPr>
          <w:spacing w:val="-1"/>
        </w:rPr>
        <w:t>i</w:t>
      </w:r>
      <w:r w:rsidRPr="00346B28">
        <w:rPr>
          <w:spacing w:val="1"/>
        </w:rPr>
        <w:t>t</w:t>
      </w:r>
      <w:r w:rsidRPr="00346B28">
        <w:t xml:space="preserve">h </w:t>
      </w:r>
      <w:r w:rsidRPr="00346B28">
        <w:rPr>
          <w:spacing w:val="-1"/>
        </w:rPr>
        <w:t>t</w:t>
      </w:r>
      <w:r w:rsidRPr="00346B28">
        <w:t>h</w:t>
      </w:r>
      <w:r w:rsidRPr="00346B28">
        <w:rPr>
          <w:spacing w:val="-1"/>
        </w:rPr>
        <w:t>o</w:t>
      </w:r>
      <w:r w:rsidRPr="00346B28">
        <w:t>se cha</w:t>
      </w:r>
      <w:r w:rsidRPr="00346B28">
        <w:rPr>
          <w:spacing w:val="-2"/>
        </w:rPr>
        <w:t>r</w:t>
      </w:r>
      <w:r w:rsidRPr="00346B28">
        <w:rPr>
          <w:spacing w:val="2"/>
        </w:rPr>
        <w:t>g</w:t>
      </w:r>
      <w:r w:rsidRPr="00346B28">
        <w:t>ed</w:t>
      </w:r>
      <w:r w:rsidRPr="00346B28">
        <w:rPr>
          <w:spacing w:val="-2"/>
        </w:rPr>
        <w:t xml:space="preserve"> </w:t>
      </w:r>
      <w:r w:rsidRPr="00346B28">
        <w:rPr>
          <w:spacing w:val="-3"/>
        </w:rPr>
        <w:t>w</w:t>
      </w:r>
      <w:r w:rsidRPr="00346B28">
        <w:rPr>
          <w:spacing w:val="-1"/>
        </w:rPr>
        <w:t>i</w:t>
      </w:r>
      <w:r w:rsidRPr="00346B28">
        <w:rPr>
          <w:spacing w:val="1"/>
        </w:rPr>
        <w:t>t</w:t>
      </w:r>
      <w:r w:rsidRPr="00346B28">
        <w:t>h</w:t>
      </w:r>
      <w:r w:rsidRPr="00346B28">
        <w:rPr>
          <w:spacing w:val="-2"/>
        </w:rPr>
        <w:t xml:space="preserve"> </w:t>
      </w:r>
      <w:r w:rsidRPr="00346B28">
        <w:rPr>
          <w:spacing w:val="2"/>
        </w:rPr>
        <w:t>g</w:t>
      </w:r>
      <w:r w:rsidRPr="00346B28">
        <w:t>o</w:t>
      </w:r>
      <w:r w:rsidRPr="00346B28">
        <w:rPr>
          <w:spacing w:val="-3"/>
        </w:rPr>
        <w:t>v</w:t>
      </w:r>
      <w:r w:rsidRPr="00346B28">
        <w:t>ernanc</w:t>
      </w:r>
      <w:r w:rsidRPr="00346B28">
        <w:rPr>
          <w:spacing w:val="-1"/>
        </w:rPr>
        <w:t>e</w:t>
      </w:r>
      <w:r w:rsidRPr="00346B28">
        <w:rPr>
          <w:spacing w:val="1"/>
        </w:rPr>
        <w:t>”</w:t>
      </w:r>
      <w:r w:rsidRPr="00346B28">
        <w:t xml:space="preserve">. </w:t>
      </w:r>
      <w:r w:rsidRPr="00346B28">
        <w:rPr>
          <w:spacing w:val="1"/>
        </w:rPr>
        <w:t>The</w:t>
      </w:r>
      <w:r w:rsidRPr="00346B28">
        <w:rPr>
          <w:spacing w:val="-1"/>
        </w:rPr>
        <w:t xml:space="preserve"> </w:t>
      </w:r>
      <w:r w:rsidRPr="00346B28">
        <w:rPr>
          <w:spacing w:val="1"/>
        </w:rPr>
        <w:t>I</w:t>
      </w:r>
      <w:r w:rsidRPr="00346B28">
        <w:rPr>
          <w:spacing w:val="-3"/>
        </w:rPr>
        <w:t>n</w:t>
      </w:r>
      <w:r w:rsidRPr="00346B28">
        <w:rPr>
          <w:spacing w:val="1"/>
        </w:rPr>
        <w:t>t</w:t>
      </w:r>
      <w:r w:rsidRPr="00346B28">
        <w:rPr>
          <w:spacing w:val="-3"/>
        </w:rPr>
        <w:t>e</w:t>
      </w:r>
      <w:r w:rsidRPr="00346B28">
        <w:rPr>
          <w:spacing w:val="2"/>
        </w:rPr>
        <w:t>g</w:t>
      </w:r>
      <w:r w:rsidRPr="00346B28">
        <w:rPr>
          <w:spacing w:val="1"/>
        </w:rPr>
        <w:t>r</w:t>
      </w:r>
      <w:r w:rsidRPr="00346B28">
        <w:rPr>
          <w:spacing w:val="-3"/>
        </w:rPr>
        <w:t>a</w:t>
      </w:r>
      <w:r w:rsidRPr="00346B28">
        <w:rPr>
          <w:spacing w:val="1"/>
        </w:rPr>
        <w:t>t</w:t>
      </w:r>
      <w:r w:rsidRPr="00346B28">
        <w:t xml:space="preserve">ed </w:t>
      </w:r>
      <w:r w:rsidRPr="00346B28">
        <w:rPr>
          <w:spacing w:val="-1"/>
        </w:rPr>
        <w:t>A</w:t>
      </w:r>
      <w:r w:rsidRPr="00346B28">
        <w:t>u</w:t>
      </w:r>
      <w:r w:rsidRPr="00346B28">
        <w:rPr>
          <w:spacing w:val="-1"/>
        </w:rPr>
        <w:t>di</w:t>
      </w:r>
      <w:r w:rsidRPr="00346B28">
        <w:t>t a</w:t>
      </w:r>
      <w:r w:rsidRPr="00346B28">
        <w:rPr>
          <w:spacing w:val="-1"/>
        </w:rPr>
        <w:t>n</w:t>
      </w:r>
      <w:r w:rsidRPr="00346B28">
        <w:t>d</w:t>
      </w:r>
      <w:r w:rsidRPr="00346B28">
        <w:rPr>
          <w:spacing w:val="-2"/>
        </w:rPr>
        <w:t xml:space="preserve"> </w:t>
      </w:r>
      <w:r w:rsidRPr="00346B28">
        <w:rPr>
          <w:spacing w:val="1"/>
        </w:rPr>
        <w:t>G</w:t>
      </w:r>
      <w:r w:rsidRPr="00346B28">
        <w:t>o</w:t>
      </w:r>
      <w:r w:rsidRPr="00346B28">
        <w:rPr>
          <w:spacing w:val="-3"/>
        </w:rPr>
        <w:t>v</w:t>
      </w:r>
      <w:r w:rsidRPr="00346B28">
        <w:t>ernance</w:t>
      </w:r>
      <w:r w:rsidRPr="00346B28">
        <w:rPr>
          <w:spacing w:val="-2"/>
        </w:rPr>
        <w:t xml:space="preserve"> </w:t>
      </w:r>
      <w:r w:rsidRPr="00346B28">
        <w:rPr>
          <w:spacing w:val="-1"/>
        </w:rPr>
        <w:t>C</w:t>
      </w:r>
      <w:r w:rsidRPr="00346B28">
        <w:t>o</w:t>
      </w:r>
      <w:r w:rsidRPr="00346B28">
        <w:rPr>
          <w:spacing w:val="-2"/>
        </w:rPr>
        <w:t>m</w:t>
      </w:r>
      <w:r w:rsidRPr="00346B28">
        <w:rPr>
          <w:spacing w:val="1"/>
        </w:rPr>
        <w:t>m</w:t>
      </w:r>
      <w:r w:rsidRPr="00346B28">
        <w:rPr>
          <w:spacing w:val="-1"/>
        </w:rPr>
        <w:t>i</w:t>
      </w:r>
      <w:r w:rsidRPr="00346B28">
        <w:rPr>
          <w:spacing w:val="1"/>
        </w:rPr>
        <w:t>tt</w:t>
      </w:r>
      <w:r w:rsidRPr="00346B28">
        <w:t>ee</w:t>
      </w:r>
      <w:r w:rsidRPr="00346B28">
        <w:rPr>
          <w:spacing w:val="-4"/>
        </w:rPr>
        <w:t xml:space="preserve"> </w:t>
      </w:r>
      <w:r w:rsidRPr="00346B28">
        <w:rPr>
          <w:spacing w:val="1"/>
        </w:rPr>
        <w:t>r</w:t>
      </w:r>
      <w:r w:rsidRPr="00346B28">
        <w:t>ec</w:t>
      </w:r>
      <w:r w:rsidRPr="00346B28">
        <w:rPr>
          <w:spacing w:val="-1"/>
        </w:rPr>
        <w:t>ei</w:t>
      </w:r>
      <w:r w:rsidRPr="00346B28">
        <w:rPr>
          <w:spacing w:val="-2"/>
        </w:rPr>
        <w:t>v</w:t>
      </w:r>
      <w:r w:rsidRPr="00346B28">
        <w:t>es our</w:t>
      </w:r>
      <w:r w:rsidRPr="00346B28">
        <w:rPr>
          <w:spacing w:val="2"/>
        </w:rPr>
        <w:t xml:space="preserve"> </w:t>
      </w:r>
      <w:r w:rsidRPr="00346B28">
        <w:t>e</w:t>
      </w:r>
      <w:r w:rsidRPr="00346B28">
        <w:rPr>
          <w:spacing w:val="-3"/>
        </w:rPr>
        <w:t>x</w:t>
      </w:r>
      <w:r w:rsidRPr="00346B28">
        <w:rPr>
          <w:spacing w:val="1"/>
        </w:rPr>
        <w:t>t</w:t>
      </w:r>
      <w:r w:rsidRPr="00346B28">
        <w:t>ernal</w:t>
      </w:r>
      <w:r w:rsidRPr="00346B28">
        <w:rPr>
          <w:spacing w:val="-2"/>
        </w:rPr>
        <w:t xml:space="preserve"> </w:t>
      </w:r>
      <w:r w:rsidRPr="00346B28">
        <w:t>a</w:t>
      </w:r>
      <w:r w:rsidRPr="00346B28">
        <w:rPr>
          <w:spacing w:val="-3"/>
        </w:rPr>
        <w:t>u</w:t>
      </w:r>
      <w:r w:rsidRPr="00346B28">
        <w:t>d</w:t>
      </w:r>
      <w:r w:rsidRPr="00346B28">
        <w:rPr>
          <w:spacing w:val="-1"/>
        </w:rPr>
        <w:t>i</w:t>
      </w:r>
      <w:r w:rsidRPr="00346B28">
        <w:rPr>
          <w:spacing w:val="1"/>
        </w:rPr>
        <w:t>t</w:t>
      </w:r>
      <w:r w:rsidRPr="00346B28">
        <w:t>or</w:t>
      </w:r>
      <w:r w:rsidRPr="00346B28">
        <w:rPr>
          <w:spacing w:val="1"/>
        </w:rPr>
        <w:t>'</w:t>
      </w:r>
      <w:r w:rsidRPr="00346B28">
        <w:t>s</w:t>
      </w:r>
      <w:r w:rsidRPr="00346B28">
        <w:rPr>
          <w:spacing w:val="-1"/>
        </w:rPr>
        <w:t xml:space="preserve"> A</w:t>
      </w:r>
      <w:r w:rsidRPr="00346B28">
        <w:t>n</w:t>
      </w:r>
      <w:r w:rsidRPr="00346B28">
        <w:rPr>
          <w:spacing w:val="-1"/>
        </w:rPr>
        <w:t>n</w:t>
      </w:r>
      <w:r w:rsidRPr="00346B28">
        <w:t>u</w:t>
      </w:r>
      <w:r w:rsidRPr="00346B28">
        <w:rPr>
          <w:spacing w:val="-1"/>
        </w:rPr>
        <w:t>a</w:t>
      </w:r>
      <w:r w:rsidRPr="00346B28">
        <w:t xml:space="preserve">l </w:t>
      </w:r>
      <w:r w:rsidRPr="00346B28">
        <w:rPr>
          <w:spacing w:val="-1"/>
        </w:rPr>
        <w:t>A</w:t>
      </w:r>
      <w:r w:rsidRPr="00346B28">
        <w:t>u</w:t>
      </w:r>
      <w:r w:rsidRPr="00346B28">
        <w:rPr>
          <w:spacing w:val="-1"/>
        </w:rPr>
        <w:t>di</w:t>
      </w:r>
      <w:r w:rsidRPr="00346B28">
        <w:t>t</w:t>
      </w:r>
      <w:r w:rsidRPr="00346B28">
        <w:rPr>
          <w:spacing w:val="2"/>
        </w:rPr>
        <w:t xml:space="preserve"> </w:t>
      </w:r>
      <w:r w:rsidRPr="00346B28">
        <w:t>L</w:t>
      </w:r>
      <w:r w:rsidRPr="00346B28">
        <w:rPr>
          <w:spacing w:val="-1"/>
        </w:rPr>
        <w:t>et</w:t>
      </w:r>
      <w:r w:rsidRPr="00346B28">
        <w:rPr>
          <w:spacing w:val="1"/>
        </w:rPr>
        <w:t>t</w:t>
      </w:r>
      <w:r w:rsidRPr="00346B28">
        <w:t>er</w:t>
      </w:r>
      <w:r w:rsidRPr="00346B28">
        <w:rPr>
          <w:spacing w:val="-1"/>
        </w:rPr>
        <w:t xml:space="preserve"> </w:t>
      </w:r>
      <w:r w:rsidRPr="00346B28">
        <w:t xml:space="preserve">and </w:t>
      </w:r>
      <w:r w:rsidRPr="00346B28">
        <w:rPr>
          <w:spacing w:val="-3"/>
        </w:rPr>
        <w:t>o</w:t>
      </w:r>
      <w:r w:rsidRPr="00346B28">
        <w:rPr>
          <w:spacing w:val="1"/>
        </w:rPr>
        <w:t>t</w:t>
      </w:r>
      <w:r w:rsidRPr="00346B28">
        <w:t>h</w:t>
      </w:r>
      <w:r w:rsidRPr="00346B28">
        <w:rPr>
          <w:spacing w:val="-1"/>
        </w:rPr>
        <w:t>e</w:t>
      </w:r>
      <w:r w:rsidRPr="00346B28">
        <w:t>r e</w:t>
      </w:r>
      <w:r w:rsidRPr="00346B28">
        <w:rPr>
          <w:spacing w:val="-3"/>
        </w:rPr>
        <w:t>x</w:t>
      </w:r>
      <w:r w:rsidRPr="00346B28">
        <w:rPr>
          <w:spacing w:val="1"/>
        </w:rPr>
        <w:t>t</w:t>
      </w:r>
      <w:r w:rsidRPr="00346B28">
        <w:t>ernal a</w:t>
      </w:r>
      <w:r w:rsidRPr="00346B28">
        <w:rPr>
          <w:spacing w:val="-1"/>
        </w:rPr>
        <w:t>u</w:t>
      </w:r>
      <w:r w:rsidRPr="00346B28">
        <w:t>d</w:t>
      </w:r>
      <w:r w:rsidRPr="00346B28">
        <w:rPr>
          <w:spacing w:val="-1"/>
        </w:rPr>
        <w:t>i</w:t>
      </w:r>
      <w:r w:rsidRPr="00346B28">
        <w:t xml:space="preserve">t </w:t>
      </w:r>
      <w:r w:rsidRPr="00346B28">
        <w:rPr>
          <w:spacing w:val="1"/>
        </w:rPr>
        <w:t>r</w:t>
      </w:r>
      <w:r w:rsidRPr="00346B28">
        <w:t>e</w:t>
      </w:r>
      <w:r w:rsidRPr="00346B28">
        <w:rPr>
          <w:spacing w:val="-1"/>
        </w:rPr>
        <w:t>p</w:t>
      </w:r>
      <w:r w:rsidRPr="00346B28">
        <w:rPr>
          <w:spacing w:val="-3"/>
        </w:rPr>
        <w:t>o</w:t>
      </w:r>
      <w:r w:rsidRPr="00346B28">
        <w:rPr>
          <w:spacing w:val="1"/>
        </w:rPr>
        <w:t>r</w:t>
      </w:r>
      <w:r w:rsidRPr="00346B28">
        <w:rPr>
          <w:spacing w:val="-1"/>
        </w:rPr>
        <w:t>t</w:t>
      </w:r>
      <w:r w:rsidRPr="00346B28">
        <w:t>s.</w:t>
      </w:r>
    </w:p>
    <w:p w14:paraId="2E57E3E4" w14:textId="39EEFA44" w:rsidR="0093599F" w:rsidRPr="005B04A8" w:rsidRDefault="0093599F" w:rsidP="00B66DE2">
      <w:pPr>
        <w:pStyle w:val="Heading3"/>
        <w:rPr>
          <w:color w:val="FF0000"/>
        </w:rPr>
      </w:pPr>
      <w:bookmarkStart w:id="145" w:name="_Toc103695061"/>
      <w:r w:rsidRPr="00DD0A7F">
        <w:t>Better payments practice code (subject to audit)</w:t>
      </w:r>
      <w:bookmarkEnd w:id="145"/>
      <w:r w:rsidRPr="00DD0A7F">
        <w:t xml:space="preserve"> </w:t>
      </w:r>
    </w:p>
    <w:p w14:paraId="72B68E47" w14:textId="77777777" w:rsidR="005B04A8" w:rsidRPr="005B04A8" w:rsidRDefault="005B04A8" w:rsidP="005B04A8">
      <w:pPr>
        <w:rPr>
          <w:rFonts w:eastAsia="Calibri" w:cs="Arial"/>
        </w:rPr>
      </w:pPr>
      <w:r w:rsidRPr="005B04A8">
        <w:rPr>
          <w:rFonts w:eastAsia="Calibri" w:cs="Arial"/>
        </w:rPr>
        <w:t xml:space="preserve">The CCG has signed up to the Better Payments Practice Code and aims to pay all valid invoices by the due date or within 30 days of receipt of a valid invoice, whichever is later. During 2021-22 </w:t>
      </w:r>
      <w:r w:rsidRPr="005B04A8">
        <w:rPr>
          <w:rFonts w:eastAsia="Calibri" w:cs="Arial"/>
        </w:rPr>
        <w:lastRenderedPageBreak/>
        <w:t>NHS Hull CCG paid 95.82% of non NHS trade invoices within target and 96.64% of NHS trade invoices within target. F</w:t>
      </w:r>
      <w:r w:rsidRPr="005B04A8">
        <w:rPr>
          <w:rFonts w:eastAsia="Calibri" w:cs="Arial"/>
          <w:spacing w:val="-1"/>
        </w:rPr>
        <w:t>u</w:t>
      </w:r>
      <w:r w:rsidRPr="005B04A8">
        <w:rPr>
          <w:rFonts w:eastAsia="Calibri" w:cs="Arial"/>
          <w:spacing w:val="1"/>
        </w:rPr>
        <w:t>rt</w:t>
      </w:r>
      <w:r w:rsidRPr="005B04A8">
        <w:rPr>
          <w:rFonts w:eastAsia="Calibri" w:cs="Arial"/>
        </w:rPr>
        <w:t>h</w:t>
      </w:r>
      <w:r w:rsidRPr="005B04A8">
        <w:rPr>
          <w:rFonts w:eastAsia="Calibri" w:cs="Arial"/>
          <w:spacing w:val="-3"/>
        </w:rPr>
        <w:t>e</w:t>
      </w:r>
      <w:r w:rsidRPr="005B04A8">
        <w:rPr>
          <w:rFonts w:eastAsia="Calibri" w:cs="Arial"/>
        </w:rPr>
        <w:t>r</w:t>
      </w:r>
      <w:r w:rsidRPr="005B04A8">
        <w:rPr>
          <w:rFonts w:eastAsia="Calibri" w:cs="Arial"/>
          <w:spacing w:val="2"/>
        </w:rPr>
        <w:t xml:space="preserve"> </w:t>
      </w:r>
      <w:r w:rsidRPr="005B04A8">
        <w:rPr>
          <w:rFonts w:eastAsia="Calibri" w:cs="Arial"/>
        </w:rPr>
        <w:t>d</w:t>
      </w:r>
      <w:r w:rsidRPr="005B04A8">
        <w:rPr>
          <w:rFonts w:eastAsia="Calibri" w:cs="Arial"/>
          <w:spacing w:val="-3"/>
        </w:rPr>
        <w:t>e</w:t>
      </w:r>
      <w:r w:rsidRPr="005B04A8">
        <w:rPr>
          <w:rFonts w:eastAsia="Calibri" w:cs="Arial"/>
          <w:spacing w:val="1"/>
        </w:rPr>
        <w:t>t</w:t>
      </w:r>
      <w:r w:rsidRPr="005B04A8">
        <w:rPr>
          <w:rFonts w:eastAsia="Calibri" w:cs="Arial"/>
        </w:rPr>
        <w:t>a</w:t>
      </w:r>
      <w:r w:rsidRPr="005B04A8">
        <w:rPr>
          <w:rFonts w:eastAsia="Calibri" w:cs="Arial"/>
          <w:spacing w:val="-1"/>
        </w:rPr>
        <w:t>il</w:t>
      </w:r>
      <w:r w:rsidRPr="005B04A8">
        <w:rPr>
          <w:rFonts w:eastAsia="Calibri" w:cs="Arial"/>
        </w:rPr>
        <w:t>s</w:t>
      </w:r>
      <w:r w:rsidRPr="005B04A8">
        <w:rPr>
          <w:rFonts w:eastAsia="Calibri" w:cs="Arial"/>
          <w:spacing w:val="1"/>
        </w:rPr>
        <w:t xml:space="preserve"> </w:t>
      </w:r>
      <w:r w:rsidRPr="005B04A8">
        <w:rPr>
          <w:rFonts w:eastAsia="Calibri" w:cs="Arial"/>
        </w:rPr>
        <w:t>are</w:t>
      </w:r>
      <w:r w:rsidRPr="005B04A8">
        <w:rPr>
          <w:rFonts w:eastAsia="Calibri" w:cs="Arial"/>
          <w:spacing w:val="-1"/>
        </w:rPr>
        <w:t xml:space="preserve"> </w:t>
      </w:r>
      <w:r w:rsidRPr="005B04A8">
        <w:rPr>
          <w:rFonts w:eastAsia="Calibri" w:cs="Arial"/>
        </w:rPr>
        <w:t xml:space="preserve">on </w:t>
      </w:r>
      <w:r w:rsidRPr="004456EC">
        <w:rPr>
          <w:rFonts w:eastAsia="Calibri" w:cs="Arial"/>
        </w:rPr>
        <w:t>p</w:t>
      </w:r>
      <w:r w:rsidRPr="004456EC">
        <w:rPr>
          <w:rFonts w:eastAsia="Calibri" w:cs="Arial"/>
          <w:spacing w:val="-3"/>
        </w:rPr>
        <w:t>a</w:t>
      </w:r>
      <w:r w:rsidRPr="004456EC">
        <w:rPr>
          <w:rFonts w:eastAsia="Calibri" w:cs="Arial"/>
          <w:spacing w:val="2"/>
        </w:rPr>
        <w:t>g</w:t>
      </w:r>
      <w:r w:rsidRPr="004456EC">
        <w:rPr>
          <w:rFonts w:eastAsia="Calibri" w:cs="Arial"/>
        </w:rPr>
        <w:t>e</w:t>
      </w:r>
      <w:r w:rsidRPr="004456EC">
        <w:rPr>
          <w:rFonts w:eastAsia="Calibri" w:cs="Arial"/>
          <w:spacing w:val="-2"/>
        </w:rPr>
        <w:t xml:space="preserve"> </w:t>
      </w:r>
      <w:r w:rsidRPr="004456EC">
        <w:rPr>
          <w:rFonts w:eastAsia="Calibri" w:cs="Arial"/>
        </w:rPr>
        <w:t xml:space="preserve">22 </w:t>
      </w:r>
      <w:r w:rsidRPr="004456EC">
        <w:rPr>
          <w:rFonts w:eastAsia="Calibri" w:cs="Arial"/>
          <w:spacing w:val="-3"/>
        </w:rPr>
        <w:t>o</w:t>
      </w:r>
      <w:r w:rsidRPr="004456EC">
        <w:rPr>
          <w:rFonts w:eastAsia="Calibri" w:cs="Arial"/>
        </w:rPr>
        <w:t>f</w:t>
      </w:r>
      <w:r w:rsidRPr="005B04A8">
        <w:rPr>
          <w:rFonts w:eastAsia="Calibri" w:cs="Arial"/>
        </w:rPr>
        <w:t xml:space="preserve"> </w:t>
      </w:r>
      <w:r w:rsidRPr="005B04A8">
        <w:rPr>
          <w:rFonts w:eastAsia="Calibri" w:cs="Arial"/>
          <w:spacing w:val="1"/>
        </w:rPr>
        <w:t>t</w:t>
      </w:r>
      <w:r w:rsidRPr="005B04A8">
        <w:rPr>
          <w:rFonts w:eastAsia="Calibri" w:cs="Arial"/>
        </w:rPr>
        <w:t xml:space="preserve">he </w:t>
      </w:r>
      <w:r w:rsidRPr="005B04A8">
        <w:rPr>
          <w:rFonts w:eastAsia="Calibri" w:cs="Arial"/>
          <w:spacing w:val="-1"/>
        </w:rPr>
        <w:t>A</w:t>
      </w:r>
      <w:r w:rsidRPr="005B04A8">
        <w:rPr>
          <w:rFonts w:eastAsia="Calibri" w:cs="Arial"/>
        </w:rPr>
        <w:t>n</w:t>
      </w:r>
      <w:r w:rsidRPr="005B04A8">
        <w:rPr>
          <w:rFonts w:eastAsia="Calibri" w:cs="Arial"/>
          <w:spacing w:val="-1"/>
        </w:rPr>
        <w:t>n</w:t>
      </w:r>
      <w:r w:rsidRPr="005B04A8">
        <w:rPr>
          <w:rFonts w:eastAsia="Calibri" w:cs="Arial"/>
        </w:rPr>
        <w:t>u</w:t>
      </w:r>
      <w:r w:rsidRPr="005B04A8">
        <w:rPr>
          <w:rFonts w:eastAsia="Calibri" w:cs="Arial"/>
          <w:spacing w:val="-1"/>
        </w:rPr>
        <w:t>a</w:t>
      </w:r>
      <w:r w:rsidRPr="005B04A8">
        <w:rPr>
          <w:rFonts w:eastAsia="Calibri" w:cs="Arial"/>
        </w:rPr>
        <w:t xml:space="preserve">l </w:t>
      </w:r>
      <w:r w:rsidRPr="005B04A8">
        <w:rPr>
          <w:rFonts w:eastAsia="Calibri" w:cs="Arial"/>
          <w:spacing w:val="-1"/>
        </w:rPr>
        <w:t>A</w:t>
      </w:r>
      <w:r w:rsidRPr="005B04A8">
        <w:rPr>
          <w:rFonts w:eastAsia="Calibri" w:cs="Arial"/>
          <w:spacing w:val="-2"/>
        </w:rPr>
        <w:t>cc</w:t>
      </w:r>
      <w:r w:rsidRPr="005B04A8">
        <w:rPr>
          <w:rFonts w:eastAsia="Calibri" w:cs="Arial"/>
        </w:rPr>
        <w:t>o</w:t>
      </w:r>
      <w:r w:rsidRPr="005B04A8">
        <w:rPr>
          <w:rFonts w:eastAsia="Calibri" w:cs="Arial"/>
          <w:spacing w:val="-1"/>
        </w:rPr>
        <w:t>u</w:t>
      </w:r>
      <w:r w:rsidRPr="005B04A8">
        <w:rPr>
          <w:rFonts w:eastAsia="Calibri" w:cs="Arial"/>
        </w:rPr>
        <w:t>nts.</w:t>
      </w:r>
    </w:p>
    <w:p w14:paraId="7CCE6915" w14:textId="6B954794" w:rsidR="0093599F" w:rsidRPr="00A558A4" w:rsidRDefault="0093599F" w:rsidP="00B66DE2">
      <w:pPr>
        <w:spacing w:line="240" w:lineRule="auto"/>
        <w:rPr>
          <w:rFonts w:cs="Arial"/>
        </w:rPr>
      </w:pPr>
    </w:p>
    <w:p w14:paraId="15A240DE" w14:textId="72FFAF1B" w:rsidR="00313EAD" w:rsidRDefault="005E6A79" w:rsidP="00B71FAD">
      <w:pPr>
        <w:pStyle w:val="Heading2"/>
      </w:pPr>
      <w:r w:rsidRPr="00A558A4">
        <w:br w:type="page"/>
      </w:r>
      <w:bookmarkStart w:id="146" w:name="_Toc512957168"/>
      <w:bookmarkStart w:id="147" w:name="_Toc103695062"/>
      <w:r w:rsidR="00313EAD" w:rsidRPr="00A558A4">
        <w:lastRenderedPageBreak/>
        <w:t>Staff Report</w:t>
      </w:r>
      <w:bookmarkEnd w:id="146"/>
      <w:bookmarkEnd w:id="147"/>
      <w:r w:rsidR="00313EAD" w:rsidRPr="00A558A4">
        <w:t xml:space="preserve"> </w:t>
      </w:r>
    </w:p>
    <w:p w14:paraId="0C9F5068" w14:textId="13FA2CC5" w:rsidR="008E286D" w:rsidRPr="00C05CCC" w:rsidRDefault="008E286D" w:rsidP="00B71FAD">
      <w:pPr>
        <w:pStyle w:val="Heading2"/>
        <w:rPr>
          <w:color w:val="FF0000"/>
        </w:rPr>
      </w:pPr>
      <w:bookmarkStart w:id="148" w:name="_Toc103695063"/>
      <w:bookmarkStart w:id="149" w:name="_Toc481760976"/>
      <w:bookmarkStart w:id="150" w:name="_Toc449018435"/>
      <w:bookmarkStart w:id="151" w:name="_Toc449014857"/>
      <w:bookmarkEnd w:id="143"/>
      <w:bookmarkEnd w:id="144"/>
      <w:r w:rsidRPr="00DD0A7F">
        <w:rPr>
          <w:rStyle w:val="Heading3Char"/>
          <w:b/>
        </w:rPr>
        <w:t xml:space="preserve">Promoting Equality </w:t>
      </w:r>
      <w:r w:rsidR="00CC15FC">
        <w:rPr>
          <w:rStyle w:val="Heading3Char"/>
          <w:b/>
        </w:rPr>
        <w:t>2021-22</w:t>
      </w:r>
      <w:bookmarkEnd w:id="148"/>
      <w:r w:rsidRPr="00A558A4">
        <w:t xml:space="preserve"> </w:t>
      </w:r>
    </w:p>
    <w:p w14:paraId="362A758F" w14:textId="56776F58" w:rsidR="00374149" w:rsidRPr="000F1211" w:rsidRDefault="00374149" w:rsidP="003156AA">
      <w:pPr>
        <w:spacing w:after="0"/>
        <w:rPr>
          <w:rFonts w:cs="Arial"/>
        </w:rPr>
      </w:pPr>
      <w:r w:rsidRPr="000F1211">
        <w:rPr>
          <w:rFonts w:cs="Arial"/>
        </w:rPr>
        <w:t xml:space="preserve">NHS Hull CCG continues to embrace its equality duties, rather than simply focus on legal compliance, and </w:t>
      </w:r>
      <w:r>
        <w:rPr>
          <w:rFonts w:cs="Arial"/>
        </w:rPr>
        <w:t>has made</w:t>
      </w:r>
      <w:r w:rsidRPr="000F1211">
        <w:rPr>
          <w:rFonts w:cs="Arial"/>
        </w:rPr>
        <w:t xml:space="preserve"> meaningful progress against its equality objectives</w:t>
      </w:r>
      <w:r>
        <w:rPr>
          <w:rFonts w:cs="Arial"/>
        </w:rPr>
        <w:t xml:space="preserve"> </w:t>
      </w:r>
      <w:r w:rsidRPr="000F1211">
        <w:rPr>
          <w:rFonts w:cs="Arial"/>
        </w:rPr>
        <w:t>and drive</w:t>
      </w:r>
      <w:r>
        <w:rPr>
          <w:rFonts w:cs="Arial"/>
        </w:rPr>
        <w:t>n</w:t>
      </w:r>
      <w:r w:rsidRPr="000F1211">
        <w:rPr>
          <w:rFonts w:cs="Arial"/>
        </w:rPr>
        <w:t xml:space="preserve"> real change.</w:t>
      </w:r>
    </w:p>
    <w:p w14:paraId="4F7F98C8" w14:textId="582A16CF" w:rsidR="00374149" w:rsidRDefault="00374149" w:rsidP="003156AA">
      <w:pPr>
        <w:spacing w:after="0"/>
        <w:rPr>
          <w:rFonts w:cs="Arial"/>
        </w:rPr>
      </w:pPr>
      <w:r w:rsidRPr="000F1211">
        <w:rPr>
          <w:rFonts w:cs="Arial"/>
        </w:rPr>
        <w:t xml:space="preserve">The pandemic has continued to highlight and widen stark health inequalities, particularly affecting Black, Asian and Minority Ethnic NHS staff and patients, as well as those with disabilities. </w:t>
      </w:r>
      <w:r>
        <w:rPr>
          <w:rFonts w:cs="Arial"/>
        </w:rPr>
        <w:t xml:space="preserve"> </w:t>
      </w:r>
      <w:r w:rsidRPr="000F1211">
        <w:rPr>
          <w:rFonts w:cs="Arial"/>
        </w:rPr>
        <w:t xml:space="preserve">The CCG has over many years developed strong relationships in our communities and strengthened our equality impact assessment approach, and this has paid dividends in our response to the pandemic. It has been particularly significant as the equality impact assessment of the vaccination programme provided insight and data and enabled community engagement approaches to underpin our targeted delivery of this programme. </w:t>
      </w:r>
      <w:r>
        <w:rPr>
          <w:rFonts w:cs="Arial"/>
        </w:rPr>
        <w:t>Further information on COVID-19 equalities impact and our response in detailed further on in this section.</w:t>
      </w:r>
    </w:p>
    <w:p w14:paraId="6D1503F9" w14:textId="77777777" w:rsidR="00374149" w:rsidRPr="000F1211" w:rsidRDefault="00374149" w:rsidP="003156AA">
      <w:pPr>
        <w:spacing w:after="0"/>
        <w:rPr>
          <w:rFonts w:cs="Arial"/>
          <w:b/>
        </w:rPr>
      </w:pPr>
      <w:r w:rsidRPr="000F1211">
        <w:rPr>
          <w:rFonts w:cs="Arial"/>
          <w:b/>
        </w:rPr>
        <w:t>Social, community and human rights obligations</w:t>
      </w:r>
    </w:p>
    <w:p w14:paraId="5A46670F" w14:textId="77777777" w:rsidR="00374149" w:rsidRPr="000F1211" w:rsidRDefault="00374149" w:rsidP="003156AA">
      <w:pPr>
        <w:spacing w:after="0"/>
        <w:rPr>
          <w:rFonts w:cs="Arial"/>
          <w:lang w:val="en"/>
        </w:rPr>
      </w:pPr>
      <w:r w:rsidRPr="000F1211">
        <w:rPr>
          <w:rFonts w:cs="Arial"/>
          <w:lang w:val="en"/>
        </w:rPr>
        <w:t>We are committed to promoting equality and eliminating discrimination as an employer, and in ensuring that the services we commission are accessible and inclusive. We recognise our duties under the Human Rights Act 1998 and the Equality Act 2010, including the Public Sector General Equality Duty to pay due regard to:</w:t>
      </w:r>
    </w:p>
    <w:p w14:paraId="59EC912D" w14:textId="77777777" w:rsidR="00374149" w:rsidRPr="000F1211" w:rsidRDefault="00374149" w:rsidP="0062761B">
      <w:pPr>
        <w:numPr>
          <w:ilvl w:val="0"/>
          <w:numId w:val="22"/>
        </w:numPr>
        <w:spacing w:after="0"/>
        <w:rPr>
          <w:rFonts w:cs="Arial"/>
        </w:rPr>
      </w:pPr>
      <w:r w:rsidRPr="000F1211">
        <w:rPr>
          <w:rFonts w:cs="Arial"/>
        </w:rPr>
        <w:t>Eliminating unlawful discrimination, harassment and victimisation. This includes sexual harassment, direct and indirect discrimination on the grounds of a protected characteristic. The protected characteristics defined by the Equality Act are age, disability, gender reassignment, marriage and civil partnership, pregnancy and maternity, race, religion or belief, sex, and sexual orientation (further defined in 3.2 below).</w:t>
      </w:r>
    </w:p>
    <w:p w14:paraId="638A464F" w14:textId="77777777" w:rsidR="00374149" w:rsidRPr="000F1211" w:rsidRDefault="00374149" w:rsidP="0062761B">
      <w:pPr>
        <w:numPr>
          <w:ilvl w:val="0"/>
          <w:numId w:val="22"/>
        </w:numPr>
        <w:spacing w:after="0"/>
        <w:rPr>
          <w:rFonts w:cs="Arial"/>
        </w:rPr>
      </w:pPr>
      <w:r w:rsidRPr="000F1211">
        <w:rPr>
          <w:rFonts w:cs="Arial"/>
        </w:rPr>
        <w:t>Advancing equality of opportunity between people who share a protected characteristic and people who do not share it. This means:</w:t>
      </w:r>
    </w:p>
    <w:p w14:paraId="4AB8322B" w14:textId="77777777" w:rsidR="00374149" w:rsidRPr="000F1211" w:rsidRDefault="00374149" w:rsidP="0062761B">
      <w:pPr>
        <w:numPr>
          <w:ilvl w:val="1"/>
          <w:numId w:val="22"/>
        </w:numPr>
        <w:spacing w:after="0"/>
        <w:rPr>
          <w:rFonts w:cs="Arial"/>
        </w:rPr>
      </w:pPr>
      <w:r w:rsidRPr="000F1211">
        <w:rPr>
          <w:rFonts w:cs="Arial"/>
        </w:rPr>
        <w:t>Removing or minimising disadvantage experienced by people due to their personal characteristics</w:t>
      </w:r>
    </w:p>
    <w:p w14:paraId="176983ED" w14:textId="77777777" w:rsidR="00374149" w:rsidRPr="000F1211" w:rsidRDefault="00374149" w:rsidP="0062761B">
      <w:pPr>
        <w:numPr>
          <w:ilvl w:val="1"/>
          <w:numId w:val="22"/>
        </w:numPr>
        <w:spacing w:after="0"/>
        <w:rPr>
          <w:rFonts w:cs="Arial"/>
        </w:rPr>
      </w:pPr>
      <w:r w:rsidRPr="000F1211">
        <w:rPr>
          <w:rFonts w:cs="Arial"/>
        </w:rPr>
        <w:t>Meeting the needs of people with protected characteristics</w:t>
      </w:r>
    </w:p>
    <w:p w14:paraId="45F6C894" w14:textId="77777777" w:rsidR="00374149" w:rsidRPr="000F1211" w:rsidRDefault="00374149" w:rsidP="0062761B">
      <w:pPr>
        <w:numPr>
          <w:ilvl w:val="1"/>
          <w:numId w:val="22"/>
        </w:numPr>
        <w:spacing w:after="0"/>
        <w:rPr>
          <w:rFonts w:cs="Arial"/>
        </w:rPr>
      </w:pPr>
      <w:r w:rsidRPr="000F1211">
        <w:rPr>
          <w:rFonts w:cs="Arial"/>
        </w:rPr>
        <w:t>Encouraging people with protected characteristics to participate in public life or in other activities where their participation is disproportionately low.</w:t>
      </w:r>
    </w:p>
    <w:p w14:paraId="2779B96C" w14:textId="77777777" w:rsidR="00374149" w:rsidRPr="000F1211" w:rsidRDefault="00374149" w:rsidP="0062761B">
      <w:pPr>
        <w:numPr>
          <w:ilvl w:val="0"/>
          <w:numId w:val="22"/>
        </w:numPr>
        <w:spacing w:after="0"/>
        <w:rPr>
          <w:rFonts w:cs="Arial"/>
        </w:rPr>
      </w:pPr>
      <w:r w:rsidRPr="000F1211">
        <w:rPr>
          <w:rFonts w:cs="Arial"/>
        </w:rPr>
        <w:t>Fostering good relations between people who share a protected characteristic and people who do not share it, which means:</w:t>
      </w:r>
    </w:p>
    <w:p w14:paraId="03CB2E0B" w14:textId="77777777" w:rsidR="00374149" w:rsidRPr="000F1211" w:rsidRDefault="00374149" w:rsidP="0062761B">
      <w:pPr>
        <w:numPr>
          <w:ilvl w:val="1"/>
          <w:numId w:val="22"/>
        </w:numPr>
        <w:spacing w:after="0"/>
        <w:rPr>
          <w:rFonts w:cs="Arial"/>
        </w:rPr>
      </w:pPr>
      <w:r w:rsidRPr="000F1211">
        <w:rPr>
          <w:rFonts w:cs="Arial"/>
        </w:rPr>
        <w:t>Tackling prejudice, with relevant information and reducing stigma</w:t>
      </w:r>
    </w:p>
    <w:p w14:paraId="24B20C40" w14:textId="77777777" w:rsidR="00374149" w:rsidRPr="000F1211" w:rsidRDefault="00374149" w:rsidP="0062761B">
      <w:pPr>
        <w:numPr>
          <w:ilvl w:val="1"/>
          <w:numId w:val="22"/>
        </w:numPr>
        <w:spacing w:after="0"/>
        <w:rPr>
          <w:rFonts w:cs="Arial"/>
        </w:rPr>
      </w:pPr>
      <w:r w:rsidRPr="000F1211">
        <w:rPr>
          <w:rFonts w:cs="Arial"/>
        </w:rPr>
        <w:t>Promoting understanding between people who share a protected characteristic and others who do not.</w:t>
      </w:r>
    </w:p>
    <w:p w14:paraId="5D8CCC30" w14:textId="77777777" w:rsidR="00374149" w:rsidRPr="000F1211" w:rsidRDefault="00374149" w:rsidP="003156AA">
      <w:pPr>
        <w:spacing w:after="0"/>
        <w:rPr>
          <w:rFonts w:cs="Arial"/>
        </w:rPr>
      </w:pPr>
      <w:r w:rsidRPr="000F1211">
        <w:rPr>
          <w:rFonts w:cs="Arial"/>
        </w:rPr>
        <w:t xml:space="preserve">Having due regard means considering the above in </w:t>
      </w:r>
      <w:r w:rsidRPr="000F1211">
        <w:rPr>
          <w:rFonts w:cs="Arial"/>
          <w:u w:val="single"/>
        </w:rPr>
        <w:t>all</w:t>
      </w:r>
      <w:r w:rsidRPr="000F1211">
        <w:rPr>
          <w:rFonts w:cs="Arial"/>
        </w:rPr>
        <w:t xml:space="preserve"> decision making, including:</w:t>
      </w:r>
    </w:p>
    <w:p w14:paraId="7D823E93" w14:textId="77777777" w:rsidR="00374149" w:rsidRPr="000F1211" w:rsidRDefault="00374149" w:rsidP="0062761B">
      <w:pPr>
        <w:numPr>
          <w:ilvl w:val="0"/>
          <w:numId w:val="21"/>
        </w:numPr>
        <w:spacing w:before="0" w:after="0"/>
        <w:rPr>
          <w:rFonts w:cs="Arial"/>
        </w:rPr>
      </w:pPr>
      <w:r w:rsidRPr="000F1211">
        <w:rPr>
          <w:rFonts w:cs="Arial"/>
        </w:rPr>
        <w:t>How the organisation acts as an employer</w:t>
      </w:r>
    </w:p>
    <w:p w14:paraId="08A79840" w14:textId="77777777" w:rsidR="00374149" w:rsidRPr="000F1211" w:rsidRDefault="00374149" w:rsidP="0062761B">
      <w:pPr>
        <w:numPr>
          <w:ilvl w:val="0"/>
          <w:numId w:val="21"/>
        </w:numPr>
        <w:spacing w:before="0" w:after="0"/>
        <w:rPr>
          <w:rFonts w:cs="Arial"/>
        </w:rPr>
      </w:pPr>
      <w:r w:rsidRPr="000F1211">
        <w:rPr>
          <w:rFonts w:cs="Arial"/>
        </w:rPr>
        <w:t>Developing, reviewing and evaluating policies</w:t>
      </w:r>
    </w:p>
    <w:p w14:paraId="208872B1" w14:textId="77777777" w:rsidR="00374149" w:rsidRPr="000F1211" w:rsidRDefault="00374149" w:rsidP="0062761B">
      <w:pPr>
        <w:numPr>
          <w:ilvl w:val="0"/>
          <w:numId w:val="21"/>
        </w:numPr>
        <w:spacing w:before="0" w:after="0"/>
        <w:rPr>
          <w:rFonts w:cs="Arial"/>
        </w:rPr>
      </w:pPr>
      <w:r w:rsidRPr="000F1211">
        <w:rPr>
          <w:rFonts w:cs="Arial"/>
        </w:rPr>
        <w:t>Designing, delivering and reviewing services</w:t>
      </w:r>
    </w:p>
    <w:p w14:paraId="2DA4C6EB" w14:textId="77777777" w:rsidR="00374149" w:rsidRDefault="00374149" w:rsidP="0062761B">
      <w:pPr>
        <w:numPr>
          <w:ilvl w:val="0"/>
          <w:numId w:val="21"/>
        </w:numPr>
        <w:spacing w:before="0" w:after="0"/>
        <w:rPr>
          <w:rFonts w:cs="Arial"/>
        </w:rPr>
      </w:pPr>
      <w:r w:rsidRPr="000F1211">
        <w:rPr>
          <w:rFonts w:cs="Arial"/>
        </w:rPr>
        <w:t>Procuring and commissioning</w:t>
      </w:r>
    </w:p>
    <w:p w14:paraId="547C0DD7" w14:textId="1B572351" w:rsidR="00374149" w:rsidRPr="00374149" w:rsidRDefault="00374149" w:rsidP="0062761B">
      <w:pPr>
        <w:numPr>
          <w:ilvl w:val="0"/>
          <w:numId w:val="21"/>
        </w:numPr>
        <w:spacing w:before="0" w:after="0"/>
        <w:rPr>
          <w:rFonts w:cs="Arial"/>
        </w:rPr>
      </w:pPr>
      <w:r w:rsidRPr="000F1211">
        <w:rPr>
          <w:rFonts w:cs="Arial"/>
        </w:rPr>
        <w:t>Providing equitable access to services</w:t>
      </w:r>
    </w:p>
    <w:p w14:paraId="1E5BBFFA" w14:textId="77777777" w:rsidR="00933CE1" w:rsidRDefault="00933CE1" w:rsidP="003156AA">
      <w:pPr>
        <w:spacing w:after="0"/>
        <w:rPr>
          <w:rFonts w:cs="Arial"/>
          <w:b/>
          <w:bCs/>
        </w:rPr>
      </w:pPr>
    </w:p>
    <w:p w14:paraId="061FDA2B" w14:textId="77777777" w:rsidR="00933CE1" w:rsidRDefault="00933CE1" w:rsidP="003156AA">
      <w:pPr>
        <w:spacing w:after="0"/>
        <w:rPr>
          <w:rFonts w:cs="Arial"/>
          <w:b/>
          <w:bCs/>
        </w:rPr>
      </w:pPr>
    </w:p>
    <w:p w14:paraId="362BD596" w14:textId="40E0AB7E" w:rsidR="00374149" w:rsidRPr="00D64C10" w:rsidRDefault="00374149" w:rsidP="003156AA">
      <w:pPr>
        <w:spacing w:after="0"/>
        <w:rPr>
          <w:rFonts w:cs="Arial"/>
          <w:b/>
          <w:bCs/>
        </w:rPr>
      </w:pPr>
      <w:r w:rsidRPr="00D64C10">
        <w:rPr>
          <w:rFonts w:cs="Arial"/>
          <w:b/>
          <w:bCs/>
        </w:rPr>
        <w:lastRenderedPageBreak/>
        <w:t>COVID-19 Equality Impact</w:t>
      </w:r>
      <w:r w:rsidRPr="00D64C10">
        <w:rPr>
          <w:rFonts w:eastAsia="Arial" w:cs="Arial"/>
          <w:b/>
          <w:bCs/>
          <w:color w:val="000000" w:themeColor="text1"/>
          <w:sz w:val="24"/>
          <w:szCs w:val="24"/>
        </w:rPr>
        <w:t xml:space="preserve"> </w:t>
      </w:r>
    </w:p>
    <w:p w14:paraId="4AADA539" w14:textId="77777777" w:rsidR="00374149" w:rsidRPr="006878F5" w:rsidRDefault="00374149" w:rsidP="003156AA">
      <w:pPr>
        <w:rPr>
          <w:rFonts w:cs="Arial"/>
        </w:rPr>
      </w:pPr>
      <w:r>
        <w:rPr>
          <w:rFonts w:cs="Arial"/>
        </w:rPr>
        <w:t xml:space="preserve">It is widely documented that COVID-19 has disproportionately impacted Black, Asian and Minority Ethnic communities and disabled people.  </w:t>
      </w:r>
      <w:r w:rsidRPr="006878F5">
        <w:rPr>
          <w:rFonts w:cs="Arial"/>
        </w:rPr>
        <w:t>Following</w:t>
      </w:r>
      <w:r>
        <w:rPr>
          <w:rFonts w:cs="Arial"/>
        </w:rPr>
        <w:t xml:space="preserve"> national</w:t>
      </w:r>
      <w:r w:rsidRPr="006878F5">
        <w:rPr>
          <w:rFonts w:cs="Arial"/>
        </w:rPr>
        <w:t xml:space="preserve"> research our understanding of the risk factors affecting ethnic minorities became much clearer. We now know:</w:t>
      </w:r>
    </w:p>
    <w:p w14:paraId="02A84B5C" w14:textId="77777777" w:rsidR="00374149" w:rsidRPr="006878F5" w:rsidRDefault="00374149" w:rsidP="0062761B">
      <w:pPr>
        <w:numPr>
          <w:ilvl w:val="0"/>
          <w:numId w:val="23"/>
        </w:numPr>
        <w:tabs>
          <w:tab w:val="clear" w:pos="2835"/>
          <w:tab w:val="clear" w:pos="5670"/>
          <w:tab w:val="clear" w:pos="9016"/>
        </w:tabs>
        <w:spacing w:after="120"/>
        <w:rPr>
          <w:rFonts w:cs="Arial"/>
        </w:rPr>
      </w:pPr>
      <w:r w:rsidRPr="006878F5">
        <w:rPr>
          <w:rFonts w:cs="Arial"/>
        </w:rPr>
        <w:t>the main factors behind the higher risk of COVID-19 infection for ethnic minority groups include occupation (particularly for those in frontline roles, such as NHS workers), living with children in multigenerational households, and living in densely populated urban areas with poor air quality and higher levels of deprivation</w:t>
      </w:r>
    </w:p>
    <w:p w14:paraId="0D5FBF1F" w14:textId="77777777" w:rsidR="00374149" w:rsidRPr="006878F5" w:rsidRDefault="00374149" w:rsidP="0062761B">
      <w:pPr>
        <w:numPr>
          <w:ilvl w:val="0"/>
          <w:numId w:val="23"/>
        </w:numPr>
        <w:tabs>
          <w:tab w:val="clear" w:pos="2835"/>
          <w:tab w:val="clear" w:pos="5670"/>
          <w:tab w:val="clear" w:pos="9016"/>
        </w:tabs>
        <w:spacing w:after="120"/>
        <w:rPr>
          <w:rFonts w:cs="Arial"/>
        </w:rPr>
      </w:pPr>
      <w:r w:rsidRPr="006878F5">
        <w:rPr>
          <w:rFonts w:cs="Arial"/>
        </w:rPr>
        <w:t>once a person is infected, factors such as older age, male sex, having a disability or a pre-existing health condition (such as diabetes) are likely to increase the risk of dying from COVID-19</w:t>
      </w:r>
    </w:p>
    <w:p w14:paraId="2D33D2AB" w14:textId="77777777" w:rsidR="00374149" w:rsidRPr="006878F5" w:rsidRDefault="00374149" w:rsidP="0062761B">
      <w:pPr>
        <w:numPr>
          <w:ilvl w:val="0"/>
          <w:numId w:val="23"/>
        </w:numPr>
        <w:tabs>
          <w:tab w:val="clear" w:pos="2835"/>
          <w:tab w:val="clear" w:pos="5670"/>
          <w:tab w:val="clear" w:pos="9016"/>
        </w:tabs>
        <w:spacing w:after="120"/>
        <w:rPr>
          <w:rFonts w:cs="Arial"/>
        </w:rPr>
      </w:pPr>
      <w:r w:rsidRPr="006878F5">
        <w:rPr>
          <w:rFonts w:cs="Arial"/>
        </w:rPr>
        <w:t>while ethnicity itself was not thought to be a risk factor, recent research by Oxford University identified the gene responsible for doubling the risk of respiratory failure from COVID-19, carried by 61% of people with South Asian ancestry – this goes some way to explaining the higher death rates and hospitalisations in that group</w:t>
      </w:r>
    </w:p>
    <w:p w14:paraId="3825C2C3" w14:textId="77777777" w:rsidR="00374149" w:rsidRPr="006878F5" w:rsidRDefault="006461E1" w:rsidP="0062761B">
      <w:pPr>
        <w:numPr>
          <w:ilvl w:val="0"/>
          <w:numId w:val="23"/>
        </w:numPr>
        <w:tabs>
          <w:tab w:val="clear" w:pos="2835"/>
          <w:tab w:val="clear" w:pos="5670"/>
          <w:tab w:val="clear" w:pos="9016"/>
        </w:tabs>
        <w:spacing w:after="120"/>
        <w:rPr>
          <w:rFonts w:cs="Arial"/>
        </w:rPr>
      </w:pPr>
      <w:hyperlink r:id="rId58" w:history="1">
        <w:r w:rsidR="00374149" w:rsidRPr="006878F5">
          <w:rPr>
            <w:rStyle w:val="Hyperlink"/>
          </w:rPr>
          <w:t>The Kings Fund</w:t>
        </w:r>
      </w:hyperlink>
      <w:r w:rsidR="00374149" w:rsidRPr="006878F5">
        <w:rPr>
          <w:rFonts w:cs="Arial"/>
        </w:rPr>
        <w:t xml:space="preserve"> and </w:t>
      </w:r>
      <w:hyperlink r:id="rId59" w:history="1">
        <w:r w:rsidR="00374149" w:rsidRPr="006878F5">
          <w:rPr>
            <w:rStyle w:val="Hyperlink"/>
          </w:rPr>
          <w:t>Race and Health Observatory</w:t>
        </w:r>
      </w:hyperlink>
      <w:r w:rsidR="00374149" w:rsidRPr="006878F5">
        <w:rPr>
          <w:rFonts w:cs="Arial"/>
        </w:rPr>
        <w:t xml:space="preserve"> have both identified structural, institutional and interpersonal racism as a significant factor.</w:t>
      </w:r>
    </w:p>
    <w:p w14:paraId="1BAD881C" w14:textId="77777777" w:rsidR="00374149" w:rsidRPr="006878F5" w:rsidRDefault="00374149" w:rsidP="003156AA">
      <w:pPr>
        <w:rPr>
          <w:rFonts w:cs="Arial"/>
        </w:rPr>
      </w:pPr>
      <w:r w:rsidRPr="006878F5">
        <w:rPr>
          <w:rFonts w:cs="Arial"/>
        </w:rPr>
        <w:t>These insights have been crucial in shaping the government’s response to COVID-19.</w:t>
      </w:r>
    </w:p>
    <w:p w14:paraId="6B4B68C5" w14:textId="77777777" w:rsidR="00374149" w:rsidRPr="006878F5" w:rsidRDefault="00374149" w:rsidP="003156AA">
      <w:pPr>
        <w:rPr>
          <w:rFonts w:cs="Arial"/>
        </w:rPr>
      </w:pPr>
      <w:r w:rsidRPr="006878F5">
        <w:rPr>
          <w:rFonts w:cs="Arial"/>
        </w:rPr>
        <w:t xml:space="preserve">The early efforts, informed by the emerging data and scientific advice, focused on preventing the risk of infection and protecting key frontline workers who were most at risk. This included risk-assessing over 95% of frontline NHS staff by September 2020 and national guidance on how to make workplaces secure for those who were not able to work from home. </w:t>
      </w:r>
    </w:p>
    <w:p w14:paraId="46FF3C29" w14:textId="77777777" w:rsidR="00374149" w:rsidRPr="006878F5" w:rsidRDefault="00374149" w:rsidP="003156AA">
      <w:pPr>
        <w:rPr>
          <w:rFonts w:cs="Arial"/>
        </w:rPr>
      </w:pPr>
      <w:r w:rsidRPr="006878F5">
        <w:rPr>
          <w:rFonts w:cs="Arial"/>
        </w:rPr>
        <w:t xml:space="preserve">The approach to the pandemic evolved as our understanding of the risk factors developed. For example, in the second wave of the pandemic, the risk of dying from COVID-19 was much higher for the Bangladeshi and Pakistani ethnic groups resulted in more specific actions for this population. </w:t>
      </w:r>
    </w:p>
    <w:p w14:paraId="350AD93F" w14:textId="10FD71C2" w:rsidR="00374149" w:rsidRPr="006878F5" w:rsidRDefault="00374149" w:rsidP="003156AA">
      <w:pPr>
        <w:rPr>
          <w:rFonts w:cs="Arial"/>
        </w:rPr>
      </w:pPr>
      <w:r w:rsidRPr="006878F5">
        <w:rPr>
          <w:rFonts w:cs="Arial"/>
        </w:rPr>
        <w:t>The most significant measure to protect ethnic minorities from the risk of COVID-19 infection, and to save lives, has been the vaccination programme.</w:t>
      </w:r>
      <w:r w:rsidRPr="006878F5">
        <w:rPr>
          <w:rFonts w:cs="Arial"/>
          <w:color w:val="0B0C0C"/>
          <w:shd w:val="clear" w:color="auto" w:fill="FFFFFF"/>
        </w:rPr>
        <w:t xml:space="preserve"> </w:t>
      </w:r>
      <w:r w:rsidRPr="006878F5">
        <w:rPr>
          <w:rFonts w:cs="Arial"/>
        </w:rPr>
        <w:t>The largest mass-vaccination programme in British history has been delivered through an unprecedented partnership approach between national and local government, health agencies, and the voluntary and community sector.</w:t>
      </w:r>
      <w:r w:rsidRPr="006878F5">
        <w:rPr>
          <w:rFonts w:cs="Arial"/>
          <w:color w:val="0B0C0C"/>
          <w:shd w:val="clear" w:color="auto" w:fill="FFFFFF"/>
        </w:rPr>
        <w:t xml:space="preserve"> </w:t>
      </w:r>
      <w:r w:rsidRPr="006878F5">
        <w:rPr>
          <w:rFonts w:cs="Arial"/>
        </w:rPr>
        <w:t>Through combined efforts we have seen increases in both positive vaccine sentiment and vaccine uptake across all ethnic groups since vaccine deployment began.</w:t>
      </w:r>
      <w:r>
        <w:rPr>
          <w:rFonts w:cs="Arial"/>
        </w:rPr>
        <w:t xml:space="preserve"> </w:t>
      </w:r>
      <w:r w:rsidRPr="006878F5">
        <w:rPr>
          <w:rFonts w:cs="Arial"/>
        </w:rPr>
        <w:t>There are a number of wider public health lessons in relation to ethnic minorities including:</w:t>
      </w:r>
    </w:p>
    <w:p w14:paraId="7C3D08CB" w14:textId="77777777" w:rsidR="00374149" w:rsidRPr="006878F5" w:rsidRDefault="00374149" w:rsidP="0062761B">
      <w:pPr>
        <w:numPr>
          <w:ilvl w:val="0"/>
          <w:numId w:val="24"/>
        </w:numPr>
        <w:tabs>
          <w:tab w:val="clear" w:pos="2835"/>
          <w:tab w:val="clear" w:pos="5670"/>
          <w:tab w:val="clear" w:pos="9016"/>
        </w:tabs>
        <w:spacing w:after="120"/>
        <w:rPr>
          <w:rFonts w:cs="Arial"/>
        </w:rPr>
      </w:pPr>
      <w:r w:rsidRPr="006878F5">
        <w:rPr>
          <w:rFonts w:cs="Arial"/>
        </w:rPr>
        <w:t>ensuring the success of vaccination deployment is carried over to other public health programmes, such as winter flu and COVID-19 booster vaccinations – this includes continuing to use respected local voices to build trust within ethnic minority groups and to help tackle misinformation</w:t>
      </w:r>
    </w:p>
    <w:p w14:paraId="4C875BD1" w14:textId="77777777" w:rsidR="00374149" w:rsidRPr="006878F5" w:rsidRDefault="00374149" w:rsidP="0062761B">
      <w:pPr>
        <w:numPr>
          <w:ilvl w:val="0"/>
          <w:numId w:val="24"/>
        </w:numPr>
        <w:tabs>
          <w:tab w:val="clear" w:pos="2835"/>
          <w:tab w:val="clear" w:pos="5670"/>
          <w:tab w:val="clear" w:pos="9016"/>
        </w:tabs>
        <w:spacing w:after="120"/>
        <w:rPr>
          <w:rFonts w:cs="Arial"/>
        </w:rPr>
      </w:pPr>
      <w:r w:rsidRPr="006878F5">
        <w:rPr>
          <w:rFonts w:cs="Arial"/>
        </w:rPr>
        <w:t>not treating ethnic minorities as a homogenous group – COVID-19 has affected different ethnic groups in different ways throughout the pandemic and a ‘one size fits all’ approach is not an effective way of tackling public health issues</w:t>
      </w:r>
    </w:p>
    <w:p w14:paraId="7FDA355E" w14:textId="77777777" w:rsidR="00374149" w:rsidRPr="006878F5" w:rsidRDefault="00374149" w:rsidP="0062761B">
      <w:pPr>
        <w:numPr>
          <w:ilvl w:val="0"/>
          <w:numId w:val="24"/>
        </w:numPr>
        <w:tabs>
          <w:tab w:val="clear" w:pos="2835"/>
          <w:tab w:val="clear" w:pos="5670"/>
          <w:tab w:val="clear" w:pos="9016"/>
        </w:tabs>
        <w:spacing w:after="120"/>
        <w:rPr>
          <w:rFonts w:cs="Arial"/>
        </w:rPr>
      </w:pPr>
      <w:r w:rsidRPr="006878F5">
        <w:rPr>
          <w:rFonts w:cs="Arial"/>
        </w:rPr>
        <w:t>avoiding stigmatising ethnic minorities by singling them out for special treatment, which could be taken to imply that they are vulnerable or, in the case of COVID-19, were somehow at fault for the spread of the virus.</w:t>
      </w:r>
    </w:p>
    <w:p w14:paraId="713E4C2F" w14:textId="77777777" w:rsidR="00374149" w:rsidRPr="006878F5" w:rsidRDefault="00374149" w:rsidP="0062761B">
      <w:pPr>
        <w:numPr>
          <w:ilvl w:val="0"/>
          <w:numId w:val="24"/>
        </w:numPr>
        <w:tabs>
          <w:tab w:val="clear" w:pos="2835"/>
          <w:tab w:val="clear" w:pos="5670"/>
          <w:tab w:val="clear" w:pos="9016"/>
        </w:tabs>
        <w:spacing w:after="120"/>
        <w:rPr>
          <w:rFonts w:cs="Arial"/>
        </w:rPr>
      </w:pPr>
      <w:r w:rsidRPr="006878F5">
        <w:rPr>
          <w:rFonts w:cs="Arial"/>
        </w:rPr>
        <w:lastRenderedPageBreak/>
        <w:t>improving the quality of health ethnicity data so that patterns and trends can be spotted quicker in future.</w:t>
      </w:r>
      <w:r w:rsidRPr="006878F5">
        <w:rPr>
          <w:rFonts w:cs="Arial"/>
        </w:rPr>
        <w:tab/>
      </w:r>
    </w:p>
    <w:p w14:paraId="7DFD9CC8" w14:textId="77777777" w:rsidR="00374149" w:rsidRPr="006878F5" w:rsidRDefault="00374149" w:rsidP="003156AA">
      <w:pPr>
        <w:spacing w:after="0"/>
        <w:rPr>
          <w:rFonts w:eastAsia="Times New Roman" w:cs="Arial"/>
          <w:color w:val="393939"/>
          <w:shd w:val="clear" w:color="auto" w:fill="FFFFFF"/>
        </w:rPr>
      </w:pPr>
      <w:r w:rsidRPr="006878F5">
        <w:rPr>
          <w:rFonts w:eastAsia="Times New Roman" w:cs="Arial"/>
          <w:color w:val="393939"/>
          <w:shd w:val="clear" w:color="auto" w:fill="FFFFFF"/>
        </w:rPr>
        <w:t>The impact of COVID on disabled people has also been profound with disabled people in the UK facing an increased risk of ill health and death during the Covid-19 pandemic when compared to the rest of the population:</w:t>
      </w:r>
    </w:p>
    <w:p w14:paraId="0574B2A6" w14:textId="77777777" w:rsidR="00374149" w:rsidRPr="006878F5" w:rsidRDefault="00374149" w:rsidP="0062761B">
      <w:pPr>
        <w:pStyle w:val="ListParagraph"/>
        <w:numPr>
          <w:ilvl w:val="0"/>
          <w:numId w:val="25"/>
        </w:numPr>
        <w:tabs>
          <w:tab w:val="clear" w:pos="2835"/>
          <w:tab w:val="clear" w:pos="5670"/>
          <w:tab w:val="clear" w:pos="9016"/>
        </w:tabs>
        <w:spacing w:before="0" w:after="0"/>
        <w:contextualSpacing w:val="0"/>
        <w:rPr>
          <w:rFonts w:eastAsia="Times New Roman" w:cs="Arial"/>
          <w:color w:val="393939"/>
          <w:shd w:val="clear" w:color="auto" w:fill="FFFFFF"/>
        </w:rPr>
      </w:pPr>
      <w:r w:rsidRPr="006878F5">
        <w:rPr>
          <w:rFonts w:eastAsia="Times New Roman" w:cs="Arial"/>
          <w:color w:val="393939"/>
          <w:shd w:val="clear" w:color="auto" w:fill="FFFFFF"/>
        </w:rPr>
        <w:t>6 people in 10 who die from COVID-19 (compared to around 20% of the population reporting to be disabled).</w:t>
      </w:r>
      <w:r w:rsidRPr="006878F5">
        <w:rPr>
          <w:rStyle w:val="FootnoteReference"/>
          <w:rFonts w:eastAsia="Times New Roman" w:cs="Arial"/>
          <w:color w:val="393939"/>
          <w:shd w:val="clear" w:color="auto" w:fill="FFFFFF"/>
        </w:rPr>
        <w:footnoteReference w:id="2"/>
      </w:r>
      <w:r w:rsidRPr="006878F5">
        <w:rPr>
          <w:rFonts w:eastAsia="Times New Roman" w:cs="Arial"/>
          <w:color w:val="393939"/>
          <w:shd w:val="clear" w:color="auto" w:fill="FFFFFF"/>
        </w:rPr>
        <w:t xml:space="preserve"> </w:t>
      </w:r>
    </w:p>
    <w:p w14:paraId="68F645DF" w14:textId="77777777" w:rsidR="00374149" w:rsidRPr="006878F5" w:rsidRDefault="00374149" w:rsidP="0062761B">
      <w:pPr>
        <w:pStyle w:val="ListParagraph"/>
        <w:numPr>
          <w:ilvl w:val="0"/>
          <w:numId w:val="25"/>
        </w:numPr>
        <w:tabs>
          <w:tab w:val="clear" w:pos="2835"/>
          <w:tab w:val="clear" w:pos="5670"/>
          <w:tab w:val="clear" w:pos="9016"/>
        </w:tabs>
        <w:spacing w:before="0" w:after="0"/>
        <w:contextualSpacing w:val="0"/>
        <w:rPr>
          <w:rFonts w:eastAsia="Times New Roman" w:cs="Arial"/>
          <w:color w:val="393939"/>
          <w:shd w:val="clear" w:color="auto" w:fill="FFFFFF"/>
        </w:rPr>
      </w:pPr>
      <w:r w:rsidRPr="006878F5">
        <w:rPr>
          <w:rFonts w:eastAsia="Times New Roman" w:cs="Arial"/>
          <w:color w:val="393939"/>
          <w:shd w:val="clear" w:color="auto" w:fill="FFFFFF"/>
        </w:rPr>
        <w:t>People with learning disabilities are disabilities with COVID -19 are five times more likely to be admitted to hospital and eight times more likely to die compared with the general population of England, according to a British Medical Journal (BMJ) study</w:t>
      </w:r>
      <w:r w:rsidRPr="006878F5">
        <w:rPr>
          <w:rStyle w:val="FootnoteReference"/>
          <w:rFonts w:eastAsia="Times New Roman" w:cs="Arial"/>
          <w:color w:val="393939"/>
          <w:shd w:val="clear" w:color="auto" w:fill="FFFFFF"/>
        </w:rPr>
        <w:footnoteReference w:id="3"/>
      </w:r>
      <w:r w:rsidRPr="006878F5">
        <w:rPr>
          <w:rFonts w:eastAsia="Times New Roman" w:cs="Arial"/>
          <w:color w:val="393939"/>
          <w:shd w:val="clear" w:color="auto" w:fill="FFFFFF"/>
        </w:rPr>
        <w:t xml:space="preserve">. </w:t>
      </w:r>
    </w:p>
    <w:p w14:paraId="10B4631A" w14:textId="47F26321" w:rsidR="00374149" w:rsidRPr="00374149" w:rsidRDefault="00374149" w:rsidP="0062761B">
      <w:pPr>
        <w:pStyle w:val="ListParagraph"/>
        <w:numPr>
          <w:ilvl w:val="0"/>
          <w:numId w:val="25"/>
        </w:numPr>
        <w:tabs>
          <w:tab w:val="clear" w:pos="2835"/>
          <w:tab w:val="clear" w:pos="5670"/>
          <w:tab w:val="clear" w:pos="9016"/>
        </w:tabs>
        <w:spacing w:before="0" w:after="0"/>
        <w:contextualSpacing w:val="0"/>
        <w:rPr>
          <w:rFonts w:eastAsia="Times New Roman" w:cs="Arial"/>
          <w:color w:val="393939"/>
          <w:shd w:val="clear" w:color="auto" w:fill="FFFFFF"/>
        </w:rPr>
      </w:pPr>
      <w:r w:rsidRPr="006878F5">
        <w:rPr>
          <w:rFonts w:eastAsia="Times New Roman" w:cs="Arial"/>
          <w:color w:val="393939"/>
          <w:shd w:val="clear" w:color="auto" w:fill="FFFFFF"/>
        </w:rPr>
        <w:t>COVID accounts for 8 in 10 deaths of people with a learning disability</w:t>
      </w:r>
      <w:r>
        <w:rPr>
          <w:rFonts w:eastAsia="Times New Roman" w:cs="Arial"/>
          <w:color w:val="393939"/>
          <w:shd w:val="clear" w:color="auto" w:fill="FFFFFF"/>
        </w:rPr>
        <w:t xml:space="preserve"> </w:t>
      </w:r>
      <w:hyperlink r:id="rId60" w:history="1">
        <w:r w:rsidRPr="006F6F9C">
          <w:rPr>
            <w:rStyle w:val="Hyperlink"/>
            <w:rFonts w:eastAsia="Times New Roman"/>
            <w:shd w:val="clear" w:color="auto" w:fill="FFFFFF"/>
          </w:rPr>
          <w:t>https://www.mencap.org.uk/press-release/eight-10-deaths-people-learning-disability-are-covid-related-inequality-soars</w:t>
        </w:r>
      </w:hyperlink>
    </w:p>
    <w:p w14:paraId="0D1312D6" w14:textId="6601E409" w:rsidR="00374149" w:rsidRPr="006878F5" w:rsidRDefault="00374149" w:rsidP="003156AA">
      <w:pPr>
        <w:spacing w:after="0"/>
        <w:rPr>
          <w:rFonts w:eastAsia="Times New Roman" w:cs="Arial"/>
          <w:color w:val="393939"/>
          <w:shd w:val="clear" w:color="auto" w:fill="FFFFFF"/>
        </w:rPr>
      </w:pPr>
      <w:r w:rsidRPr="006878F5">
        <w:rPr>
          <w:rFonts w:eastAsia="Times New Roman" w:cs="Arial"/>
          <w:color w:val="393939"/>
          <w:shd w:val="clear" w:color="auto" w:fill="FFFFFF"/>
        </w:rPr>
        <w:t xml:space="preserve">The Office for National Statistics (ONS) has found the negative social impacts of the pandemic have been greater for disabled people, including impact on mental and physical wellbeing. </w:t>
      </w:r>
    </w:p>
    <w:p w14:paraId="63BD8154" w14:textId="633484CA" w:rsidR="00374149" w:rsidRDefault="00374149" w:rsidP="003156AA">
      <w:pPr>
        <w:spacing w:after="0"/>
        <w:rPr>
          <w:rFonts w:eastAsia="Times New Roman" w:cs="Arial"/>
          <w:color w:val="393939"/>
          <w:shd w:val="clear" w:color="auto" w:fill="FFFFFF"/>
        </w:rPr>
      </w:pPr>
      <w:r w:rsidRPr="006878F5">
        <w:rPr>
          <w:rFonts w:eastAsia="Times New Roman" w:cs="Arial"/>
          <w:color w:val="393939"/>
          <w:shd w:val="clear" w:color="auto" w:fill="FFFFFF"/>
        </w:rPr>
        <w:t>The Health Foundation reports on the impact of disrupted health services disproportionately impacting disabled people</w:t>
      </w:r>
      <w:r w:rsidRPr="006878F5">
        <w:rPr>
          <w:rStyle w:val="FootnoteReference"/>
          <w:rFonts w:eastAsia="Times New Roman" w:cs="Arial"/>
          <w:color w:val="393939"/>
          <w:shd w:val="clear" w:color="auto" w:fill="FFFFFF"/>
        </w:rPr>
        <w:footnoteReference w:id="4"/>
      </w:r>
      <w:r w:rsidRPr="006878F5">
        <w:rPr>
          <w:rFonts w:eastAsia="Times New Roman" w:cs="Arial"/>
          <w:color w:val="393939"/>
          <w:shd w:val="clear" w:color="auto" w:fill="FFFFFF"/>
        </w:rPr>
        <w:t>.</w:t>
      </w:r>
    </w:p>
    <w:p w14:paraId="78175465" w14:textId="77777777" w:rsidR="00374149" w:rsidRPr="006878F5" w:rsidRDefault="00374149" w:rsidP="003156AA">
      <w:pPr>
        <w:rPr>
          <w:rFonts w:eastAsia="Arial" w:cs="Arial"/>
          <w:color w:val="000000" w:themeColor="text1"/>
        </w:rPr>
      </w:pPr>
      <w:r w:rsidRPr="006878F5">
        <w:rPr>
          <w:rFonts w:eastAsiaTheme="majorEastAsia" w:cs="Arial"/>
          <w:b/>
        </w:rPr>
        <w:t>Our response</w:t>
      </w:r>
    </w:p>
    <w:p w14:paraId="081B0561" w14:textId="77777777" w:rsidR="003156AA" w:rsidRDefault="00374149" w:rsidP="003156AA">
      <w:pPr>
        <w:rPr>
          <w:rFonts w:eastAsia="Arial" w:cs="Arial"/>
          <w:color w:val="000000" w:themeColor="text1"/>
        </w:rPr>
      </w:pPr>
      <w:r w:rsidRPr="006878F5">
        <w:rPr>
          <w:rFonts w:eastAsia="Arial" w:cs="Arial"/>
          <w:color w:val="000000" w:themeColor="text1"/>
        </w:rPr>
        <w:t xml:space="preserve">Local engagement and collaboration with system partners, including the voluntary sector, has continued throughout the COVID-19 pandemic which has aided bespoke and targeted support into some of our most vulnerable communities. Bespoke support has been wrapped around specific community groups such as care home residents, the homeless population and our local ethnic minority communities. </w:t>
      </w:r>
    </w:p>
    <w:p w14:paraId="220FC896" w14:textId="6309C016" w:rsidR="00EC4151" w:rsidRPr="006878F5" w:rsidRDefault="00374149" w:rsidP="003156AA">
      <w:pPr>
        <w:rPr>
          <w:rFonts w:cs="Arial"/>
        </w:rPr>
      </w:pPr>
      <w:r w:rsidRPr="006878F5">
        <w:rPr>
          <w:rFonts w:eastAsia="Arial" w:cs="Arial"/>
          <w:color w:val="000000" w:themeColor="text1"/>
        </w:rPr>
        <w:t xml:space="preserve">An integrated approach to supporting our local population utilising a </w:t>
      </w:r>
      <w:r w:rsidRPr="006878F5">
        <w:rPr>
          <w:rFonts w:cs="Arial"/>
        </w:rPr>
        <w:t xml:space="preserve">variety of methods has enabled many successes in areas such as COVID-19 outbreak management and uptake of the COVID vaccination programme. For example, bespoke vaccination sessions were </w:t>
      </w:r>
      <w:r w:rsidR="003156AA" w:rsidRPr="006878F5">
        <w:rPr>
          <w:rFonts w:cs="Arial"/>
        </w:rPr>
        <w:t>delivered for people with a learning disability within a smaller, more familiar setting, with easy read information materials and with additional time allowed for appointment slots.</w:t>
      </w:r>
    </w:p>
    <w:p w14:paraId="4B277D3B" w14:textId="44FC1135" w:rsidR="006C4B5F" w:rsidRDefault="006C4B5F" w:rsidP="006C4B5F">
      <w:pPr>
        <w:pStyle w:val="NoSpacing"/>
      </w:pPr>
      <w:r>
        <w:t>Equality, diversity and inclusion in the workforce</w:t>
      </w:r>
    </w:p>
    <w:p w14:paraId="3EA59544" w14:textId="25D09448" w:rsidR="006C4B5F" w:rsidRPr="006C4B5F" w:rsidRDefault="006C4B5F" w:rsidP="00203417">
      <w:pPr>
        <w:rPr>
          <w:rFonts w:ascii="Calibri" w:eastAsiaTheme="minorHAnsi" w:hAnsi="Calibri"/>
          <w:noProof w:val="0"/>
        </w:rPr>
      </w:pPr>
      <w:r>
        <w:t xml:space="preserve">The CCG reports on the Workforce Race Equality Standard (WRES) and, although not mandated, also reports on the Workforce Disability Equality Standard (WDES) in order to be open and transparent.  NHSE also mandates the Equality Delivery System (EDS) standard for CCG’s.  These three standards form part of the CCG’s Equality, Diversity and Inclusion (EDI) Outcomes Plan </w:t>
      </w:r>
    </w:p>
    <w:p w14:paraId="78164421" w14:textId="562B42EF" w:rsidR="006C4B5F" w:rsidRDefault="006C4B5F" w:rsidP="00203417">
      <w:r>
        <w:t xml:space="preserve">The WRES and WDES highlight any differences between the experience and treatment of </w:t>
      </w:r>
      <w:r w:rsidR="003E5BB7">
        <w:t>Black and Ethnic Minority staff</w:t>
      </w:r>
      <w:r>
        <w:t xml:space="preserve">, disabled staff and candidates, with a view to closing these gaps through the development and implementation of action plans focused upon continuous improvement over time.  The EDS is a toolkit and framework for assessing how NHS organisations are performing </w:t>
      </w:r>
      <w:r>
        <w:lastRenderedPageBreak/>
        <w:t xml:space="preserve">with regard to equality, diversity and human rights and NHS Hull CCG is currently working towards a limited implementation plan to consolidate stakeholder networks of local interest groups prior to the move towards </w:t>
      </w:r>
      <w:r w:rsidR="002E1154">
        <w:t>the Integrated Care System</w:t>
      </w:r>
    </w:p>
    <w:p w14:paraId="0940AB4A" w14:textId="247604B9" w:rsidR="006C4B5F" w:rsidRDefault="006C4B5F" w:rsidP="00203417">
      <w:r>
        <w:t>Although previous actions in the EDI Outcomes Plan have been implemented successfully e.g. recruitment training for managers and wider advertising of roles through community networks, the CCG ha</w:t>
      </w:r>
      <w:r w:rsidR="002E1154">
        <w:t>s</w:t>
      </w:r>
      <w:r>
        <w:t xml:space="preserve"> been unable to make satisfactory progress on attracting and recruiting more BME staff and work is underway to better understand what the barriers to this are including learning from provider trusts in the area.  Further discussion is also being undertaken in conjunction with the staff wellbeing group to look at the results of local pulse surveys around experiences of staff in regards to equal opportunities for career progression, harassment, bullying or abuse and discrimination including whether experiences or treatment of BME and disabled staff is different in these particular areas and identify possible further support to staff.  </w:t>
      </w:r>
      <w:r w:rsidR="002E1154">
        <w:t>The</w:t>
      </w:r>
      <w:r>
        <w:t xml:space="preserve"> staff wellbeing group </w:t>
      </w:r>
      <w:r w:rsidR="002E1154">
        <w:t>is</w:t>
      </w:r>
      <w:r>
        <w:t xml:space="preserve"> also considering how uptake in future surveys could be improved.</w:t>
      </w:r>
    </w:p>
    <w:p w14:paraId="128F36C9" w14:textId="77777777" w:rsidR="006C4B5F" w:rsidRDefault="006C4B5F" w:rsidP="00203417">
      <w:pPr>
        <w:spacing w:after="0"/>
      </w:pPr>
      <w:r>
        <w:t>Other policies and activities undertaken to improve the diversity and inclusiveness of the workforce include;</w:t>
      </w:r>
    </w:p>
    <w:p w14:paraId="1B357A3D" w14:textId="77777777" w:rsidR="006C4B5F" w:rsidRDefault="006C4B5F" w:rsidP="0062761B">
      <w:pPr>
        <w:pStyle w:val="ListParagraph"/>
        <w:numPr>
          <w:ilvl w:val="0"/>
          <w:numId w:val="38"/>
        </w:numPr>
        <w:tabs>
          <w:tab w:val="clear" w:pos="2835"/>
          <w:tab w:val="clear" w:pos="5670"/>
          <w:tab w:val="clear" w:pos="9016"/>
        </w:tabs>
        <w:spacing w:before="0" w:after="0"/>
        <w:contextualSpacing w:val="0"/>
        <w:rPr>
          <w:rFonts w:eastAsia="Times New Roman"/>
        </w:rPr>
      </w:pPr>
      <w:r>
        <w:rPr>
          <w:rFonts w:eastAsia="Times New Roman"/>
        </w:rPr>
        <w:t>Development and implementation of a range of HR Bitesize training sessions that consider unconscious bias and equality issues whilst following key HR processes.</w:t>
      </w:r>
    </w:p>
    <w:p w14:paraId="6D9F38FE" w14:textId="4EB1C0B9" w:rsidR="006C4B5F" w:rsidRDefault="006C4B5F" w:rsidP="0062761B">
      <w:pPr>
        <w:pStyle w:val="ListParagraph"/>
        <w:numPr>
          <w:ilvl w:val="0"/>
          <w:numId w:val="38"/>
        </w:numPr>
        <w:tabs>
          <w:tab w:val="clear" w:pos="2835"/>
          <w:tab w:val="clear" w:pos="5670"/>
          <w:tab w:val="clear" w:pos="9016"/>
        </w:tabs>
        <w:spacing w:before="0" w:after="0"/>
        <w:contextualSpacing w:val="0"/>
        <w:rPr>
          <w:rFonts w:eastAsia="Times New Roman"/>
        </w:rPr>
      </w:pPr>
      <w:r>
        <w:rPr>
          <w:rFonts w:eastAsia="Times New Roman"/>
        </w:rPr>
        <w:t>Introduc</w:t>
      </w:r>
      <w:r w:rsidR="002E1154">
        <w:rPr>
          <w:rFonts w:eastAsia="Times New Roman"/>
        </w:rPr>
        <w:t>tion of</w:t>
      </w:r>
      <w:r>
        <w:rPr>
          <w:rFonts w:eastAsia="Times New Roman"/>
        </w:rPr>
        <w:t xml:space="preserve"> an agile working policy with individual personal plans and reviewed a number of existing policies such as flexible working including a revised EQIA.</w:t>
      </w:r>
    </w:p>
    <w:p w14:paraId="105A6961" w14:textId="564A8B3E" w:rsidR="006C4B5F" w:rsidRDefault="002E1154" w:rsidP="0062761B">
      <w:pPr>
        <w:pStyle w:val="ListParagraph"/>
        <w:numPr>
          <w:ilvl w:val="0"/>
          <w:numId w:val="38"/>
        </w:numPr>
        <w:tabs>
          <w:tab w:val="clear" w:pos="2835"/>
          <w:tab w:val="clear" w:pos="5670"/>
          <w:tab w:val="clear" w:pos="9016"/>
        </w:tabs>
        <w:spacing w:before="0" w:after="0"/>
        <w:contextualSpacing w:val="0"/>
        <w:rPr>
          <w:rFonts w:eastAsia="Times New Roman"/>
        </w:rPr>
      </w:pPr>
      <w:r>
        <w:rPr>
          <w:rFonts w:eastAsia="Times New Roman"/>
        </w:rPr>
        <w:t>A</w:t>
      </w:r>
      <w:r w:rsidR="006C4B5F">
        <w:rPr>
          <w:rFonts w:eastAsia="Times New Roman"/>
        </w:rPr>
        <w:t xml:space="preserve"> review of recruitment processes including feedback on the recruitment experience to look for improvements</w:t>
      </w:r>
      <w:r>
        <w:rPr>
          <w:rFonts w:eastAsia="Times New Roman"/>
        </w:rPr>
        <w:t>,</w:t>
      </w:r>
      <w:r w:rsidR="006C4B5F">
        <w:rPr>
          <w:rFonts w:eastAsia="Times New Roman"/>
        </w:rPr>
        <w:t> a document to audio function to allow for alternative application forms.</w:t>
      </w:r>
    </w:p>
    <w:p w14:paraId="77896083" w14:textId="77777777" w:rsidR="006C4B5F" w:rsidRDefault="006C4B5F" w:rsidP="0062761B">
      <w:pPr>
        <w:pStyle w:val="ListParagraph"/>
        <w:numPr>
          <w:ilvl w:val="0"/>
          <w:numId w:val="38"/>
        </w:numPr>
        <w:tabs>
          <w:tab w:val="clear" w:pos="2835"/>
          <w:tab w:val="clear" w:pos="5670"/>
          <w:tab w:val="clear" w:pos="9016"/>
        </w:tabs>
        <w:spacing w:before="0" w:after="0"/>
        <w:contextualSpacing w:val="0"/>
        <w:rPr>
          <w:rFonts w:eastAsia="Times New Roman"/>
        </w:rPr>
      </w:pPr>
      <w:r>
        <w:rPr>
          <w:rFonts w:eastAsia="Times New Roman"/>
        </w:rPr>
        <w:t xml:space="preserve">The launch of an Employee Assistance Programme </w:t>
      </w:r>
    </w:p>
    <w:p w14:paraId="6B7A3F8D" w14:textId="2B3DC87F" w:rsidR="002E1154" w:rsidRPr="00933CE1" w:rsidRDefault="006C4B5F" w:rsidP="0062761B">
      <w:pPr>
        <w:pStyle w:val="ListParagraph"/>
        <w:numPr>
          <w:ilvl w:val="0"/>
          <w:numId w:val="38"/>
        </w:numPr>
        <w:tabs>
          <w:tab w:val="clear" w:pos="2835"/>
          <w:tab w:val="clear" w:pos="5670"/>
          <w:tab w:val="clear" w:pos="9016"/>
        </w:tabs>
        <w:spacing w:before="0" w:after="0"/>
        <w:contextualSpacing w:val="0"/>
        <w:rPr>
          <w:rFonts w:eastAsia="Times New Roman"/>
        </w:rPr>
      </w:pPr>
      <w:r>
        <w:rPr>
          <w:rFonts w:eastAsia="Times New Roman"/>
        </w:rPr>
        <w:t>The renewal of the CCG’s Mindful Employer Charter</w:t>
      </w:r>
    </w:p>
    <w:p w14:paraId="6E4A1FDA" w14:textId="6B4609DB" w:rsidR="00DA1D32" w:rsidRPr="002E1154" w:rsidRDefault="009D0855" w:rsidP="002E1154">
      <w:pPr>
        <w:pStyle w:val="NoSpacing"/>
        <w:rPr>
          <w:rFonts w:eastAsiaTheme="majorEastAsia" w:cstheme="majorBidi"/>
          <w:bCs/>
        </w:rPr>
      </w:pPr>
      <w:r w:rsidRPr="00652818">
        <w:t>Staff p</w:t>
      </w:r>
      <w:r w:rsidR="00DA1D32" w:rsidRPr="00652818">
        <w:t>olicies</w:t>
      </w:r>
      <w:bookmarkEnd w:id="149"/>
      <w:r w:rsidR="003B71E2" w:rsidRPr="00652818">
        <w:t xml:space="preserve"> </w:t>
      </w:r>
      <w:bookmarkEnd w:id="150"/>
      <w:bookmarkEnd w:id="151"/>
    </w:p>
    <w:p w14:paraId="7F19D7FC" w14:textId="77777777" w:rsidR="002E1154" w:rsidRDefault="002E1154" w:rsidP="0086532A">
      <w:pPr>
        <w:spacing w:before="0" w:after="0"/>
        <w:rPr>
          <w:rFonts w:cs="Arial"/>
        </w:rPr>
      </w:pPr>
    </w:p>
    <w:p w14:paraId="7453DA30" w14:textId="266EAE1A" w:rsidR="0086532A" w:rsidRPr="00806586" w:rsidRDefault="0086532A" w:rsidP="0086532A">
      <w:pPr>
        <w:spacing w:before="0" w:after="0"/>
        <w:rPr>
          <w:rFonts w:cs="Arial"/>
        </w:rPr>
      </w:pPr>
      <w:r w:rsidRPr="00806586">
        <w:rPr>
          <w:rFonts w:cs="Arial"/>
        </w:rPr>
        <w:t>As an employer the CCG recognises and values people as individuals and accommodates differences</w:t>
      </w:r>
      <w:r>
        <w:rPr>
          <w:rFonts w:cs="Arial"/>
        </w:rPr>
        <w:t>,</w:t>
      </w:r>
      <w:r w:rsidRPr="00806586">
        <w:rPr>
          <w:rFonts w:cs="Arial"/>
        </w:rPr>
        <w:t xml:space="preserve"> where possible</w:t>
      </w:r>
      <w:r>
        <w:rPr>
          <w:rFonts w:cs="Arial"/>
        </w:rPr>
        <w:t>,</w:t>
      </w:r>
      <w:r w:rsidRPr="00806586">
        <w:rPr>
          <w:rFonts w:cs="Arial"/>
        </w:rPr>
        <w:t xml:space="preserve"> by making adjustments.  Policies in place to support this include:</w:t>
      </w:r>
    </w:p>
    <w:p w14:paraId="4FE6636A" w14:textId="77777777" w:rsidR="0086532A" w:rsidRPr="00806586" w:rsidRDefault="0086532A" w:rsidP="0062761B">
      <w:pPr>
        <w:pStyle w:val="ListParagraph"/>
        <w:numPr>
          <w:ilvl w:val="0"/>
          <w:numId w:val="36"/>
        </w:numPr>
        <w:tabs>
          <w:tab w:val="clear" w:pos="2835"/>
          <w:tab w:val="clear" w:pos="5670"/>
          <w:tab w:val="clear" w:pos="9016"/>
        </w:tabs>
        <w:spacing w:before="0" w:after="200"/>
        <w:rPr>
          <w:rFonts w:cs="Arial"/>
        </w:rPr>
      </w:pPr>
      <w:r w:rsidRPr="00806586">
        <w:rPr>
          <w:rFonts w:cs="Arial"/>
        </w:rPr>
        <w:t>Agile Working</w:t>
      </w:r>
    </w:p>
    <w:p w14:paraId="5480BCA3" w14:textId="77777777" w:rsidR="0086532A" w:rsidRPr="00806586" w:rsidRDefault="0086532A" w:rsidP="0062761B">
      <w:pPr>
        <w:pStyle w:val="ListParagraph"/>
        <w:numPr>
          <w:ilvl w:val="0"/>
          <w:numId w:val="36"/>
        </w:numPr>
        <w:tabs>
          <w:tab w:val="clear" w:pos="2835"/>
          <w:tab w:val="clear" w:pos="5670"/>
          <w:tab w:val="clear" w:pos="9016"/>
        </w:tabs>
        <w:spacing w:before="0" w:after="200"/>
        <w:rPr>
          <w:rFonts w:cs="Arial"/>
        </w:rPr>
      </w:pPr>
      <w:r w:rsidRPr="00806586">
        <w:rPr>
          <w:rFonts w:cs="Arial"/>
        </w:rPr>
        <w:t>Managing Attendance</w:t>
      </w:r>
    </w:p>
    <w:p w14:paraId="69D19EF7" w14:textId="77777777" w:rsidR="0086532A" w:rsidRPr="00806586" w:rsidRDefault="0086532A" w:rsidP="0062761B">
      <w:pPr>
        <w:pStyle w:val="ListParagraph"/>
        <w:numPr>
          <w:ilvl w:val="0"/>
          <w:numId w:val="36"/>
        </w:numPr>
        <w:tabs>
          <w:tab w:val="clear" w:pos="2835"/>
          <w:tab w:val="clear" w:pos="5670"/>
          <w:tab w:val="clear" w:pos="9016"/>
        </w:tabs>
        <w:spacing w:before="0" w:after="200"/>
        <w:rPr>
          <w:rFonts w:cs="Arial"/>
        </w:rPr>
      </w:pPr>
      <w:r w:rsidRPr="00806586">
        <w:rPr>
          <w:rFonts w:cs="Arial"/>
        </w:rPr>
        <w:t>Flexible Working</w:t>
      </w:r>
    </w:p>
    <w:p w14:paraId="29CC5D32" w14:textId="77777777" w:rsidR="0086532A" w:rsidRPr="00806586" w:rsidRDefault="0086532A" w:rsidP="0062761B">
      <w:pPr>
        <w:pStyle w:val="ListParagraph"/>
        <w:numPr>
          <w:ilvl w:val="0"/>
          <w:numId w:val="36"/>
        </w:numPr>
        <w:tabs>
          <w:tab w:val="clear" w:pos="2835"/>
          <w:tab w:val="clear" w:pos="5670"/>
          <w:tab w:val="clear" w:pos="9016"/>
        </w:tabs>
        <w:spacing w:before="0" w:after="0"/>
        <w:rPr>
          <w:rFonts w:cs="Arial"/>
        </w:rPr>
      </w:pPr>
      <w:r w:rsidRPr="00806586">
        <w:rPr>
          <w:rFonts w:cs="Arial"/>
        </w:rPr>
        <w:t>Recruitment and Selection</w:t>
      </w:r>
    </w:p>
    <w:p w14:paraId="20201D7C" w14:textId="1053A814" w:rsidR="0086532A" w:rsidRPr="00806586" w:rsidRDefault="0086532A" w:rsidP="0086532A">
      <w:pPr>
        <w:spacing w:before="0" w:after="0"/>
        <w:rPr>
          <w:rFonts w:cs="Arial"/>
        </w:rPr>
      </w:pPr>
      <w:r w:rsidRPr="00806586">
        <w:rPr>
          <w:rFonts w:cs="Arial"/>
        </w:rPr>
        <w:t>Six policies were reviewed or developed through to approval in 2021-22</w:t>
      </w:r>
      <w:r>
        <w:rPr>
          <w:rFonts w:cs="Arial"/>
        </w:rPr>
        <w:t>:</w:t>
      </w:r>
    </w:p>
    <w:p w14:paraId="0B17DB1E" w14:textId="77777777" w:rsidR="0086532A" w:rsidRPr="00806586" w:rsidRDefault="0086532A" w:rsidP="0062761B">
      <w:pPr>
        <w:pStyle w:val="ListParagraph"/>
        <w:numPr>
          <w:ilvl w:val="0"/>
          <w:numId w:val="37"/>
        </w:numPr>
        <w:tabs>
          <w:tab w:val="clear" w:pos="2835"/>
          <w:tab w:val="clear" w:pos="5670"/>
          <w:tab w:val="clear" w:pos="9016"/>
        </w:tabs>
        <w:spacing w:before="0" w:after="200"/>
        <w:rPr>
          <w:rFonts w:cs="Arial"/>
        </w:rPr>
      </w:pPr>
      <w:r w:rsidRPr="00806586">
        <w:rPr>
          <w:rFonts w:cs="Arial"/>
        </w:rPr>
        <w:t>Dignity and Respect</w:t>
      </w:r>
    </w:p>
    <w:p w14:paraId="2D3DC2CD" w14:textId="77777777" w:rsidR="0086532A" w:rsidRPr="00806586" w:rsidRDefault="0086532A" w:rsidP="0062761B">
      <w:pPr>
        <w:pStyle w:val="ListParagraph"/>
        <w:numPr>
          <w:ilvl w:val="0"/>
          <w:numId w:val="37"/>
        </w:numPr>
        <w:tabs>
          <w:tab w:val="clear" w:pos="2835"/>
          <w:tab w:val="clear" w:pos="5670"/>
          <w:tab w:val="clear" w:pos="9016"/>
        </w:tabs>
        <w:spacing w:before="0" w:after="200"/>
        <w:rPr>
          <w:rFonts w:cs="Arial"/>
        </w:rPr>
      </w:pPr>
      <w:r w:rsidRPr="00806586">
        <w:rPr>
          <w:rFonts w:cs="Arial"/>
        </w:rPr>
        <w:t>Flexible Working</w:t>
      </w:r>
    </w:p>
    <w:p w14:paraId="3566EF17" w14:textId="77777777" w:rsidR="0086532A" w:rsidRPr="00806586" w:rsidRDefault="0086532A" w:rsidP="0062761B">
      <w:pPr>
        <w:pStyle w:val="ListParagraph"/>
        <w:numPr>
          <w:ilvl w:val="0"/>
          <w:numId w:val="37"/>
        </w:numPr>
        <w:tabs>
          <w:tab w:val="clear" w:pos="2835"/>
          <w:tab w:val="clear" w:pos="5670"/>
          <w:tab w:val="clear" w:pos="9016"/>
        </w:tabs>
        <w:spacing w:before="0" w:after="200"/>
        <w:rPr>
          <w:rFonts w:cs="Arial"/>
        </w:rPr>
      </w:pPr>
      <w:r w:rsidRPr="00806586">
        <w:rPr>
          <w:rFonts w:cs="Arial"/>
        </w:rPr>
        <w:t>Agile Working</w:t>
      </w:r>
    </w:p>
    <w:p w14:paraId="48EF1D2C" w14:textId="77777777" w:rsidR="0086532A" w:rsidRPr="00806586" w:rsidRDefault="0086532A" w:rsidP="0062761B">
      <w:pPr>
        <w:pStyle w:val="ListParagraph"/>
        <w:numPr>
          <w:ilvl w:val="0"/>
          <w:numId w:val="37"/>
        </w:numPr>
        <w:tabs>
          <w:tab w:val="clear" w:pos="2835"/>
          <w:tab w:val="clear" w:pos="5670"/>
          <w:tab w:val="clear" w:pos="9016"/>
        </w:tabs>
        <w:spacing w:before="0" w:after="200"/>
        <w:rPr>
          <w:rFonts w:cs="Arial"/>
        </w:rPr>
      </w:pPr>
      <w:r w:rsidRPr="00806586">
        <w:rPr>
          <w:rFonts w:cs="Arial"/>
        </w:rPr>
        <w:t>Managing Attendance</w:t>
      </w:r>
    </w:p>
    <w:p w14:paraId="183EF655" w14:textId="77777777" w:rsidR="0086532A" w:rsidRPr="00806586" w:rsidRDefault="0086532A" w:rsidP="0062761B">
      <w:pPr>
        <w:pStyle w:val="ListParagraph"/>
        <w:numPr>
          <w:ilvl w:val="0"/>
          <w:numId w:val="37"/>
        </w:numPr>
        <w:tabs>
          <w:tab w:val="clear" w:pos="2835"/>
          <w:tab w:val="clear" w:pos="5670"/>
          <w:tab w:val="clear" w:pos="9016"/>
        </w:tabs>
        <w:spacing w:before="0" w:after="200"/>
        <w:rPr>
          <w:rFonts w:cs="Arial"/>
        </w:rPr>
      </w:pPr>
      <w:r w:rsidRPr="00806586">
        <w:rPr>
          <w:rFonts w:cs="Arial"/>
        </w:rPr>
        <w:t>Recruitment and Retention</w:t>
      </w:r>
    </w:p>
    <w:p w14:paraId="59E21924" w14:textId="54AED91F" w:rsidR="00CC1AC6" w:rsidRPr="0086532A" w:rsidRDefault="0086532A" w:rsidP="0062761B">
      <w:pPr>
        <w:pStyle w:val="ListParagraph"/>
        <w:numPr>
          <w:ilvl w:val="0"/>
          <w:numId w:val="37"/>
        </w:numPr>
        <w:tabs>
          <w:tab w:val="clear" w:pos="2835"/>
          <w:tab w:val="clear" w:pos="5670"/>
          <w:tab w:val="clear" w:pos="9016"/>
        </w:tabs>
        <w:spacing w:before="0" w:after="200"/>
        <w:rPr>
          <w:rFonts w:cs="Arial"/>
        </w:rPr>
      </w:pPr>
      <w:r w:rsidRPr="00806586">
        <w:rPr>
          <w:rFonts w:cs="Arial"/>
        </w:rPr>
        <w:t>Starting Salaries</w:t>
      </w:r>
    </w:p>
    <w:p w14:paraId="51EB6620" w14:textId="63C7F997" w:rsidR="00DA1D32" w:rsidRPr="00A558A4" w:rsidRDefault="003B3108" w:rsidP="00B66DE2">
      <w:pPr>
        <w:rPr>
          <w:rFonts w:cs="Arial"/>
        </w:rPr>
      </w:pPr>
      <w:r>
        <w:rPr>
          <w:rFonts w:cs="Arial"/>
          <w:spacing w:val="-1"/>
        </w:rPr>
        <w:t xml:space="preserve">A number of policies are currently in consultation. </w:t>
      </w:r>
      <w:r w:rsidR="00DA1D32" w:rsidRPr="00A558A4">
        <w:rPr>
          <w:rFonts w:cs="Arial"/>
          <w:spacing w:val="-1"/>
        </w:rPr>
        <w:t>Our p</w:t>
      </w:r>
      <w:r w:rsidR="00DA1D32" w:rsidRPr="00A558A4">
        <w:rPr>
          <w:rFonts w:cs="Arial"/>
        </w:rPr>
        <w:t>o</w:t>
      </w:r>
      <w:r w:rsidR="00DA1D32" w:rsidRPr="00A558A4">
        <w:rPr>
          <w:rFonts w:cs="Arial"/>
          <w:spacing w:val="-1"/>
        </w:rPr>
        <w:t>li</w:t>
      </w:r>
      <w:r w:rsidR="00DA1D32" w:rsidRPr="00A558A4">
        <w:rPr>
          <w:rFonts w:cs="Arial"/>
        </w:rPr>
        <w:t>c</w:t>
      </w:r>
      <w:r w:rsidR="00DA1D32" w:rsidRPr="00A558A4">
        <w:rPr>
          <w:rFonts w:cs="Arial"/>
          <w:spacing w:val="-1"/>
        </w:rPr>
        <w:t>i</w:t>
      </w:r>
      <w:r w:rsidR="00DA1D32" w:rsidRPr="00A558A4">
        <w:rPr>
          <w:rFonts w:cs="Arial"/>
        </w:rPr>
        <w:t>es a</w:t>
      </w:r>
      <w:r w:rsidR="00DA1D32" w:rsidRPr="00A558A4">
        <w:rPr>
          <w:rFonts w:cs="Arial"/>
          <w:spacing w:val="1"/>
        </w:rPr>
        <w:t>r</w:t>
      </w:r>
      <w:r w:rsidR="00DA1D32" w:rsidRPr="00A558A4">
        <w:rPr>
          <w:rFonts w:cs="Arial"/>
        </w:rPr>
        <w:t>e a</w:t>
      </w:r>
      <w:r w:rsidR="00DA1D32" w:rsidRPr="00A558A4">
        <w:rPr>
          <w:rFonts w:cs="Arial"/>
          <w:spacing w:val="-2"/>
        </w:rPr>
        <w:t>v</w:t>
      </w:r>
      <w:r w:rsidR="00DA1D32" w:rsidRPr="00A558A4">
        <w:rPr>
          <w:rFonts w:cs="Arial"/>
        </w:rPr>
        <w:t>a</w:t>
      </w:r>
      <w:r w:rsidR="00DA1D32" w:rsidRPr="00A558A4">
        <w:rPr>
          <w:rFonts w:cs="Arial"/>
          <w:spacing w:val="-1"/>
        </w:rPr>
        <w:t>il</w:t>
      </w:r>
      <w:r w:rsidR="00DA1D32" w:rsidRPr="00A558A4">
        <w:rPr>
          <w:rFonts w:cs="Arial"/>
        </w:rPr>
        <w:t>a</w:t>
      </w:r>
      <w:r w:rsidR="00DA1D32" w:rsidRPr="00A558A4">
        <w:rPr>
          <w:rFonts w:cs="Arial"/>
          <w:spacing w:val="-1"/>
        </w:rPr>
        <w:t>bl</w:t>
      </w:r>
      <w:r w:rsidR="00DA1D32" w:rsidRPr="00A558A4">
        <w:rPr>
          <w:rFonts w:cs="Arial"/>
        </w:rPr>
        <w:t xml:space="preserve">e at </w:t>
      </w:r>
      <w:hyperlink r:id="rId61" w:history="1">
        <w:r w:rsidR="00DA1D32" w:rsidRPr="00A558A4">
          <w:rPr>
            <w:rStyle w:val="Hyperlink"/>
            <w:rFonts w:cs="Arial"/>
            <w:spacing w:val="-1"/>
            <w:position w:val="-1"/>
          </w:rPr>
          <w:t>ww</w:t>
        </w:r>
        <w:r w:rsidR="00DA1D32" w:rsidRPr="00A558A4">
          <w:rPr>
            <w:rStyle w:val="Hyperlink"/>
            <w:rFonts w:cs="Arial"/>
            <w:spacing w:val="-3"/>
            <w:position w:val="-1"/>
          </w:rPr>
          <w:t>w</w:t>
        </w:r>
        <w:r w:rsidR="00DA1D32" w:rsidRPr="00A558A4">
          <w:rPr>
            <w:rStyle w:val="Hyperlink"/>
            <w:rFonts w:cs="Arial"/>
            <w:spacing w:val="1"/>
            <w:position w:val="-1"/>
          </w:rPr>
          <w:t>.</w:t>
        </w:r>
        <w:r w:rsidR="00DA1D32" w:rsidRPr="00A558A4">
          <w:rPr>
            <w:rStyle w:val="Hyperlink"/>
            <w:rFonts w:cs="Arial"/>
            <w:position w:val="-1"/>
          </w:rPr>
          <w:t>h</w:t>
        </w:r>
        <w:r w:rsidR="00DA1D32" w:rsidRPr="00A558A4">
          <w:rPr>
            <w:rStyle w:val="Hyperlink"/>
            <w:rFonts w:cs="Arial"/>
            <w:spacing w:val="-1"/>
            <w:position w:val="-1"/>
          </w:rPr>
          <w:t>u</w:t>
        </w:r>
        <w:r w:rsidR="00DA1D32" w:rsidRPr="00A558A4">
          <w:rPr>
            <w:rStyle w:val="Hyperlink"/>
            <w:rFonts w:cs="Arial"/>
            <w:spacing w:val="1"/>
            <w:position w:val="-1"/>
          </w:rPr>
          <w:t>l</w:t>
        </w:r>
        <w:r w:rsidR="00DA1D32" w:rsidRPr="00A558A4">
          <w:rPr>
            <w:rStyle w:val="Hyperlink"/>
            <w:rFonts w:cs="Arial"/>
            <w:spacing w:val="-1"/>
            <w:position w:val="-1"/>
          </w:rPr>
          <w:t>l</w:t>
        </w:r>
        <w:r w:rsidR="00DA1D32" w:rsidRPr="00A558A4">
          <w:rPr>
            <w:rStyle w:val="Hyperlink"/>
            <w:rFonts w:cs="Arial"/>
            <w:position w:val="-1"/>
          </w:rPr>
          <w:t>cc</w:t>
        </w:r>
        <w:r w:rsidR="00DA1D32" w:rsidRPr="00A558A4">
          <w:rPr>
            <w:rStyle w:val="Hyperlink"/>
            <w:rFonts w:cs="Arial"/>
            <w:spacing w:val="2"/>
            <w:position w:val="-1"/>
          </w:rPr>
          <w:t>g</w:t>
        </w:r>
        <w:r w:rsidR="00DA1D32" w:rsidRPr="00A558A4">
          <w:rPr>
            <w:rStyle w:val="Hyperlink"/>
            <w:rFonts w:cs="Arial"/>
            <w:spacing w:val="1"/>
            <w:position w:val="-1"/>
          </w:rPr>
          <w:t>.</w:t>
        </w:r>
        <w:r w:rsidR="00DA1D32" w:rsidRPr="00A558A4">
          <w:rPr>
            <w:rStyle w:val="Hyperlink"/>
            <w:rFonts w:cs="Arial"/>
            <w:position w:val="-1"/>
          </w:rPr>
          <w:t>n</w:t>
        </w:r>
        <w:r w:rsidR="00DA1D32" w:rsidRPr="00A558A4">
          <w:rPr>
            <w:rStyle w:val="Hyperlink"/>
            <w:rFonts w:cs="Arial"/>
            <w:spacing w:val="-1"/>
            <w:position w:val="-1"/>
          </w:rPr>
          <w:t>h</w:t>
        </w:r>
        <w:r w:rsidR="00DA1D32" w:rsidRPr="00A558A4">
          <w:rPr>
            <w:rStyle w:val="Hyperlink"/>
            <w:rFonts w:cs="Arial"/>
            <w:spacing w:val="-2"/>
            <w:position w:val="-1"/>
          </w:rPr>
          <w:t>s</w:t>
        </w:r>
        <w:r w:rsidR="00DA1D32" w:rsidRPr="00A558A4">
          <w:rPr>
            <w:rStyle w:val="Hyperlink"/>
            <w:rFonts w:cs="Arial"/>
            <w:spacing w:val="1"/>
            <w:position w:val="-1"/>
          </w:rPr>
          <w:t>.</w:t>
        </w:r>
        <w:r w:rsidR="00DA1D32" w:rsidRPr="00A558A4">
          <w:rPr>
            <w:rStyle w:val="Hyperlink"/>
            <w:rFonts w:cs="Arial"/>
            <w:spacing w:val="-3"/>
            <w:position w:val="-1"/>
          </w:rPr>
          <w:t>u</w:t>
        </w:r>
        <w:r w:rsidR="00DA1D32" w:rsidRPr="00A558A4">
          <w:rPr>
            <w:rStyle w:val="Hyperlink"/>
            <w:rFonts w:cs="Arial"/>
            <w:position w:val="-1"/>
          </w:rPr>
          <w:t>k</w:t>
        </w:r>
      </w:hyperlink>
    </w:p>
    <w:p w14:paraId="50CB3CEB" w14:textId="7B5EAFA2" w:rsidR="00664890" w:rsidRDefault="00DA1D32" w:rsidP="00664890">
      <w:pPr>
        <w:pStyle w:val="Heading3"/>
      </w:pPr>
      <w:bookmarkStart w:id="152" w:name="_Toc449018436"/>
      <w:bookmarkStart w:id="153" w:name="_Toc449014858"/>
      <w:bookmarkStart w:id="154" w:name="_Toc481760978"/>
      <w:bookmarkStart w:id="155" w:name="_Toc103695064"/>
      <w:r w:rsidRPr="00021A18">
        <w:t>Staff engagement</w:t>
      </w:r>
      <w:bookmarkEnd w:id="152"/>
      <w:bookmarkEnd w:id="153"/>
      <w:bookmarkEnd w:id="154"/>
      <w:r w:rsidR="00E07A11" w:rsidRPr="00021A18">
        <w:t>, workforce health and wellbeing</w:t>
      </w:r>
      <w:bookmarkEnd w:id="155"/>
      <w:r w:rsidR="000C73B8">
        <w:t xml:space="preserve"> </w:t>
      </w:r>
    </w:p>
    <w:p w14:paraId="331E1EAB" w14:textId="2C7EE2AA" w:rsidR="003844DF" w:rsidRPr="00806586" w:rsidRDefault="003844DF" w:rsidP="003844DF">
      <w:pPr>
        <w:rPr>
          <w:rFonts w:cs="Arial"/>
        </w:rPr>
      </w:pPr>
      <w:r w:rsidRPr="00806586">
        <w:rPr>
          <w:rFonts w:cs="Arial"/>
        </w:rPr>
        <w:t xml:space="preserve">The CCG did not participate in a staff survey in 2021-22 therefore do not have a staff engagement percentage, however activities </w:t>
      </w:r>
      <w:r w:rsidR="00506766">
        <w:rPr>
          <w:rFonts w:cs="Arial"/>
        </w:rPr>
        <w:t>this year</w:t>
      </w:r>
      <w:r w:rsidRPr="00806586">
        <w:rPr>
          <w:rFonts w:cs="Arial"/>
        </w:rPr>
        <w:t xml:space="preserve"> to support staff engagement and workforce health and wellbeing</w:t>
      </w:r>
      <w:r w:rsidR="00506766">
        <w:rPr>
          <w:rFonts w:cs="Arial"/>
        </w:rPr>
        <w:t xml:space="preserve"> are detailed below</w:t>
      </w:r>
      <w:r w:rsidRPr="00806586">
        <w:rPr>
          <w:rFonts w:cs="Arial"/>
        </w:rPr>
        <w:t>.</w:t>
      </w:r>
    </w:p>
    <w:p w14:paraId="258B4FB4" w14:textId="0026C26D" w:rsidR="003844DF" w:rsidRPr="00806586" w:rsidRDefault="003844DF" w:rsidP="003844DF">
      <w:pPr>
        <w:rPr>
          <w:rFonts w:eastAsiaTheme="minorHAnsi" w:cs="Arial"/>
        </w:rPr>
      </w:pPr>
      <w:r w:rsidRPr="00806586">
        <w:rPr>
          <w:rFonts w:cs="Arial"/>
        </w:rPr>
        <w:t xml:space="preserve">The </w:t>
      </w:r>
      <w:r w:rsidR="00506766">
        <w:rPr>
          <w:rFonts w:cs="Arial"/>
        </w:rPr>
        <w:t>Human Resources and Organisational Development (</w:t>
      </w:r>
      <w:r w:rsidRPr="00806586">
        <w:rPr>
          <w:rFonts w:cs="Arial"/>
        </w:rPr>
        <w:t>HR and OD</w:t>
      </w:r>
      <w:r w:rsidR="00506766">
        <w:rPr>
          <w:rFonts w:cs="Arial"/>
        </w:rPr>
        <w:t>)</w:t>
      </w:r>
      <w:r w:rsidRPr="00806586">
        <w:rPr>
          <w:rFonts w:cs="Arial"/>
        </w:rPr>
        <w:t xml:space="preserve"> team ha</w:t>
      </w:r>
      <w:r w:rsidR="00506766">
        <w:rPr>
          <w:rFonts w:cs="Arial"/>
        </w:rPr>
        <w:t>s</w:t>
      </w:r>
      <w:r w:rsidRPr="00806586">
        <w:rPr>
          <w:rFonts w:cs="Arial"/>
        </w:rPr>
        <w:t xml:space="preserve"> delivered regular updates at bi-weekly team briefings including; training opportunities, </w:t>
      </w:r>
      <w:r w:rsidR="00925109">
        <w:rPr>
          <w:rFonts w:cs="Arial"/>
        </w:rPr>
        <w:t>w</w:t>
      </w:r>
      <w:r w:rsidRPr="00806586">
        <w:rPr>
          <w:rFonts w:cs="Arial"/>
        </w:rPr>
        <w:t xml:space="preserve">ellness </w:t>
      </w:r>
      <w:r w:rsidR="00925109">
        <w:rPr>
          <w:rFonts w:cs="Arial"/>
        </w:rPr>
        <w:t>a</w:t>
      </w:r>
      <w:r w:rsidRPr="00806586">
        <w:rPr>
          <w:rFonts w:cs="Arial"/>
        </w:rPr>
        <w:t xml:space="preserve">ction </w:t>
      </w:r>
      <w:r w:rsidR="00925109">
        <w:rPr>
          <w:rFonts w:cs="Arial"/>
        </w:rPr>
        <w:t>p</w:t>
      </w:r>
      <w:r w:rsidRPr="00806586">
        <w:rPr>
          <w:rFonts w:cs="Arial"/>
        </w:rPr>
        <w:t xml:space="preserve">lans </w:t>
      </w:r>
      <w:r w:rsidR="00BB3DA6">
        <w:rPr>
          <w:rFonts w:cs="Arial"/>
        </w:rPr>
        <w:t>and</w:t>
      </w:r>
      <w:r w:rsidRPr="00806586">
        <w:rPr>
          <w:rFonts w:cs="Arial"/>
        </w:rPr>
        <w:t xml:space="preserve"> </w:t>
      </w:r>
      <w:r w:rsidRPr="00806586">
        <w:rPr>
          <w:rFonts w:cs="Arial"/>
        </w:rPr>
        <w:lastRenderedPageBreak/>
        <w:t xml:space="preserve">guides, national </w:t>
      </w:r>
      <w:r w:rsidR="00925109">
        <w:rPr>
          <w:rFonts w:cs="Arial"/>
        </w:rPr>
        <w:t>h</w:t>
      </w:r>
      <w:r w:rsidRPr="00806586">
        <w:rPr>
          <w:rFonts w:cs="Arial"/>
        </w:rPr>
        <w:t xml:space="preserve">ealth and </w:t>
      </w:r>
      <w:r w:rsidR="00925109">
        <w:rPr>
          <w:rFonts w:cs="Arial"/>
        </w:rPr>
        <w:t>w</w:t>
      </w:r>
      <w:r w:rsidRPr="00806586">
        <w:rPr>
          <w:rFonts w:cs="Arial"/>
        </w:rPr>
        <w:t xml:space="preserve">ellbeing </w:t>
      </w:r>
      <w:r w:rsidR="00925109">
        <w:rPr>
          <w:rFonts w:cs="Arial"/>
        </w:rPr>
        <w:t>a</w:t>
      </w:r>
      <w:r w:rsidRPr="00806586">
        <w:rPr>
          <w:rFonts w:cs="Arial"/>
        </w:rPr>
        <w:t xml:space="preserve">pps and useful websites to support wellbeing whilst staff continue to work predominately from home.  A </w:t>
      </w:r>
      <w:r w:rsidR="00925109">
        <w:rPr>
          <w:rFonts w:cs="Arial"/>
        </w:rPr>
        <w:t>substantial</w:t>
      </w:r>
      <w:r w:rsidRPr="00806586">
        <w:rPr>
          <w:rFonts w:cs="Arial"/>
        </w:rPr>
        <w:t xml:space="preserve"> number of staff have accessed 1:1 coaching support and training opportunities</w:t>
      </w:r>
      <w:r w:rsidR="00925109">
        <w:rPr>
          <w:rFonts w:cs="Arial"/>
        </w:rPr>
        <w:t xml:space="preserve">, and </w:t>
      </w:r>
      <w:r w:rsidRPr="00806586">
        <w:rPr>
          <w:rFonts w:cs="Arial"/>
        </w:rPr>
        <w:t xml:space="preserve">for </w:t>
      </w:r>
      <w:r w:rsidR="00925109">
        <w:rPr>
          <w:rFonts w:cs="Arial"/>
        </w:rPr>
        <w:t>people</w:t>
      </w:r>
      <w:r w:rsidRPr="00806586">
        <w:rPr>
          <w:rFonts w:cs="Arial"/>
        </w:rPr>
        <w:t xml:space="preserve"> interested in becoming a qualified coach</w:t>
      </w:r>
      <w:r w:rsidR="00925109">
        <w:rPr>
          <w:rFonts w:cs="Arial"/>
        </w:rPr>
        <w:t>, bespoke courses</w:t>
      </w:r>
      <w:r w:rsidRPr="00806586">
        <w:rPr>
          <w:rFonts w:cs="Arial"/>
        </w:rPr>
        <w:t xml:space="preserve"> have also been offered.</w:t>
      </w:r>
    </w:p>
    <w:p w14:paraId="6C7D6E1A" w14:textId="47181A86" w:rsidR="003844DF" w:rsidRPr="00806586" w:rsidRDefault="003844DF" w:rsidP="003844DF">
      <w:pPr>
        <w:rPr>
          <w:rFonts w:cs="Arial"/>
        </w:rPr>
      </w:pPr>
      <w:r w:rsidRPr="00806586">
        <w:rPr>
          <w:rFonts w:cs="Arial"/>
        </w:rPr>
        <w:t xml:space="preserve">NHS Hull CCG provides support </w:t>
      </w:r>
      <w:r w:rsidR="00925109">
        <w:rPr>
          <w:rFonts w:cs="Arial"/>
        </w:rPr>
        <w:t>for</w:t>
      </w:r>
      <w:r w:rsidRPr="00806586">
        <w:rPr>
          <w:rFonts w:cs="Arial"/>
        </w:rPr>
        <w:t xml:space="preserve"> physical and emotional wellbeing through management and self-referral to Occupational Health services</w:t>
      </w:r>
      <w:r w:rsidR="00961BE9">
        <w:rPr>
          <w:rFonts w:cs="Arial"/>
        </w:rPr>
        <w:t>. This</w:t>
      </w:r>
      <w:r w:rsidRPr="00806586">
        <w:rPr>
          <w:rFonts w:cs="Arial"/>
        </w:rPr>
        <w:t xml:space="preserve"> includ</w:t>
      </w:r>
      <w:r w:rsidR="00961BE9">
        <w:rPr>
          <w:rFonts w:cs="Arial"/>
        </w:rPr>
        <w:t>es</w:t>
      </w:r>
      <w:r w:rsidRPr="00806586">
        <w:rPr>
          <w:rFonts w:cs="Arial"/>
        </w:rPr>
        <w:t xml:space="preserve"> the ability to access counselling sessions and colleagues who are trained Mental Health First Aiders.  Staff and their immediate family members also have access to an Employee Assistance Programme</w:t>
      </w:r>
      <w:r w:rsidR="00961BE9">
        <w:rPr>
          <w:rFonts w:cs="Arial"/>
        </w:rPr>
        <w:t xml:space="preserve"> (EAP)</w:t>
      </w:r>
      <w:r w:rsidRPr="00806586">
        <w:rPr>
          <w:rFonts w:cs="Arial"/>
        </w:rPr>
        <w:t xml:space="preserve">; a support network that offers expert advice and compassionate guidance 24/7 covering a wide range of issues.  </w:t>
      </w:r>
      <w:r w:rsidR="00961BE9">
        <w:rPr>
          <w:rFonts w:cs="Arial"/>
        </w:rPr>
        <w:t>EAP s</w:t>
      </w:r>
      <w:r w:rsidRPr="00806586">
        <w:rPr>
          <w:rFonts w:cs="Arial"/>
        </w:rPr>
        <w:t>ervices include legal information, online CBT and bereavement support</w:t>
      </w:r>
      <w:r w:rsidR="00961BE9">
        <w:rPr>
          <w:rFonts w:cs="Arial"/>
        </w:rPr>
        <w:t>, with</w:t>
      </w:r>
      <w:r w:rsidRPr="00806586">
        <w:rPr>
          <w:rFonts w:cs="Arial"/>
        </w:rPr>
        <w:t xml:space="preserve"> access to a wellbeing portal which offers a virtual library of wellbeing information.  </w:t>
      </w:r>
      <w:r w:rsidR="00961BE9">
        <w:rPr>
          <w:rFonts w:cs="Arial"/>
        </w:rPr>
        <w:t>A</w:t>
      </w:r>
      <w:r w:rsidRPr="00806586">
        <w:rPr>
          <w:rFonts w:cs="Arial"/>
        </w:rPr>
        <w:t xml:space="preserve">rticles and self help guides provide support on a range of health and advisory issues as well as instant </w:t>
      </w:r>
      <w:r w:rsidR="00961BE9">
        <w:rPr>
          <w:rFonts w:cs="Arial"/>
        </w:rPr>
        <w:t>advice</w:t>
      </w:r>
      <w:r w:rsidRPr="00806586">
        <w:rPr>
          <w:rFonts w:cs="Arial"/>
        </w:rPr>
        <w:t xml:space="preserve"> </w:t>
      </w:r>
      <w:r w:rsidR="005606A3">
        <w:rPr>
          <w:rFonts w:cs="Arial"/>
        </w:rPr>
        <w:t>for good</w:t>
      </w:r>
      <w:r w:rsidRPr="00806586">
        <w:rPr>
          <w:rFonts w:cs="Arial"/>
        </w:rPr>
        <w:t xml:space="preserve"> physical and mental health.  A smartphone app is also available </w:t>
      </w:r>
      <w:r w:rsidR="005606A3">
        <w:rPr>
          <w:rFonts w:cs="Arial"/>
        </w:rPr>
        <w:t>with</w:t>
      </w:r>
      <w:r w:rsidRPr="00806586">
        <w:rPr>
          <w:rFonts w:cs="Arial"/>
        </w:rPr>
        <w:t xml:space="preserve"> a weekly mood tracker, mini health checks and breathing techniques.</w:t>
      </w:r>
    </w:p>
    <w:p w14:paraId="22F5C0C0" w14:textId="3D72BB59" w:rsidR="003844DF" w:rsidRPr="00806586" w:rsidRDefault="003844DF" w:rsidP="003844DF">
      <w:pPr>
        <w:rPr>
          <w:rFonts w:cs="Arial"/>
        </w:rPr>
      </w:pPr>
      <w:r w:rsidRPr="00806586">
        <w:rPr>
          <w:rFonts w:cs="Arial"/>
        </w:rPr>
        <w:t xml:space="preserve">NHS Hull CCG </w:t>
      </w:r>
      <w:r w:rsidR="005606A3">
        <w:rPr>
          <w:rFonts w:cs="Arial"/>
        </w:rPr>
        <w:t>runs</w:t>
      </w:r>
      <w:r w:rsidRPr="00806586">
        <w:rPr>
          <w:rFonts w:cs="Arial"/>
        </w:rPr>
        <w:t xml:space="preserve"> a quarterly morale tracker; a short survey designed to give a better insight into morale, staff experiences at work and their health and wellbeing.  The survey supports the People Promise – “we each have a voice that counts” and provides regular insight into the working experience of staff to support </w:t>
      </w:r>
      <w:r w:rsidR="005606A3">
        <w:rPr>
          <w:rFonts w:cs="Arial"/>
        </w:rPr>
        <w:t xml:space="preserve">improvement </w:t>
      </w:r>
      <w:r w:rsidRPr="00806586">
        <w:rPr>
          <w:rFonts w:cs="Arial"/>
        </w:rPr>
        <w:t xml:space="preserve">action. </w:t>
      </w:r>
    </w:p>
    <w:p w14:paraId="48F04F67" w14:textId="6CDE8130" w:rsidR="003844DF" w:rsidRPr="00806586" w:rsidRDefault="003844DF" w:rsidP="003844DF">
      <w:pPr>
        <w:rPr>
          <w:rFonts w:cs="Arial"/>
        </w:rPr>
      </w:pPr>
      <w:r w:rsidRPr="00806586">
        <w:rPr>
          <w:rFonts w:cs="Arial"/>
        </w:rPr>
        <w:t xml:space="preserve">All staff have been offered </w:t>
      </w:r>
      <w:r w:rsidR="005606A3">
        <w:rPr>
          <w:rFonts w:cs="Arial"/>
        </w:rPr>
        <w:t>a</w:t>
      </w:r>
      <w:r w:rsidRPr="00806586">
        <w:rPr>
          <w:rFonts w:cs="Arial"/>
        </w:rPr>
        <w:t xml:space="preserve"> flu vaccination via Occupational Health and staff identified by NHS Hull CCG as being frontline </w:t>
      </w:r>
      <w:r w:rsidR="005606A3">
        <w:rPr>
          <w:rFonts w:cs="Arial"/>
        </w:rPr>
        <w:t>were</w:t>
      </w:r>
      <w:r w:rsidRPr="00806586">
        <w:rPr>
          <w:rFonts w:cs="Arial"/>
        </w:rPr>
        <w:t xml:space="preserve"> </w:t>
      </w:r>
      <w:r w:rsidR="003E5BB7">
        <w:rPr>
          <w:rFonts w:cs="Arial"/>
        </w:rPr>
        <w:t>prioritised for</w:t>
      </w:r>
      <w:r w:rsidRPr="00806586">
        <w:rPr>
          <w:rFonts w:cs="Arial"/>
        </w:rPr>
        <w:t xml:space="preserve"> COVID-19 vaccination.  Individual staff risk assessments were undertaken early in the pandemic and personal plans developed to identify and mitigate any equality or diversity issues that m</w:t>
      </w:r>
      <w:r w:rsidR="005606A3">
        <w:rPr>
          <w:rFonts w:cs="Arial"/>
        </w:rPr>
        <w:t>a</w:t>
      </w:r>
      <w:r w:rsidRPr="00806586">
        <w:rPr>
          <w:rFonts w:cs="Arial"/>
        </w:rPr>
        <w:t>y impact on staff safety</w:t>
      </w:r>
      <w:r w:rsidR="005606A3">
        <w:rPr>
          <w:rFonts w:cs="Arial"/>
        </w:rPr>
        <w:t xml:space="preserve">. These </w:t>
      </w:r>
      <w:r w:rsidRPr="00806586">
        <w:rPr>
          <w:rFonts w:cs="Arial"/>
        </w:rPr>
        <w:t xml:space="preserve">remain in place. </w:t>
      </w:r>
    </w:p>
    <w:p w14:paraId="35A6A6A7" w14:textId="21A58542" w:rsidR="00203417" w:rsidRPr="00933CE1" w:rsidRDefault="003844DF" w:rsidP="00933CE1">
      <w:pPr>
        <w:rPr>
          <w:rFonts w:cs="Arial"/>
        </w:rPr>
      </w:pPr>
      <w:r w:rsidRPr="00806586">
        <w:rPr>
          <w:rFonts w:cs="Arial"/>
        </w:rPr>
        <w:t xml:space="preserve">All </w:t>
      </w:r>
      <w:r w:rsidR="005606A3">
        <w:rPr>
          <w:rFonts w:cs="Arial"/>
        </w:rPr>
        <w:t xml:space="preserve">our </w:t>
      </w:r>
      <w:r w:rsidRPr="00806586">
        <w:rPr>
          <w:rFonts w:cs="Arial"/>
        </w:rPr>
        <w:t>staff have the opportunity to discuss and agree their own individual objectives as part of their annual Personal Development Review</w:t>
      </w:r>
      <w:r w:rsidR="005606A3">
        <w:rPr>
          <w:rFonts w:cs="Arial"/>
        </w:rPr>
        <w:t>, where</w:t>
      </w:r>
      <w:r w:rsidRPr="00806586">
        <w:rPr>
          <w:rFonts w:cs="Arial"/>
        </w:rPr>
        <w:t xml:space="preserve"> any relevant training and development needs are also identified.  </w:t>
      </w:r>
    </w:p>
    <w:p w14:paraId="4FEDA6AF" w14:textId="31F8ECF1" w:rsidR="005606A3" w:rsidRPr="005606A3" w:rsidRDefault="009106F3" w:rsidP="005606A3">
      <w:pPr>
        <w:spacing w:after="0"/>
        <w:ind w:left="720"/>
        <w:rPr>
          <w:b/>
          <w:bCs/>
        </w:rPr>
      </w:pPr>
      <w:r>
        <w:rPr>
          <w:b/>
          <w:bCs/>
        </w:rPr>
        <w:t xml:space="preserve">A wider understanding of </w:t>
      </w:r>
      <w:r w:rsidR="005606A3" w:rsidRPr="005606A3">
        <w:rPr>
          <w:b/>
          <w:bCs/>
        </w:rPr>
        <w:t xml:space="preserve">Menopause </w:t>
      </w:r>
    </w:p>
    <w:p w14:paraId="608CC8A5" w14:textId="6ABF8211" w:rsidR="00664890" w:rsidRPr="005606A3" w:rsidRDefault="00664890" w:rsidP="005606A3">
      <w:pPr>
        <w:ind w:left="720"/>
        <w:rPr>
          <w:i/>
          <w:iCs/>
        </w:rPr>
      </w:pPr>
      <w:r w:rsidRPr="005606A3">
        <w:rPr>
          <w:i/>
          <w:iCs/>
        </w:rPr>
        <w:t>NHS Hull Clinical Commissioning Group recognises that peri</w:t>
      </w:r>
      <w:r w:rsidR="00816C8C" w:rsidRPr="005606A3">
        <w:rPr>
          <w:i/>
          <w:iCs/>
        </w:rPr>
        <w:t>-</w:t>
      </w:r>
      <w:r w:rsidRPr="005606A3">
        <w:rPr>
          <w:i/>
          <w:iCs/>
        </w:rPr>
        <w:t>menopause and menopause have the potential to affect individuals in the workplace which may present a range of challenges. The CCG aims to remove the taboo surrounding menopause to ensure employees experiencing symptoms are supported at work. To do this the CCG is committed to ensuring that all employees are treated fairly and with dignity and respect and is taking a proactive stance by promoting a wider understanding of menopause to prevent discriminatory or exclusionary behaviour. Part of this work includes the implementation of a menopause policy, delivery of staff training and ongoing communication around menopause.</w:t>
      </w:r>
    </w:p>
    <w:p w14:paraId="25C4869A" w14:textId="6B205F9D" w:rsidR="00664890" w:rsidRPr="005606A3" w:rsidRDefault="00664890" w:rsidP="005606A3">
      <w:pPr>
        <w:ind w:left="720"/>
        <w:rPr>
          <w:i/>
          <w:iCs/>
        </w:rPr>
      </w:pPr>
      <w:r w:rsidRPr="005606A3">
        <w:rPr>
          <w:i/>
          <w:iCs/>
        </w:rPr>
        <w:t>It is hoped that these steps will help encourage more open conversations and aid in creating an environment where staff can openly raise any issues to get the right support at work and give managers the confidence to be able to support staff. The CCG is committed to continue to develop its support to colleagues in partnership with local organisations in the Humber, Coast and Vale area to achieve a menopause friendly accreditation.</w:t>
      </w:r>
    </w:p>
    <w:p w14:paraId="1F3C70E9" w14:textId="35CF757A" w:rsidR="00D220CD" w:rsidRPr="00D220CD" w:rsidRDefault="00D220CD" w:rsidP="00D220CD">
      <w:pPr>
        <w:pStyle w:val="Heading3"/>
        <w:rPr>
          <w:rFonts w:cs="Arial"/>
          <w:b w:val="0"/>
          <w:bCs w:val="0"/>
        </w:rPr>
      </w:pPr>
      <w:bookmarkStart w:id="156" w:name="_Toc449014861"/>
      <w:bookmarkStart w:id="157" w:name="_Toc449018439"/>
      <w:bookmarkStart w:id="158" w:name="_Toc41479113"/>
      <w:bookmarkStart w:id="159" w:name="_Toc103695065"/>
      <w:r w:rsidRPr="00D220CD">
        <w:rPr>
          <w:rStyle w:val="Heading3Char"/>
          <w:b/>
          <w:bCs/>
        </w:rPr>
        <w:t xml:space="preserve">Health and Safety performance </w:t>
      </w:r>
      <w:bookmarkEnd w:id="156"/>
      <w:bookmarkEnd w:id="157"/>
      <w:bookmarkEnd w:id="158"/>
      <w:r w:rsidR="00CC15FC">
        <w:rPr>
          <w:rStyle w:val="Heading3Char"/>
          <w:b/>
          <w:bCs/>
        </w:rPr>
        <w:t>2021-22</w:t>
      </w:r>
      <w:bookmarkEnd w:id="159"/>
      <w:r w:rsidRPr="00D220CD">
        <w:rPr>
          <w:rFonts w:cs="Arial"/>
          <w:b w:val="0"/>
          <w:bCs w:val="0"/>
        </w:rPr>
        <w:t xml:space="preserve"> </w:t>
      </w:r>
    </w:p>
    <w:p w14:paraId="718B7023" w14:textId="55384C04" w:rsidR="00360246" w:rsidRDefault="00360246" w:rsidP="00360246">
      <w:pPr>
        <w:rPr>
          <w:rFonts w:cs="Arial"/>
          <w:spacing w:val="-1"/>
        </w:rPr>
      </w:pPr>
      <w:bookmarkStart w:id="160" w:name="_Hlk100583918"/>
      <w:r>
        <w:rPr>
          <w:rFonts w:cs="Arial"/>
          <w:spacing w:val="-1"/>
        </w:rPr>
        <w:t xml:space="preserve">The resurgence of COVID-19 (Omicron) has continued to be a significant challenge to the organisation in terms of health and safety during the year, particularly with guidance changes that have significantly reduced the return to working face-to-face. </w:t>
      </w:r>
    </w:p>
    <w:p w14:paraId="0D59F5E4" w14:textId="7ED20F5F" w:rsidR="00360246" w:rsidRDefault="00360246" w:rsidP="00360246">
      <w:pPr>
        <w:rPr>
          <w:rFonts w:cs="Arial"/>
        </w:rPr>
      </w:pPr>
      <w:r>
        <w:rPr>
          <w:rFonts w:cs="Arial"/>
          <w:spacing w:val="-1"/>
        </w:rPr>
        <w:lastRenderedPageBreak/>
        <w:t xml:space="preserve">The CCG has </w:t>
      </w:r>
      <w:r>
        <w:rPr>
          <w:rFonts w:cs="Arial"/>
        </w:rPr>
        <w:t>co</w:t>
      </w:r>
      <w:r>
        <w:rPr>
          <w:rFonts w:cs="Arial"/>
          <w:spacing w:val="-1"/>
        </w:rPr>
        <w:t>n</w:t>
      </w:r>
      <w:r>
        <w:rPr>
          <w:rFonts w:cs="Arial"/>
          <w:spacing w:val="1"/>
        </w:rPr>
        <w:t>t</w:t>
      </w:r>
      <w:r>
        <w:rPr>
          <w:rFonts w:cs="Arial"/>
          <w:spacing w:val="-1"/>
        </w:rPr>
        <w:t>i</w:t>
      </w:r>
      <w:r>
        <w:rPr>
          <w:rFonts w:cs="Arial"/>
        </w:rPr>
        <w:t>n</w:t>
      </w:r>
      <w:r>
        <w:rPr>
          <w:rFonts w:cs="Arial"/>
          <w:spacing w:val="-1"/>
        </w:rPr>
        <w:t>u</w:t>
      </w:r>
      <w:r>
        <w:rPr>
          <w:rFonts w:cs="Arial"/>
          <w:spacing w:val="-3"/>
        </w:rPr>
        <w:t>e</w:t>
      </w:r>
      <w:r>
        <w:rPr>
          <w:rFonts w:cs="Arial"/>
        </w:rPr>
        <w:t>d</w:t>
      </w:r>
      <w:r>
        <w:rPr>
          <w:rFonts w:cs="Arial"/>
          <w:spacing w:val="1"/>
        </w:rPr>
        <w:t xml:space="preserve"> t</w:t>
      </w:r>
      <w:r>
        <w:rPr>
          <w:rFonts w:cs="Arial"/>
        </w:rPr>
        <w:t>o</w:t>
      </w:r>
      <w:r>
        <w:rPr>
          <w:rFonts w:cs="Arial"/>
          <w:spacing w:val="-4"/>
        </w:rPr>
        <w:t xml:space="preserve"> </w:t>
      </w:r>
      <w:r>
        <w:rPr>
          <w:rFonts w:cs="Arial"/>
          <w:spacing w:val="3"/>
        </w:rPr>
        <w:t>f</w:t>
      </w:r>
      <w:r>
        <w:rPr>
          <w:rFonts w:cs="Arial"/>
        </w:rPr>
        <w:t>o</w:t>
      </w:r>
      <w:r>
        <w:rPr>
          <w:rFonts w:cs="Arial"/>
          <w:spacing w:val="-3"/>
        </w:rPr>
        <w:t>s</w:t>
      </w:r>
      <w:r>
        <w:rPr>
          <w:rFonts w:cs="Arial"/>
          <w:spacing w:val="1"/>
        </w:rPr>
        <w:t>t</w:t>
      </w:r>
      <w:r>
        <w:rPr>
          <w:rFonts w:cs="Arial"/>
        </w:rPr>
        <w:t>er</w:t>
      </w:r>
      <w:r>
        <w:rPr>
          <w:rFonts w:cs="Arial"/>
          <w:spacing w:val="-1"/>
        </w:rPr>
        <w:t xml:space="preserve"> </w:t>
      </w:r>
      <w:r>
        <w:rPr>
          <w:rFonts w:cs="Arial"/>
        </w:rPr>
        <w:t>a</w:t>
      </w:r>
      <w:r>
        <w:rPr>
          <w:rFonts w:cs="Arial"/>
          <w:spacing w:val="-1"/>
        </w:rPr>
        <w:t>n</w:t>
      </w:r>
      <w:r>
        <w:rPr>
          <w:rFonts w:cs="Arial"/>
        </w:rPr>
        <w:t>d</w:t>
      </w:r>
      <w:r>
        <w:rPr>
          <w:rFonts w:cs="Arial"/>
          <w:spacing w:val="-2"/>
        </w:rPr>
        <w:t xml:space="preserve"> </w:t>
      </w:r>
      <w:r>
        <w:rPr>
          <w:rFonts w:cs="Arial"/>
        </w:rPr>
        <w:t>e</w:t>
      </w:r>
      <w:r>
        <w:rPr>
          <w:rFonts w:cs="Arial"/>
          <w:spacing w:val="-1"/>
        </w:rPr>
        <w:t>n</w:t>
      </w:r>
      <w:r>
        <w:rPr>
          <w:rFonts w:cs="Arial"/>
        </w:rPr>
        <w:t>co</w:t>
      </w:r>
      <w:r>
        <w:rPr>
          <w:rFonts w:cs="Arial"/>
          <w:spacing w:val="-1"/>
        </w:rPr>
        <w:t>u</w:t>
      </w:r>
      <w:r>
        <w:rPr>
          <w:rFonts w:cs="Arial"/>
          <w:spacing w:val="1"/>
        </w:rPr>
        <w:t>r</w:t>
      </w:r>
      <w:r>
        <w:rPr>
          <w:rFonts w:cs="Arial"/>
          <w:spacing w:val="-3"/>
        </w:rPr>
        <w:t>a</w:t>
      </w:r>
      <w:r>
        <w:rPr>
          <w:rFonts w:cs="Arial"/>
        </w:rPr>
        <w:t>ge a pos</w:t>
      </w:r>
      <w:r>
        <w:rPr>
          <w:rFonts w:cs="Arial"/>
          <w:spacing w:val="-1"/>
        </w:rPr>
        <w:t>i</w:t>
      </w:r>
      <w:r>
        <w:rPr>
          <w:rFonts w:cs="Arial"/>
          <w:spacing w:val="1"/>
        </w:rPr>
        <w:t>t</w:t>
      </w:r>
      <w:r>
        <w:rPr>
          <w:rFonts w:cs="Arial"/>
          <w:spacing w:val="-1"/>
        </w:rPr>
        <w:t>i</w:t>
      </w:r>
      <w:r>
        <w:rPr>
          <w:rFonts w:cs="Arial"/>
          <w:spacing w:val="-2"/>
        </w:rPr>
        <w:t>v</w:t>
      </w:r>
      <w:r>
        <w:rPr>
          <w:rFonts w:cs="Arial"/>
        </w:rPr>
        <w:t>e hea</w:t>
      </w:r>
      <w:r>
        <w:rPr>
          <w:rFonts w:cs="Arial"/>
          <w:spacing w:val="-2"/>
        </w:rPr>
        <w:t>l</w:t>
      </w:r>
      <w:r>
        <w:rPr>
          <w:rFonts w:cs="Arial"/>
          <w:spacing w:val="1"/>
        </w:rPr>
        <w:t>t</w:t>
      </w:r>
      <w:r>
        <w:rPr>
          <w:rFonts w:cs="Arial"/>
        </w:rPr>
        <w:t>h</w:t>
      </w:r>
      <w:r>
        <w:rPr>
          <w:rFonts w:cs="Arial"/>
          <w:spacing w:val="-2"/>
        </w:rPr>
        <w:t xml:space="preserve"> </w:t>
      </w:r>
      <w:r>
        <w:rPr>
          <w:rFonts w:cs="Arial"/>
        </w:rPr>
        <w:t>a</w:t>
      </w:r>
      <w:r>
        <w:rPr>
          <w:rFonts w:cs="Arial"/>
          <w:spacing w:val="-1"/>
        </w:rPr>
        <w:t>n</w:t>
      </w:r>
      <w:r>
        <w:rPr>
          <w:rFonts w:cs="Arial"/>
        </w:rPr>
        <w:t xml:space="preserve">d </w:t>
      </w:r>
      <w:r>
        <w:rPr>
          <w:rFonts w:cs="Arial"/>
          <w:spacing w:val="-2"/>
        </w:rPr>
        <w:t>s</w:t>
      </w:r>
      <w:r>
        <w:rPr>
          <w:rFonts w:cs="Arial"/>
          <w:spacing w:val="-3"/>
        </w:rPr>
        <w:t>a</w:t>
      </w:r>
      <w:r>
        <w:rPr>
          <w:rFonts w:cs="Arial"/>
          <w:spacing w:val="3"/>
        </w:rPr>
        <w:t>f</w:t>
      </w:r>
      <w:r>
        <w:rPr>
          <w:rFonts w:cs="Arial"/>
        </w:rPr>
        <w:t>ety</w:t>
      </w:r>
      <w:r>
        <w:rPr>
          <w:rFonts w:cs="Arial"/>
          <w:spacing w:val="-1"/>
        </w:rPr>
        <w:t xml:space="preserve"> </w:t>
      </w:r>
      <w:r>
        <w:rPr>
          <w:rFonts w:cs="Arial"/>
        </w:rPr>
        <w:t>cu</w:t>
      </w:r>
      <w:r>
        <w:rPr>
          <w:rFonts w:cs="Arial"/>
          <w:spacing w:val="-1"/>
        </w:rPr>
        <w:t>l</w:t>
      </w:r>
      <w:r>
        <w:rPr>
          <w:rFonts w:cs="Arial"/>
          <w:spacing w:val="1"/>
        </w:rPr>
        <w:t>t</w:t>
      </w:r>
      <w:r>
        <w:rPr>
          <w:rFonts w:cs="Arial"/>
          <w:spacing w:val="-3"/>
        </w:rPr>
        <w:t>u</w:t>
      </w:r>
      <w:r>
        <w:rPr>
          <w:rFonts w:cs="Arial"/>
          <w:spacing w:val="1"/>
        </w:rPr>
        <w:t>r</w:t>
      </w:r>
      <w:r>
        <w:rPr>
          <w:rFonts w:cs="Arial"/>
        </w:rPr>
        <w:t>e, particularly through systematic reviews of risk assessments relating to both the work environment and the individual needs of staff; and also through the introduction and implementation of the Agile Working Policy.</w:t>
      </w:r>
    </w:p>
    <w:p w14:paraId="4F3AD304" w14:textId="1E22C92F" w:rsidR="00360246" w:rsidRDefault="00360246" w:rsidP="00360246">
      <w:pPr>
        <w:rPr>
          <w:rFonts w:cs="Arial"/>
        </w:rPr>
      </w:pPr>
      <w:r>
        <w:rPr>
          <w:rFonts w:cs="Arial"/>
        </w:rPr>
        <w:t xml:space="preserve">The Health, Safety and Security Group has continued to meet </w:t>
      </w:r>
      <w:r w:rsidR="00C70EB2">
        <w:rPr>
          <w:rFonts w:cs="Arial"/>
        </w:rPr>
        <w:t xml:space="preserve">online </w:t>
      </w:r>
      <w:r>
        <w:rPr>
          <w:rFonts w:cs="Arial"/>
        </w:rPr>
        <w:t>quarterly to review health and safety performance and ensure that all relevant legal requirements are being met, including the arrangements and induction necessary for new starters.</w:t>
      </w:r>
    </w:p>
    <w:p w14:paraId="1EBE1A38" w14:textId="10E9BB56" w:rsidR="00360246" w:rsidRDefault="00360246" w:rsidP="00360246">
      <w:pPr>
        <w:rPr>
          <w:rFonts w:cs="Arial"/>
        </w:rPr>
      </w:pPr>
      <w:r>
        <w:rPr>
          <w:rFonts w:cs="Arial"/>
        </w:rPr>
        <w:t xml:space="preserve">Wherever possible, </w:t>
      </w:r>
      <w:r w:rsidR="004375DD">
        <w:rPr>
          <w:rFonts w:cs="Arial"/>
        </w:rPr>
        <w:t xml:space="preserve">CCG </w:t>
      </w:r>
      <w:r>
        <w:rPr>
          <w:rFonts w:cs="Arial"/>
        </w:rPr>
        <w:t>staff have larg</w:t>
      </w:r>
      <w:r w:rsidR="00F606D5">
        <w:rPr>
          <w:rFonts w:cs="Arial"/>
        </w:rPr>
        <w:t>e</w:t>
      </w:r>
      <w:r>
        <w:rPr>
          <w:rFonts w:cs="Arial"/>
        </w:rPr>
        <w:t xml:space="preserve">ly continued to work from home during the year and the organisation has ensured that appropriate risk assessments have been reviewed for each individual to ensure they can work safely, and have appropriate space and equipment, </w:t>
      </w:r>
      <w:r w:rsidR="004375DD">
        <w:rPr>
          <w:rFonts w:cs="Arial"/>
        </w:rPr>
        <w:t>both</w:t>
      </w:r>
      <w:r>
        <w:rPr>
          <w:rFonts w:cs="Arial"/>
        </w:rPr>
        <w:t xml:space="preserve"> at home or in </w:t>
      </w:r>
      <w:r w:rsidR="004375DD">
        <w:rPr>
          <w:rFonts w:cs="Arial"/>
        </w:rPr>
        <w:t xml:space="preserve">CCG </w:t>
      </w:r>
      <w:r>
        <w:rPr>
          <w:rFonts w:cs="Arial"/>
        </w:rPr>
        <w:t>premises. A COVID-</w:t>
      </w:r>
      <w:r w:rsidR="007A68FA">
        <w:rPr>
          <w:rFonts w:cs="Arial"/>
        </w:rPr>
        <w:t>s</w:t>
      </w:r>
      <w:r>
        <w:rPr>
          <w:rFonts w:cs="Arial"/>
        </w:rPr>
        <w:t>ecure risk assessment has been completed for the CCG offices at Wilberforce Court and minimal staffing has been maintained there, following all of the recommendations. Th</w:t>
      </w:r>
      <w:r w:rsidR="004375DD">
        <w:rPr>
          <w:rFonts w:cs="Arial"/>
        </w:rPr>
        <w:t>is</w:t>
      </w:r>
      <w:r>
        <w:rPr>
          <w:rFonts w:cs="Arial"/>
        </w:rPr>
        <w:t xml:space="preserve"> </w:t>
      </w:r>
      <w:r w:rsidR="004375DD">
        <w:rPr>
          <w:rFonts w:cs="Arial"/>
        </w:rPr>
        <w:t>r</w:t>
      </w:r>
      <w:r>
        <w:rPr>
          <w:rFonts w:cs="Arial"/>
        </w:rPr>
        <w:t xml:space="preserve">isk </w:t>
      </w:r>
      <w:r w:rsidR="004375DD">
        <w:rPr>
          <w:rFonts w:cs="Arial"/>
        </w:rPr>
        <w:t>a</w:t>
      </w:r>
      <w:r>
        <w:rPr>
          <w:rFonts w:cs="Arial"/>
        </w:rPr>
        <w:t>ssessment has been reviewed regularly in response to changes in guidance.</w:t>
      </w:r>
    </w:p>
    <w:p w14:paraId="792F26DE" w14:textId="1D1B7150" w:rsidR="00360246" w:rsidRPr="00D220CD" w:rsidRDefault="00360246" w:rsidP="00360246">
      <w:pPr>
        <w:rPr>
          <w:rFonts w:cs="Arial"/>
        </w:rPr>
      </w:pPr>
      <w:r>
        <w:rPr>
          <w:rFonts w:cs="Arial"/>
        </w:rPr>
        <w:t xml:space="preserve">Overall compliance for statutory and mandatory </w:t>
      </w:r>
      <w:r w:rsidR="004375DD">
        <w:rPr>
          <w:rFonts w:cs="Arial"/>
        </w:rPr>
        <w:t>h</w:t>
      </w:r>
      <w:r>
        <w:rPr>
          <w:rFonts w:cs="Arial"/>
        </w:rPr>
        <w:t xml:space="preserve">ealth </w:t>
      </w:r>
      <w:r w:rsidR="004375DD">
        <w:rPr>
          <w:rFonts w:cs="Arial"/>
        </w:rPr>
        <w:t>and</w:t>
      </w:r>
      <w:r>
        <w:rPr>
          <w:rFonts w:cs="Arial"/>
        </w:rPr>
        <w:t xml:space="preserve"> </w:t>
      </w:r>
      <w:r w:rsidR="004375DD">
        <w:rPr>
          <w:rFonts w:cs="Arial"/>
        </w:rPr>
        <w:t>s</w:t>
      </w:r>
      <w:r>
        <w:rPr>
          <w:rFonts w:cs="Arial"/>
        </w:rPr>
        <w:t xml:space="preserve">afety </w:t>
      </w:r>
      <w:r w:rsidR="004375DD">
        <w:rPr>
          <w:rFonts w:cs="Arial"/>
        </w:rPr>
        <w:t>t</w:t>
      </w:r>
      <w:r>
        <w:rPr>
          <w:rFonts w:cs="Arial"/>
        </w:rPr>
        <w:t>raining at 31 March 2022 was 81%</w:t>
      </w:r>
      <w:r w:rsidRPr="00747F3A">
        <w:rPr>
          <w:rFonts w:cs="Arial"/>
          <w:color w:val="FF0000"/>
        </w:rPr>
        <w:t xml:space="preserve"> </w:t>
      </w:r>
      <w:r>
        <w:rPr>
          <w:rFonts w:cs="Arial"/>
        </w:rPr>
        <w:t xml:space="preserve">against a target of 85%. </w:t>
      </w:r>
      <w:r>
        <w:rPr>
          <w:rFonts w:cs="Arial"/>
          <w:spacing w:val="-1"/>
        </w:rPr>
        <w:t>Al</w:t>
      </w:r>
      <w:r>
        <w:rPr>
          <w:rFonts w:cs="Arial"/>
        </w:rPr>
        <w:t xml:space="preserve">l </w:t>
      </w:r>
      <w:r>
        <w:rPr>
          <w:rFonts w:cs="Arial"/>
          <w:spacing w:val="1"/>
        </w:rPr>
        <w:t>r</w:t>
      </w:r>
      <w:r>
        <w:rPr>
          <w:rFonts w:cs="Arial"/>
          <w:spacing w:val="-1"/>
        </w:rPr>
        <w:t>i</w:t>
      </w:r>
      <w:r>
        <w:rPr>
          <w:rFonts w:cs="Arial"/>
          <w:spacing w:val="-2"/>
        </w:rPr>
        <w:t>s</w:t>
      </w:r>
      <w:r>
        <w:rPr>
          <w:rFonts w:cs="Arial"/>
        </w:rPr>
        <w:t>k</w:t>
      </w:r>
      <w:r>
        <w:rPr>
          <w:rFonts w:cs="Arial"/>
          <w:spacing w:val="3"/>
        </w:rPr>
        <w:t xml:space="preserve"> </w:t>
      </w:r>
      <w:r>
        <w:rPr>
          <w:rFonts w:cs="Arial"/>
        </w:rPr>
        <w:t>ass</w:t>
      </w:r>
      <w:r>
        <w:rPr>
          <w:rFonts w:cs="Arial"/>
          <w:spacing w:val="-3"/>
        </w:rPr>
        <w:t>e</w:t>
      </w:r>
      <w:r>
        <w:rPr>
          <w:rFonts w:cs="Arial"/>
        </w:rPr>
        <w:t>ss</w:t>
      </w:r>
      <w:r>
        <w:rPr>
          <w:rFonts w:cs="Arial"/>
          <w:spacing w:val="1"/>
        </w:rPr>
        <w:t>m</w:t>
      </w:r>
      <w:r>
        <w:rPr>
          <w:rFonts w:cs="Arial"/>
        </w:rPr>
        <w:t>e</w:t>
      </w:r>
      <w:r>
        <w:rPr>
          <w:rFonts w:cs="Arial"/>
          <w:spacing w:val="-3"/>
        </w:rPr>
        <w:t>n</w:t>
      </w:r>
      <w:r>
        <w:rPr>
          <w:rFonts w:cs="Arial"/>
          <w:spacing w:val="1"/>
        </w:rPr>
        <w:t>t</w:t>
      </w:r>
      <w:r>
        <w:rPr>
          <w:rFonts w:cs="Arial"/>
        </w:rPr>
        <w:t>s</w:t>
      </w:r>
      <w:r>
        <w:rPr>
          <w:rFonts w:cs="Arial"/>
          <w:spacing w:val="-2"/>
        </w:rPr>
        <w:t xml:space="preserve"> </w:t>
      </w:r>
      <w:r>
        <w:rPr>
          <w:rFonts w:cs="Arial"/>
          <w:spacing w:val="3"/>
        </w:rPr>
        <w:t>f</w:t>
      </w:r>
      <w:r>
        <w:rPr>
          <w:rFonts w:cs="Arial"/>
          <w:spacing w:val="-3"/>
        </w:rPr>
        <w:t>o</w:t>
      </w:r>
      <w:r>
        <w:rPr>
          <w:rFonts w:cs="Arial"/>
        </w:rPr>
        <w:t xml:space="preserve">r </w:t>
      </w:r>
      <w:r>
        <w:rPr>
          <w:rFonts w:cs="Arial"/>
          <w:spacing w:val="1"/>
        </w:rPr>
        <w:t>t</w:t>
      </w:r>
      <w:r>
        <w:rPr>
          <w:rFonts w:cs="Arial"/>
        </w:rPr>
        <w:t xml:space="preserve">he </w:t>
      </w:r>
      <w:r>
        <w:rPr>
          <w:rFonts w:cs="Arial"/>
          <w:spacing w:val="-3"/>
        </w:rPr>
        <w:t>o</w:t>
      </w:r>
      <w:r>
        <w:rPr>
          <w:rFonts w:cs="Arial"/>
          <w:spacing w:val="-2"/>
        </w:rPr>
        <w:t>r</w:t>
      </w:r>
      <w:r>
        <w:rPr>
          <w:rFonts w:cs="Arial"/>
          <w:spacing w:val="2"/>
        </w:rPr>
        <w:t>g</w:t>
      </w:r>
      <w:r>
        <w:rPr>
          <w:rFonts w:cs="Arial"/>
        </w:rPr>
        <w:t>a</w:t>
      </w:r>
      <w:r>
        <w:rPr>
          <w:rFonts w:cs="Arial"/>
          <w:spacing w:val="-1"/>
        </w:rPr>
        <w:t>ni</w:t>
      </w:r>
      <w:r>
        <w:rPr>
          <w:rFonts w:cs="Arial"/>
        </w:rPr>
        <w:t>sati</w:t>
      </w:r>
      <w:r>
        <w:rPr>
          <w:rFonts w:cs="Arial"/>
          <w:spacing w:val="-1"/>
        </w:rPr>
        <w:t>o</w:t>
      </w:r>
      <w:r>
        <w:rPr>
          <w:rFonts w:cs="Arial"/>
        </w:rPr>
        <w:t>n</w:t>
      </w:r>
      <w:r>
        <w:rPr>
          <w:rFonts w:cs="Arial"/>
          <w:spacing w:val="2"/>
        </w:rPr>
        <w:t xml:space="preserve"> </w:t>
      </w:r>
      <w:r>
        <w:rPr>
          <w:rFonts w:cs="Arial"/>
        </w:rPr>
        <w:t>s</w:t>
      </w:r>
      <w:r>
        <w:rPr>
          <w:rFonts w:cs="Arial"/>
          <w:spacing w:val="-3"/>
        </w:rPr>
        <w:t>u</w:t>
      </w:r>
      <w:r>
        <w:rPr>
          <w:rFonts w:cs="Arial"/>
        </w:rPr>
        <w:t>ch as</w:t>
      </w:r>
      <w:r>
        <w:rPr>
          <w:rFonts w:cs="Arial"/>
          <w:spacing w:val="-3"/>
        </w:rPr>
        <w:t xml:space="preserve"> </w:t>
      </w:r>
      <w:r>
        <w:rPr>
          <w:rFonts w:cs="Arial"/>
          <w:spacing w:val="-1"/>
        </w:rPr>
        <w:t>C</w:t>
      </w:r>
      <w:r>
        <w:rPr>
          <w:rFonts w:cs="Arial"/>
          <w:spacing w:val="1"/>
        </w:rPr>
        <w:t>O</w:t>
      </w:r>
      <w:r>
        <w:rPr>
          <w:rFonts w:cs="Arial"/>
          <w:spacing w:val="-1"/>
        </w:rPr>
        <w:t>SHH</w:t>
      </w:r>
      <w:r>
        <w:rPr>
          <w:rFonts w:cs="Arial"/>
        </w:rPr>
        <w:t xml:space="preserve">, </w:t>
      </w:r>
      <w:r w:rsidR="004375DD">
        <w:rPr>
          <w:rFonts w:cs="Arial"/>
          <w:spacing w:val="-4"/>
        </w:rPr>
        <w:t>m</w:t>
      </w:r>
      <w:r>
        <w:rPr>
          <w:rFonts w:cs="Arial"/>
        </w:rPr>
        <w:t>a</w:t>
      </w:r>
      <w:r>
        <w:rPr>
          <w:rFonts w:cs="Arial"/>
          <w:spacing w:val="-1"/>
        </w:rPr>
        <w:t>n</w:t>
      </w:r>
      <w:r>
        <w:rPr>
          <w:rFonts w:cs="Arial"/>
        </w:rPr>
        <w:t>u</w:t>
      </w:r>
      <w:r>
        <w:rPr>
          <w:rFonts w:cs="Arial"/>
          <w:spacing w:val="2"/>
        </w:rPr>
        <w:t>a</w:t>
      </w:r>
      <w:r>
        <w:rPr>
          <w:rFonts w:cs="Arial"/>
        </w:rPr>
        <w:t xml:space="preserve">l </w:t>
      </w:r>
      <w:r w:rsidR="004375DD">
        <w:rPr>
          <w:rFonts w:cs="Arial"/>
          <w:spacing w:val="-1"/>
        </w:rPr>
        <w:t>h</w:t>
      </w:r>
      <w:r>
        <w:rPr>
          <w:rFonts w:cs="Arial"/>
        </w:rPr>
        <w:t>a</w:t>
      </w:r>
      <w:r>
        <w:rPr>
          <w:rFonts w:cs="Arial"/>
          <w:spacing w:val="-1"/>
        </w:rPr>
        <w:t>n</w:t>
      </w:r>
      <w:r>
        <w:rPr>
          <w:rFonts w:cs="Arial"/>
        </w:rPr>
        <w:t>d</w:t>
      </w:r>
      <w:r>
        <w:rPr>
          <w:rFonts w:cs="Arial"/>
          <w:spacing w:val="-1"/>
        </w:rPr>
        <w:t>li</w:t>
      </w:r>
      <w:r>
        <w:rPr>
          <w:rFonts w:cs="Arial"/>
        </w:rPr>
        <w:t>ng</w:t>
      </w:r>
      <w:r>
        <w:rPr>
          <w:rFonts w:cs="Arial"/>
          <w:spacing w:val="3"/>
        </w:rPr>
        <w:t xml:space="preserve"> </w:t>
      </w:r>
      <w:r>
        <w:rPr>
          <w:rFonts w:cs="Arial"/>
        </w:rPr>
        <w:t>a</w:t>
      </w:r>
      <w:r>
        <w:rPr>
          <w:rFonts w:cs="Arial"/>
          <w:spacing w:val="-1"/>
        </w:rPr>
        <w:t>n</w:t>
      </w:r>
      <w:r>
        <w:rPr>
          <w:rFonts w:cs="Arial"/>
        </w:rPr>
        <w:t xml:space="preserve">d </w:t>
      </w:r>
      <w:r w:rsidR="004375DD">
        <w:rPr>
          <w:rFonts w:cs="Arial"/>
        </w:rPr>
        <w:t>f</w:t>
      </w:r>
      <w:r>
        <w:rPr>
          <w:rFonts w:cs="Arial"/>
          <w:spacing w:val="-1"/>
        </w:rPr>
        <w:t>i</w:t>
      </w:r>
      <w:r>
        <w:rPr>
          <w:rFonts w:cs="Arial"/>
          <w:spacing w:val="-2"/>
        </w:rPr>
        <w:t>r</w:t>
      </w:r>
      <w:r>
        <w:rPr>
          <w:rFonts w:cs="Arial"/>
        </w:rPr>
        <w:t>e a</w:t>
      </w:r>
      <w:r>
        <w:rPr>
          <w:rFonts w:cs="Arial"/>
          <w:spacing w:val="1"/>
        </w:rPr>
        <w:t>r</w:t>
      </w:r>
      <w:r>
        <w:rPr>
          <w:rFonts w:cs="Arial"/>
        </w:rPr>
        <w:t>e</w:t>
      </w:r>
      <w:r>
        <w:rPr>
          <w:rFonts w:cs="Arial"/>
          <w:spacing w:val="-2"/>
        </w:rPr>
        <w:t xml:space="preserve"> </w:t>
      </w:r>
      <w:r>
        <w:rPr>
          <w:rFonts w:cs="Arial"/>
        </w:rPr>
        <w:t>up</w:t>
      </w:r>
      <w:r>
        <w:rPr>
          <w:rFonts w:cs="Arial"/>
          <w:spacing w:val="-2"/>
        </w:rPr>
        <w:t xml:space="preserve"> </w:t>
      </w:r>
      <w:r>
        <w:rPr>
          <w:rFonts w:cs="Arial"/>
          <w:spacing w:val="1"/>
        </w:rPr>
        <w:t>t</w:t>
      </w:r>
      <w:r>
        <w:rPr>
          <w:rFonts w:cs="Arial"/>
        </w:rPr>
        <w:t>o d</w:t>
      </w:r>
      <w:r>
        <w:rPr>
          <w:rFonts w:cs="Arial"/>
          <w:spacing w:val="-2"/>
        </w:rPr>
        <w:t>a</w:t>
      </w:r>
      <w:r>
        <w:rPr>
          <w:rFonts w:cs="Arial"/>
          <w:spacing w:val="1"/>
        </w:rPr>
        <w:t>t</w:t>
      </w:r>
      <w:r>
        <w:rPr>
          <w:rFonts w:cs="Arial"/>
        </w:rPr>
        <w:t>e and</w:t>
      </w:r>
      <w:r>
        <w:rPr>
          <w:rFonts w:cs="Arial"/>
          <w:spacing w:val="-2"/>
        </w:rPr>
        <w:t xml:space="preserve"> </w:t>
      </w:r>
      <w:r>
        <w:rPr>
          <w:rFonts w:cs="Arial"/>
        </w:rPr>
        <w:t>a</w:t>
      </w:r>
      <w:r>
        <w:rPr>
          <w:rFonts w:cs="Arial"/>
          <w:spacing w:val="-1"/>
        </w:rPr>
        <w:t>l</w:t>
      </w:r>
      <w:r>
        <w:rPr>
          <w:rFonts w:cs="Arial"/>
        </w:rPr>
        <w:t xml:space="preserve">l </w:t>
      </w:r>
      <w:r>
        <w:rPr>
          <w:rFonts w:cs="Arial"/>
          <w:spacing w:val="-3"/>
        </w:rPr>
        <w:t>a</w:t>
      </w:r>
      <w:r>
        <w:rPr>
          <w:rFonts w:cs="Arial"/>
        </w:rPr>
        <w:t>p</w:t>
      </w:r>
      <w:r>
        <w:rPr>
          <w:rFonts w:cs="Arial"/>
          <w:spacing w:val="-1"/>
        </w:rPr>
        <w:t>p</w:t>
      </w:r>
      <w:r>
        <w:rPr>
          <w:rFonts w:cs="Arial"/>
          <w:spacing w:val="1"/>
        </w:rPr>
        <w:t>r</w:t>
      </w:r>
      <w:r>
        <w:rPr>
          <w:rFonts w:cs="Arial"/>
        </w:rPr>
        <w:t>o</w:t>
      </w:r>
      <w:r>
        <w:rPr>
          <w:rFonts w:cs="Arial"/>
          <w:spacing w:val="-1"/>
        </w:rPr>
        <w:t>p</w:t>
      </w:r>
      <w:r>
        <w:rPr>
          <w:rFonts w:cs="Arial"/>
          <w:spacing w:val="1"/>
        </w:rPr>
        <w:t>r</w:t>
      </w:r>
      <w:r>
        <w:rPr>
          <w:rFonts w:cs="Arial"/>
          <w:spacing w:val="-1"/>
        </w:rPr>
        <w:t>i</w:t>
      </w:r>
      <w:r>
        <w:rPr>
          <w:rFonts w:cs="Arial"/>
        </w:rPr>
        <w:t>ate</w:t>
      </w:r>
      <w:r>
        <w:rPr>
          <w:rFonts w:cs="Arial"/>
          <w:spacing w:val="-1"/>
        </w:rPr>
        <w:t xml:space="preserve"> </w:t>
      </w:r>
      <w:r>
        <w:rPr>
          <w:rFonts w:cs="Arial"/>
        </w:rPr>
        <w:t>co</w:t>
      </w:r>
      <w:r>
        <w:rPr>
          <w:rFonts w:cs="Arial"/>
          <w:spacing w:val="-1"/>
        </w:rPr>
        <w:t>nt</w:t>
      </w:r>
      <w:r>
        <w:rPr>
          <w:rFonts w:cs="Arial"/>
          <w:spacing w:val="1"/>
        </w:rPr>
        <w:t>r</w:t>
      </w:r>
      <w:r>
        <w:rPr>
          <w:rFonts w:cs="Arial"/>
        </w:rPr>
        <w:t>ol</w:t>
      </w:r>
      <w:r>
        <w:rPr>
          <w:rFonts w:cs="Arial"/>
          <w:spacing w:val="-2"/>
        </w:rPr>
        <w:t xml:space="preserve"> </w:t>
      </w:r>
      <w:r>
        <w:rPr>
          <w:rFonts w:cs="Arial"/>
          <w:spacing w:val="1"/>
        </w:rPr>
        <w:t>m</w:t>
      </w:r>
      <w:r>
        <w:rPr>
          <w:rFonts w:cs="Arial"/>
        </w:rPr>
        <w:t>e</w:t>
      </w:r>
      <w:r>
        <w:rPr>
          <w:rFonts w:cs="Arial"/>
          <w:spacing w:val="-1"/>
        </w:rPr>
        <w:t>a</w:t>
      </w:r>
      <w:r>
        <w:rPr>
          <w:rFonts w:cs="Arial"/>
        </w:rPr>
        <w:t>s</w:t>
      </w:r>
      <w:r>
        <w:rPr>
          <w:rFonts w:cs="Arial"/>
          <w:spacing w:val="-3"/>
        </w:rPr>
        <w:t>u</w:t>
      </w:r>
      <w:r>
        <w:rPr>
          <w:rFonts w:cs="Arial"/>
          <w:spacing w:val="1"/>
        </w:rPr>
        <w:t>r</w:t>
      </w:r>
      <w:r>
        <w:rPr>
          <w:rFonts w:cs="Arial"/>
        </w:rPr>
        <w:t xml:space="preserve">es </w:t>
      </w:r>
      <w:r>
        <w:rPr>
          <w:rFonts w:cs="Arial"/>
          <w:spacing w:val="-2"/>
        </w:rPr>
        <w:t>a</w:t>
      </w:r>
      <w:r>
        <w:rPr>
          <w:rFonts w:cs="Arial"/>
          <w:spacing w:val="1"/>
        </w:rPr>
        <w:t>r</w:t>
      </w:r>
      <w:r>
        <w:rPr>
          <w:rFonts w:cs="Arial"/>
        </w:rPr>
        <w:t>e in p</w:t>
      </w:r>
      <w:r>
        <w:rPr>
          <w:rFonts w:cs="Arial"/>
          <w:spacing w:val="-1"/>
        </w:rPr>
        <w:t>l</w:t>
      </w:r>
      <w:r>
        <w:rPr>
          <w:rFonts w:cs="Arial"/>
        </w:rPr>
        <w:t>ac</w:t>
      </w:r>
      <w:r>
        <w:rPr>
          <w:rFonts w:cs="Arial"/>
          <w:spacing w:val="-1"/>
        </w:rPr>
        <w:t>e</w:t>
      </w:r>
      <w:r>
        <w:rPr>
          <w:rFonts w:cs="Arial"/>
        </w:rPr>
        <w:t xml:space="preserve">. </w:t>
      </w:r>
      <w:r>
        <w:rPr>
          <w:rFonts w:cs="Arial"/>
          <w:spacing w:val="2"/>
        </w:rPr>
        <w:t xml:space="preserve">There were no reported </w:t>
      </w:r>
      <w:r w:rsidR="004375DD">
        <w:rPr>
          <w:rFonts w:cs="Arial"/>
          <w:spacing w:val="2"/>
        </w:rPr>
        <w:t>h</w:t>
      </w:r>
      <w:r>
        <w:rPr>
          <w:rFonts w:cs="Arial"/>
          <w:spacing w:val="2"/>
        </w:rPr>
        <w:t xml:space="preserve">ealth and </w:t>
      </w:r>
      <w:r w:rsidR="004375DD">
        <w:rPr>
          <w:rFonts w:cs="Arial"/>
          <w:spacing w:val="2"/>
        </w:rPr>
        <w:t>s</w:t>
      </w:r>
      <w:r>
        <w:rPr>
          <w:rFonts w:cs="Arial"/>
          <w:spacing w:val="2"/>
        </w:rPr>
        <w:t>afety incidents within the organisation in 2021-2</w:t>
      </w:r>
      <w:r w:rsidR="004375DD">
        <w:rPr>
          <w:rFonts w:cs="Arial"/>
          <w:spacing w:val="2"/>
        </w:rPr>
        <w:t>2</w:t>
      </w:r>
      <w:r>
        <w:rPr>
          <w:rFonts w:cs="Arial"/>
          <w:spacing w:val="2"/>
        </w:rPr>
        <w:t xml:space="preserve">. </w:t>
      </w:r>
    </w:p>
    <w:p w14:paraId="40AAAC45" w14:textId="34593327" w:rsidR="008B3020" w:rsidRPr="00A558A4" w:rsidRDefault="008B3020" w:rsidP="00B66DE2">
      <w:pPr>
        <w:pStyle w:val="Heading3"/>
        <w:rPr>
          <w:rFonts w:cs="Arial"/>
          <w:sz w:val="22"/>
        </w:rPr>
      </w:pPr>
      <w:bookmarkStart w:id="161" w:name="_Toc103695066"/>
      <w:r w:rsidRPr="00021A18">
        <w:t>Staff consultation</w:t>
      </w:r>
      <w:bookmarkEnd w:id="161"/>
      <w:r w:rsidRPr="00A558A4">
        <w:rPr>
          <w:rFonts w:cs="Arial"/>
          <w:sz w:val="22"/>
        </w:rPr>
        <w:t xml:space="preserve"> </w:t>
      </w:r>
    </w:p>
    <w:bookmarkEnd w:id="160"/>
    <w:p w14:paraId="0248B91E" w14:textId="5EA1FEC6" w:rsidR="0086532A" w:rsidRPr="00806586" w:rsidRDefault="0086532A" w:rsidP="0086532A">
      <w:pPr>
        <w:rPr>
          <w:rFonts w:cs="Arial"/>
        </w:rPr>
      </w:pPr>
      <w:r w:rsidRPr="00806586">
        <w:rPr>
          <w:rFonts w:cs="Arial"/>
          <w:spacing w:val="-1"/>
        </w:rPr>
        <w:t>R</w:t>
      </w:r>
      <w:r w:rsidRPr="00806586">
        <w:rPr>
          <w:rFonts w:cs="Arial"/>
        </w:rPr>
        <w:t>ec</w:t>
      </w:r>
      <w:r w:rsidRPr="00806586">
        <w:rPr>
          <w:rFonts w:cs="Arial"/>
          <w:spacing w:val="-1"/>
        </w:rPr>
        <w:t>o</w:t>
      </w:r>
      <w:r w:rsidRPr="00806586">
        <w:rPr>
          <w:rFonts w:cs="Arial"/>
          <w:spacing w:val="2"/>
        </w:rPr>
        <w:t>g</w:t>
      </w:r>
      <w:r w:rsidRPr="00806586">
        <w:rPr>
          <w:rFonts w:cs="Arial"/>
        </w:rPr>
        <w:t>n</w:t>
      </w:r>
      <w:r w:rsidRPr="00806586">
        <w:rPr>
          <w:rFonts w:cs="Arial"/>
          <w:spacing w:val="-1"/>
        </w:rPr>
        <w:t>i</w:t>
      </w:r>
      <w:r w:rsidRPr="00806586">
        <w:rPr>
          <w:rFonts w:cs="Arial"/>
        </w:rPr>
        <w:t>s</w:t>
      </w:r>
      <w:r w:rsidRPr="00806586">
        <w:rPr>
          <w:rFonts w:cs="Arial"/>
          <w:spacing w:val="-1"/>
        </w:rPr>
        <w:t>i</w:t>
      </w:r>
      <w:r w:rsidRPr="00806586">
        <w:rPr>
          <w:rFonts w:cs="Arial"/>
        </w:rPr>
        <w:t>ng</w:t>
      </w:r>
      <w:r w:rsidRPr="00806586">
        <w:rPr>
          <w:rFonts w:cs="Arial"/>
          <w:spacing w:val="-2"/>
        </w:rPr>
        <w:t xml:space="preserve"> </w:t>
      </w:r>
      <w:r w:rsidRPr="00806586">
        <w:rPr>
          <w:rFonts w:cs="Arial"/>
          <w:spacing w:val="1"/>
        </w:rPr>
        <w:t>t</w:t>
      </w:r>
      <w:r w:rsidRPr="00806586">
        <w:rPr>
          <w:rFonts w:cs="Arial"/>
        </w:rPr>
        <w:t>he b</w:t>
      </w:r>
      <w:r w:rsidRPr="00806586">
        <w:rPr>
          <w:rFonts w:cs="Arial"/>
          <w:spacing w:val="-1"/>
        </w:rPr>
        <w:t>e</w:t>
      </w:r>
      <w:r w:rsidRPr="00806586">
        <w:rPr>
          <w:rFonts w:cs="Arial"/>
        </w:rPr>
        <w:t>n</w:t>
      </w:r>
      <w:r w:rsidRPr="00806586">
        <w:rPr>
          <w:rFonts w:cs="Arial"/>
          <w:spacing w:val="-3"/>
        </w:rPr>
        <w:t>e</w:t>
      </w:r>
      <w:r w:rsidRPr="00806586">
        <w:rPr>
          <w:rFonts w:cs="Arial"/>
          <w:spacing w:val="3"/>
        </w:rPr>
        <w:t>f</w:t>
      </w:r>
      <w:r w:rsidRPr="00806586">
        <w:rPr>
          <w:rFonts w:cs="Arial"/>
          <w:spacing w:val="-3"/>
        </w:rPr>
        <w:t>i</w:t>
      </w:r>
      <w:r w:rsidRPr="00806586">
        <w:rPr>
          <w:rFonts w:cs="Arial"/>
          <w:spacing w:val="1"/>
        </w:rPr>
        <w:t>t</w:t>
      </w:r>
      <w:r w:rsidRPr="00806586">
        <w:rPr>
          <w:rFonts w:cs="Arial"/>
        </w:rPr>
        <w:t>s</w:t>
      </w:r>
      <w:r w:rsidRPr="00806586">
        <w:rPr>
          <w:rFonts w:cs="Arial"/>
          <w:spacing w:val="-1"/>
        </w:rPr>
        <w:t xml:space="preserve"> </w:t>
      </w:r>
      <w:r w:rsidRPr="00806586">
        <w:rPr>
          <w:rFonts w:cs="Arial"/>
          <w:spacing w:val="-3"/>
        </w:rPr>
        <w:t>o</w:t>
      </w:r>
      <w:r w:rsidRPr="00806586">
        <w:rPr>
          <w:rFonts w:cs="Arial"/>
        </w:rPr>
        <w:t>f</w:t>
      </w:r>
      <w:r w:rsidRPr="00806586">
        <w:rPr>
          <w:rFonts w:cs="Arial"/>
          <w:spacing w:val="2"/>
        </w:rPr>
        <w:t xml:space="preserve"> </w:t>
      </w:r>
      <w:r w:rsidRPr="00806586">
        <w:rPr>
          <w:rFonts w:cs="Arial"/>
        </w:rPr>
        <w:t>p</w:t>
      </w:r>
      <w:r w:rsidRPr="00806586">
        <w:rPr>
          <w:rFonts w:cs="Arial"/>
          <w:spacing w:val="-1"/>
        </w:rPr>
        <w:t>a</w:t>
      </w:r>
      <w:r w:rsidRPr="00806586">
        <w:rPr>
          <w:rFonts w:cs="Arial"/>
          <w:spacing w:val="-2"/>
        </w:rPr>
        <w:t>r</w:t>
      </w:r>
      <w:r w:rsidRPr="00806586">
        <w:rPr>
          <w:rFonts w:cs="Arial"/>
          <w:spacing w:val="1"/>
        </w:rPr>
        <w:t>t</w:t>
      </w:r>
      <w:r w:rsidRPr="00806586">
        <w:rPr>
          <w:rFonts w:cs="Arial"/>
        </w:rPr>
        <w:t>n</w:t>
      </w:r>
      <w:r w:rsidRPr="00806586">
        <w:rPr>
          <w:rFonts w:cs="Arial"/>
          <w:spacing w:val="-1"/>
        </w:rPr>
        <w:t>e</w:t>
      </w:r>
      <w:r w:rsidRPr="00806586">
        <w:rPr>
          <w:rFonts w:cs="Arial"/>
          <w:spacing w:val="1"/>
        </w:rPr>
        <w:t>r</w:t>
      </w:r>
      <w:r w:rsidRPr="00806586">
        <w:rPr>
          <w:rFonts w:cs="Arial"/>
        </w:rPr>
        <w:t>sh</w:t>
      </w:r>
      <w:r w:rsidRPr="00806586">
        <w:rPr>
          <w:rFonts w:cs="Arial"/>
          <w:spacing w:val="-1"/>
        </w:rPr>
        <w:t>i</w:t>
      </w:r>
      <w:r w:rsidRPr="00806586">
        <w:rPr>
          <w:rFonts w:cs="Arial"/>
        </w:rPr>
        <w:t xml:space="preserve">p </w:t>
      </w:r>
      <w:r w:rsidRPr="00806586">
        <w:rPr>
          <w:rFonts w:cs="Arial"/>
          <w:spacing w:val="-3"/>
        </w:rPr>
        <w:t>w</w:t>
      </w:r>
      <w:r w:rsidRPr="00806586">
        <w:rPr>
          <w:rFonts w:cs="Arial"/>
        </w:rPr>
        <w:t>o</w:t>
      </w:r>
      <w:r w:rsidRPr="00806586">
        <w:rPr>
          <w:rFonts w:cs="Arial"/>
          <w:spacing w:val="-2"/>
        </w:rPr>
        <w:t>r</w:t>
      </w:r>
      <w:r w:rsidRPr="00806586">
        <w:rPr>
          <w:rFonts w:cs="Arial"/>
          <w:spacing w:val="2"/>
        </w:rPr>
        <w:t>k</w:t>
      </w:r>
      <w:r w:rsidRPr="00806586">
        <w:rPr>
          <w:rFonts w:cs="Arial"/>
          <w:spacing w:val="-1"/>
        </w:rPr>
        <w:t>i</w:t>
      </w:r>
      <w:r w:rsidRPr="00806586">
        <w:rPr>
          <w:rFonts w:cs="Arial"/>
          <w:spacing w:val="-3"/>
        </w:rPr>
        <w:t>n</w:t>
      </w:r>
      <w:r w:rsidRPr="00806586">
        <w:rPr>
          <w:rFonts w:cs="Arial"/>
          <w:spacing w:val="2"/>
        </w:rPr>
        <w:t>g</w:t>
      </w:r>
      <w:r w:rsidRPr="00806586">
        <w:rPr>
          <w:rFonts w:cs="Arial"/>
        </w:rPr>
        <w:t>,</w:t>
      </w:r>
      <w:r w:rsidRPr="00806586">
        <w:rPr>
          <w:rFonts w:cs="Arial"/>
          <w:spacing w:val="-2"/>
        </w:rPr>
        <w:t xml:space="preserve"> </w:t>
      </w:r>
      <w:r w:rsidRPr="00806586">
        <w:rPr>
          <w:rFonts w:cs="Arial"/>
          <w:spacing w:val="-1"/>
        </w:rPr>
        <w:t>NHS Hull</w:t>
      </w:r>
      <w:r w:rsidRPr="00806586">
        <w:rPr>
          <w:rFonts w:cs="Arial"/>
        </w:rPr>
        <w:t xml:space="preserve"> </w:t>
      </w:r>
      <w:r w:rsidRPr="00806586">
        <w:rPr>
          <w:rFonts w:cs="Arial"/>
          <w:spacing w:val="-1"/>
        </w:rPr>
        <w:t>CC</w:t>
      </w:r>
      <w:r w:rsidRPr="00806586">
        <w:rPr>
          <w:rFonts w:cs="Arial"/>
        </w:rPr>
        <w:t>G</w:t>
      </w:r>
      <w:r w:rsidRPr="00806586">
        <w:rPr>
          <w:rFonts w:cs="Arial"/>
          <w:spacing w:val="2"/>
        </w:rPr>
        <w:t xml:space="preserve"> </w:t>
      </w:r>
      <w:r w:rsidRPr="00806586">
        <w:rPr>
          <w:rFonts w:cs="Arial"/>
          <w:spacing w:val="-1"/>
        </w:rPr>
        <w:t xml:space="preserve">is </w:t>
      </w:r>
      <w:r w:rsidRPr="00806586">
        <w:rPr>
          <w:rFonts w:cs="Arial"/>
        </w:rPr>
        <w:t>an a</w:t>
      </w:r>
      <w:r w:rsidRPr="00806586">
        <w:rPr>
          <w:rFonts w:cs="Arial"/>
          <w:spacing w:val="-3"/>
        </w:rPr>
        <w:t>c</w:t>
      </w:r>
      <w:r w:rsidRPr="00806586">
        <w:rPr>
          <w:rFonts w:cs="Arial"/>
          <w:spacing w:val="1"/>
        </w:rPr>
        <w:t>t</w:t>
      </w:r>
      <w:r w:rsidRPr="00806586">
        <w:rPr>
          <w:rFonts w:cs="Arial"/>
          <w:spacing w:val="-1"/>
        </w:rPr>
        <w:t>i</w:t>
      </w:r>
      <w:r w:rsidRPr="00806586">
        <w:rPr>
          <w:rFonts w:cs="Arial"/>
          <w:spacing w:val="-2"/>
        </w:rPr>
        <w:t>v</w:t>
      </w:r>
      <w:r w:rsidRPr="00806586">
        <w:rPr>
          <w:rFonts w:cs="Arial"/>
        </w:rPr>
        <w:t xml:space="preserve">e </w:t>
      </w:r>
      <w:r w:rsidRPr="00806586">
        <w:rPr>
          <w:rFonts w:cs="Arial"/>
          <w:spacing w:val="-1"/>
        </w:rPr>
        <w:t>m</w:t>
      </w:r>
      <w:r w:rsidRPr="00806586">
        <w:rPr>
          <w:rFonts w:cs="Arial"/>
        </w:rPr>
        <w:t>ember</w:t>
      </w:r>
      <w:r w:rsidRPr="00806586">
        <w:rPr>
          <w:rFonts w:cs="Arial"/>
          <w:spacing w:val="-1"/>
        </w:rPr>
        <w:t xml:space="preserve"> </w:t>
      </w:r>
      <w:r w:rsidRPr="00806586">
        <w:rPr>
          <w:rFonts w:cs="Arial"/>
          <w:spacing w:val="-3"/>
        </w:rPr>
        <w:t>o</w:t>
      </w:r>
      <w:r w:rsidRPr="00806586">
        <w:rPr>
          <w:rFonts w:cs="Arial"/>
        </w:rPr>
        <w:t>f</w:t>
      </w:r>
      <w:r w:rsidRPr="00806586">
        <w:rPr>
          <w:rFonts w:cs="Arial"/>
          <w:spacing w:val="2"/>
        </w:rPr>
        <w:t xml:space="preserve"> </w:t>
      </w:r>
      <w:r w:rsidRPr="00806586">
        <w:rPr>
          <w:rFonts w:cs="Arial"/>
          <w:spacing w:val="1"/>
        </w:rPr>
        <w:t>t</w:t>
      </w:r>
      <w:r w:rsidRPr="00806586">
        <w:rPr>
          <w:rFonts w:cs="Arial"/>
        </w:rPr>
        <w:t>he</w:t>
      </w:r>
      <w:r w:rsidRPr="00806586">
        <w:rPr>
          <w:rFonts w:cs="Arial"/>
          <w:spacing w:val="-2"/>
        </w:rPr>
        <w:t xml:space="preserve"> </w:t>
      </w:r>
      <w:r w:rsidRPr="00806586">
        <w:rPr>
          <w:rFonts w:cs="Arial"/>
        </w:rPr>
        <w:t>Humber, North Yorkshire and Vale of York CCGs</w:t>
      </w:r>
      <w:r w:rsidR="007A68FA">
        <w:rPr>
          <w:rFonts w:cs="Arial"/>
        </w:rPr>
        <w:t>’</w:t>
      </w:r>
      <w:r w:rsidRPr="00806586">
        <w:rPr>
          <w:rFonts w:cs="Arial"/>
        </w:rPr>
        <w:t xml:space="preserve"> Joint Social Partnership Forum</w:t>
      </w:r>
      <w:r w:rsidRPr="00806586">
        <w:rPr>
          <w:rFonts w:cs="Arial"/>
          <w:spacing w:val="2"/>
        </w:rPr>
        <w:t xml:space="preserve"> </w:t>
      </w:r>
      <w:r w:rsidR="003B09AB">
        <w:rPr>
          <w:rFonts w:cs="Arial"/>
          <w:spacing w:val="2"/>
        </w:rPr>
        <w:t xml:space="preserve">(SPF) </w:t>
      </w:r>
      <w:r w:rsidRPr="00806586">
        <w:rPr>
          <w:rFonts w:cs="Arial"/>
          <w:spacing w:val="-3"/>
        </w:rPr>
        <w:t xml:space="preserve">which is </w:t>
      </w:r>
      <w:r w:rsidRPr="00806586">
        <w:rPr>
          <w:rFonts w:cs="Arial"/>
        </w:rPr>
        <w:t xml:space="preserve">organised by the Human Resources Team.  The forum works across the six Humber and North Yorkshire CCGs: Hull, East Riding of Yorkshire, North Lincolnshire, North East Lincolnshire, North Yorkshire and Vale of York. </w:t>
      </w:r>
    </w:p>
    <w:p w14:paraId="4C384D04" w14:textId="378CC49A" w:rsidR="002E1154" w:rsidRPr="00806586" w:rsidRDefault="0086532A" w:rsidP="0086532A">
      <w:pPr>
        <w:rPr>
          <w:rFonts w:cs="Arial"/>
        </w:rPr>
      </w:pPr>
      <w:r w:rsidRPr="00806586">
        <w:rPr>
          <w:rFonts w:cs="Arial"/>
          <w:spacing w:val="2"/>
        </w:rPr>
        <w:t>T</w:t>
      </w:r>
      <w:r w:rsidRPr="00806586">
        <w:rPr>
          <w:rFonts w:cs="Arial"/>
        </w:rPr>
        <w:t>he</w:t>
      </w:r>
      <w:r w:rsidRPr="00806586">
        <w:rPr>
          <w:rFonts w:cs="Arial"/>
          <w:spacing w:val="-2"/>
        </w:rPr>
        <w:t xml:space="preserve"> </w:t>
      </w:r>
      <w:r w:rsidRPr="00806586">
        <w:rPr>
          <w:rFonts w:cs="Arial"/>
        </w:rPr>
        <w:t>a</w:t>
      </w:r>
      <w:r w:rsidRPr="00806586">
        <w:rPr>
          <w:rFonts w:cs="Arial"/>
          <w:spacing w:val="-1"/>
        </w:rPr>
        <w:t>i</w:t>
      </w:r>
      <w:r w:rsidRPr="00806586">
        <w:rPr>
          <w:rFonts w:cs="Arial"/>
        </w:rPr>
        <w:t>m</w:t>
      </w:r>
      <w:r w:rsidRPr="00806586">
        <w:rPr>
          <w:rFonts w:cs="Arial"/>
          <w:spacing w:val="2"/>
        </w:rPr>
        <w:t xml:space="preserve"> </w:t>
      </w:r>
      <w:r w:rsidRPr="00806586">
        <w:rPr>
          <w:rFonts w:cs="Arial"/>
          <w:spacing w:val="-3"/>
        </w:rPr>
        <w:t>o</w:t>
      </w:r>
      <w:r w:rsidRPr="00806586">
        <w:rPr>
          <w:rFonts w:cs="Arial"/>
        </w:rPr>
        <w:t xml:space="preserve">f </w:t>
      </w:r>
      <w:r w:rsidRPr="00806586">
        <w:rPr>
          <w:rFonts w:cs="Arial"/>
          <w:spacing w:val="1"/>
        </w:rPr>
        <w:t>t</w:t>
      </w:r>
      <w:r w:rsidRPr="00806586">
        <w:rPr>
          <w:rFonts w:cs="Arial"/>
        </w:rPr>
        <w:t>he</w:t>
      </w:r>
      <w:r w:rsidRPr="00806586">
        <w:rPr>
          <w:rFonts w:cs="Arial"/>
          <w:spacing w:val="-2"/>
        </w:rPr>
        <w:t xml:space="preserve"> </w:t>
      </w:r>
      <w:r w:rsidRPr="00806586">
        <w:rPr>
          <w:rFonts w:cs="Arial"/>
          <w:spacing w:val="-1"/>
        </w:rPr>
        <w:t>P</w:t>
      </w:r>
      <w:r w:rsidRPr="00806586">
        <w:rPr>
          <w:rFonts w:cs="Arial"/>
        </w:rPr>
        <w:t>ar</w:t>
      </w:r>
      <w:r w:rsidRPr="00806586">
        <w:rPr>
          <w:rFonts w:cs="Arial"/>
          <w:spacing w:val="1"/>
        </w:rPr>
        <w:t>t</w:t>
      </w:r>
      <w:r w:rsidRPr="00806586">
        <w:rPr>
          <w:rFonts w:cs="Arial"/>
        </w:rPr>
        <w:t>n</w:t>
      </w:r>
      <w:r w:rsidRPr="00806586">
        <w:rPr>
          <w:rFonts w:cs="Arial"/>
          <w:spacing w:val="-3"/>
        </w:rPr>
        <w:t>e</w:t>
      </w:r>
      <w:r w:rsidRPr="00806586">
        <w:rPr>
          <w:rFonts w:cs="Arial"/>
          <w:spacing w:val="3"/>
        </w:rPr>
        <w:t>r</w:t>
      </w:r>
      <w:r w:rsidRPr="00806586">
        <w:rPr>
          <w:rFonts w:cs="Arial"/>
        </w:rPr>
        <w:t>sh</w:t>
      </w:r>
      <w:r w:rsidRPr="00806586">
        <w:rPr>
          <w:rFonts w:cs="Arial"/>
          <w:spacing w:val="-1"/>
        </w:rPr>
        <w:t>i</w:t>
      </w:r>
      <w:r w:rsidRPr="00806586">
        <w:rPr>
          <w:rFonts w:cs="Arial"/>
        </w:rPr>
        <w:t>p F</w:t>
      </w:r>
      <w:r w:rsidRPr="00806586">
        <w:rPr>
          <w:rFonts w:cs="Arial"/>
          <w:spacing w:val="-3"/>
        </w:rPr>
        <w:t>o</w:t>
      </w:r>
      <w:r w:rsidRPr="00806586">
        <w:rPr>
          <w:rFonts w:cs="Arial"/>
          <w:spacing w:val="-2"/>
        </w:rPr>
        <w:t>r</w:t>
      </w:r>
      <w:r w:rsidRPr="00806586">
        <w:rPr>
          <w:rFonts w:cs="Arial"/>
        </w:rPr>
        <w:t>um</w:t>
      </w:r>
      <w:r w:rsidRPr="00806586">
        <w:rPr>
          <w:rFonts w:cs="Arial"/>
          <w:spacing w:val="2"/>
        </w:rPr>
        <w:t xml:space="preserve"> </w:t>
      </w:r>
      <w:r w:rsidRPr="00806586">
        <w:rPr>
          <w:rFonts w:cs="Arial"/>
          <w:spacing w:val="-1"/>
        </w:rPr>
        <w:t>i</w:t>
      </w:r>
      <w:r w:rsidRPr="00806586">
        <w:rPr>
          <w:rFonts w:cs="Arial"/>
        </w:rPr>
        <w:t>s</w:t>
      </w:r>
      <w:r w:rsidRPr="00806586">
        <w:rPr>
          <w:rFonts w:cs="Arial"/>
          <w:spacing w:val="-1"/>
        </w:rPr>
        <w:t xml:space="preserve"> </w:t>
      </w:r>
      <w:r w:rsidRPr="00806586">
        <w:rPr>
          <w:rFonts w:cs="Arial"/>
          <w:spacing w:val="1"/>
        </w:rPr>
        <w:t>t</w:t>
      </w:r>
      <w:r w:rsidRPr="00806586">
        <w:rPr>
          <w:rFonts w:cs="Arial"/>
        </w:rPr>
        <w:t>o</w:t>
      </w:r>
      <w:r w:rsidRPr="00806586">
        <w:rPr>
          <w:rFonts w:cs="Arial"/>
          <w:spacing w:val="-2"/>
        </w:rPr>
        <w:t xml:space="preserve"> </w:t>
      </w:r>
      <w:r w:rsidRPr="00806586">
        <w:rPr>
          <w:rFonts w:cs="Arial"/>
        </w:rPr>
        <w:t>pro</w:t>
      </w:r>
      <w:r w:rsidRPr="00806586">
        <w:rPr>
          <w:rFonts w:cs="Arial"/>
          <w:spacing w:val="-2"/>
        </w:rPr>
        <w:t>v</w:t>
      </w:r>
      <w:r w:rsidRPr="00806586">
        <w:rPr>
          <w:rFonts w:cs="Arial"/>
          <w:spacing w:val="-1"/>
        </w:rPr>
        <w:t>i</w:t>
      </w:r>
      <w:r w:rsidRPr="00806586">
        <w:rPr>
          <w:rFonts w:cs="Arial"/>
        </w:rPr>
        <w:t>de a</w:t>
      </w:r>
      <w:r w:rsidRPr="00806586">
        <w:rPr>
          <w:rFonts w:cs="Arial"/>
          <w:spacing w:val="-2"/>
        </w:rPr>
        <w:t xml:space="preserve"> </w:t>
      </w:r>
      <w:r w:rsidRPr="00806586">
        <w:rPr>
          <w:rFonts w:cs="Arial"/>
          <w:spacing w:val="1"/>
        </w:rPr>
        <w:t>f</w:t>
      </w:r>
      <w:r w:rsidRPr="00806586">
        <w:rPr>
          <w:rFonts w:cs="Arial"/>
        </w:rPr>
        <w:t>o</w:t>
      </w:r>
      <w:r w:rsidRPr="00806586">
        <w:rPr>
          <w:rFonts w:cs="Arial"/>
          <w:spacing w:val="-2"/>
        </w:rPr>
        <w:t>r</w:t>
      </w:r>
      <w:r w:rsidRPr="00806586">
        <w:rPr>
          <w:rFonts w:cs="Arial"/>
          <w:spacing w:val="1"/>
        </w:rPr>
        <w:t>m</w:t>
      </w:r>
      <w:r w:rsidRPr="00806586">
        <w:rPr>
          <w:rFonts w:cs="Arial"/>
        </w:rPr>
        <w:t>al n</w:t>
      </w:r>
      <w:r w:rsidRPr="00806586">
        <w:rPr>
          <w:rFonts w:cs="Arial"/>
          <w:spacing w:val="-3"/>
        </w:rPr>
        <w:t>e</w:t>
      </w:r>
      <w:r w:rsidRPr="00806586">
        <w:rPr>
          <w:rFonts w:cs="Arial"/>
          <w:spacing w:val="2"/>
        </w:rPr>
        <w:t>g</w:t>
      </w:r>
      <w:r w:rsidRPr="00806586">
        <w:rPr>
          <w:rFonts w:cs="Arial"/>
        </w:rPr>
        <w:t>oti</w:t>
      </w:r>
      <w:r w:rsidRPr="00806586">
        <w:rPr>
          <w:rFonts w:cs="Arial"/>
          <w:spacing w:val="-1"/>
        </w:rPr>
        <w:t>a</w:t>
      </w:r>
      <w:r w:rsidRPr="00806586">
        <w:rPr>
          <w:rFonts w:cs="Arial"/>
          <w:spacing w:val="1"/>
        </w:rPr>
        <w:t>t</w:t>
      </w:r>
      <w:r w:rsidRPr="00806586">
        <w:rPr>
          <w:rFonts w:cs="Arial"/>
          <w:spacing w:val="-1"/>
        </w:rPr>
        <w:t>i</w:t>
      </w:r>
      <w:r w:rsidRPr="00806586">
        <w:rPr>
          <w:rFonts w:cs="Arial"/>
        </w:rPr>
        <w:t>on</w:t>
      </w:r>
      <w:r w:rsidRPr="00806586">
        <w:rPr>
          <w:rFonts w:cs="Arial"/>
          <w:spacing w:val="-2"/>
        </w:rPr>
        <w:t xml:space="preserve"> </w:t>
      </w:r>
      <w:r w:rsidRPr="00806586">
        <w:rPr>
          <w:rFonts w:cs="Arial"/>
        </w:rPr>
        <w:t>a</w:t>
      </w:r>
      <w:r w:rsidRPr="00806586">
        <w:rPr>
          <w:rFonts w:cs="Arial"/>
          <w:spacing w:val="-1"/>
        </w:rPr>
        <w:t>n</w:t>
      </w:r>
      <w:r w:rsidRPr="00806586">
        <w:rPr>
          <w:rFonts w:cs="Arial"/>
        </w:rPr>
        <w:t>d co</w:t>
      </w:r>
      <w:r w:rsidRPr="00806586">
        <w:rPr>
          <w:rFonts w:cs="Arial"/>
          <w:spacing w:val="-1"/>
        </w:rPr>
        <w:t>n</w:t>
      </w:r>
      <w:r w:rsidRPr="00806586">
        <w:rPr>
          <w:rFonts w:cs="Arial"/>
        </w:rPr>
        <w:t>su</w:t>
      </w:r>
      <w:r w:rsidRPr="00806586">
        <w:rPr>
          <w:rFonts w:cs="Arial"/>
          <w:spacing w:val="-1"/>
        </w:rPr>
        <w:t>l</w:t>
      </w:r>
      <w:r w:rsidRPr="00806586">
        <w:rPr>
          <w:rFonts w:cs="Arial"/>
          <w:spacing w:val="1"/>
        </w:rPr>
        <w:t>t</w:t>
      </w:r>
      <w:r w:rsidRPr="00806586">
        <w:rPr>
          <w:rFonts w:cs="Arial"/>
        </w:rPr>
        <w:t>ati</w:t>
      </w:r>
      <w:r w:rsidRPr="00806586">
        <w:rPr>
          <w:rFonts w:cs="Arial"/>
          <w:spacing w:val="-1"/>
        </w:rPr>
        <w:t>o</w:t>
      </w:r>
      <w:r w:rsidRPr="00806586">
        <w:rPr>
          <w:rFonts w:cs="Arial"/>
        </w:rPr>
        <w:t>n</w:t>
      </w:r>
      <w:r w:rsidRPr="00806586">
        <w:rPr>
          <w:rFonts w:cs="Arial"/>
          <w:spacing w:val="-2"/>
        </w:rPr>
        <w:t xml:space="preserve"> </w:t>
      </w:r>
      <w:r w:rsidRPr="00806586">
        <w:rPr>
          <w:rFonts w:cs="Arial"/>
        </w:rPr>
        <w:t>group</w:t>
      </w:r>
      <w:r w:rsidRPr="00806586">
        <w:rPr>
          <w:rFonts w:cs="Arial"/>
          <w:spacing w:val="-2"/>
        </w:rPr>
        <w:t xml:space="preserve"> </w:t>
      </w:r>
      <w:r w:rsidRPr="00806586">
        <w:rPr>
          <w:rFonts w:cs="Arial"/>
          <w:spacing w:val="1"/>
        </w:rPr>
        <w:t>f</w:t>
      </w:r>
      <w:r w:rsidRPr="00806586">
        <w:rPr>
          <w:rFonts w:cs="Arial"/>
        </w:rPr>
        <w:t>or</w:t>
      </w:r>
      <w:r w:rsidRPr="00806586">
        <w:rPr>
          <w:rFonts w:cs="Arial"/>
          <w:spacing w:val="-1"/>
        </w:rPr>
        <w:t xml:space="preserve"> </w:t>
      </w:r>
      <w:r w:rsidRPr="00806586">
        <w:rPr>
          <w:rFonts w:cs="Arial"/>
          <w:spacing w:val="1"/>
        </w:rPr>
        <w:t>t</w:t>
      </w:r>
      <w:r w:rsidRPr="00806586">
        <w:rPr>
          <w:rFonts w:cs="Arial"/>
          <w:spacing w:val="-3"/>
        </w:rPr>
        <w:t>h</w:t>
      </w:r>
      <w:r w:rsidRPr="00806586">
        <w:rPr>
          <w:rFonts w:cs="Arial"/>
        </w:rPr>
        <w:t>e C</w:t>
      </w:r>
      <w:r w:rsidRPr="00806586">
        <w:rPr>
          <w:rFonts w:cs="Arial"/>
          <w:spacing w:val="-1"/>
        </w:rPr>
        <w:t>C</w:t>
      </w:r>
      <w:r w:rsidRPr="00806586">
        <w:rPr>
          <w:rFonts w:cs="Arial"/>
          <w:spacing w:val="1"/>
        </w:rPr>
        <w:t>G</w:t>
      </w:r>
      <w:r w:rsidRPr="00806586">
        <w:rPr>
          <w:rFonts w:cs="Arial"/>
        </w:rPr>
        <w:t>s</w:t>
      </w:r>
      <w:r w:rsidRPr="00806586">
        <w:rPr>
          <w:rFonts w:cs="Arial"/>
          <w:spacing w:val="-1"/>
        </w:rPr>
        <w:t xml:space="preserve"> </w:t>
      </w:r>
      <w:r w:rsidRPr="00806586">
        <w:rPr>
          <w:rFonts w:cs="Arial"/>
        </w:rPr>
        <w:t>a</w:t>
      </w:r>
      <w:r w:rsidRPr="00806586">
        <w:rPr>
          <w:rFonts w:cs="Arial"/>
          <w:spacing w:val="-1"/>
        </w:rPr>
        <w:t>n</w:t>
      </w:r>
      <w:r w:rsidRPr="00806586">
        <w:rPr>
          <w:rFonts w:cs="Arial"/>
        </w:rPr>
        <w:t>d</w:t>
      </w:r>
      <w:r w:rsidRPr="00806586">
        <w:rPr>
          <w:rFonts w:cs="Arial"/>
          <w:spacing w:val="-2"/>
        </w:rPr>
        <w:t xml:space="preserve"> </w:t>
      </w:r>
      <w:r w:rsidRPr="00806586">
        <w:rPr>
          <w:rFonts w:cs="Arial"/>
          <w:spacing w:val="1"/>
        </w:rPr>
        <w:t>t</w:t>
      </w:r>
      <w:r w:rsidRPr="00806586">
        <w:rPr>
          <w:rFonts w:cs="Arial"/>
        </w:rPr>
        <w:t xml:space="preserve">he Trade </w:t>
      </w:r>
      <w:r w:rsidRPr="00806586">
        <w:rPr>
          <w:rFonts w:cs="Arial"/>
          <w:spacing w:val="-1"/>
        </w:rPr>
        <w:t>U</w:t>
      </w:r>
      <w:r w:rsidRPr="00806586">
        <w:rPr>
          <w:rFonts w:cs="Arial"/>
        </w:rPr>
        <w:t>n</w:t>
      </w:r>
      <w:r w:rsidRPr="00806586">
        <w:rPr>
          <w:rFonts w:cs="Arial"/>
          <w:spacing w:val="-1"/>
        </w:rPr>
        <w:t>i</w:t>
      </w:r>
      <w:r w:rsidRPr="00806586">
        <w:rPr>
          <w:rFonts w:cs="Arial"/>
        </w:rPr>
        <w:t>o</w:t>
      </w:r>
      <w:r w:rsidRPr="00806586">
        <w:rPr>
          <w:rFonts w:cs="Arial"/>
          <w:spacing w:val="-1"/>
        </w:rPr>
        <w:t>n</w:t>
      </w:r>
      <w:r w:rsidRPr="00806586">
        <w:rPr>
          <w:rFonts w:cs="Arial"/>
        </w:rPr>
        <w:t>s</w:t>
      </w:r>
      <w:r w:rsidRPr="00806586">
        <w:rPr>
          <w:rFonts w:cs="Arial"/>
          <w:spacing w:val="-1"/>
        </w:rPr>
        <w:t xml:space="preserve"> t</w:t>
      </w:r>
      <w:r w:rsidRPr="00806586">
        <w:rPr>
          <w:rFonts w:cs="Arial"/>
        </w:rPr>
        <w:t>o d</w:t>
      </w:r>
      <w:r w:rsidRPr="00806586">
        <w:rPr>
          <w:rFonts w:cs="Arial"/>
          <w:spacing w:val="-1"/>
        </w:rPr>
        <w:t>i</w:t>
      </w:r>
      <w:r w:rsidRPr="00806586">
        <w:rPr>
          <w:rFonts w:cs="Arial"/>
        </w:rPr>
        <w:t>scuss and</w:t>
      </w:r>
      <w:r w:rsidRPr="00806586">
        <w:rPr>
          <w:rFonts w:cs="Arial"/>
          <w:spacing w:val="-2"/>
        </w:rPr>
        <w:t xml:space="preserve"> </w:t>
      </w:r>
      <w:r w:rsidRPr="00806586">
        <w:rPr>
          <w:rFonts w:cs="Arial"/>
        </w:rPr>
        <w:t>d</w:t>
      </w:r>
      <w:r w:rsidRPr="00806586">
        <w:rPr>
          <w:rFonts w:cs="Arial"/>
          <w:spacing w:val="-1"/>
        </w:rPr>
        <w:t>e</w:t>
      </w:r>
      <w:r w:rsidRPr="00806586">
        <w:rPr>
          <w:rFonts w:cs="Arial"/>
        </w:rPr>
        <w:t>b</w:t>
      </w:r>
      <w:r w:rsidRPr="00806586">
        <w:rPr>
          <w:rFonts w:cs="Arial"/>
          <w:spacing w:val="-3"/>
        </w:rPr>
        <w:t>a</w:t>
      </w:r>
      <w:r w:rsidRPr="00806586">
        <w:rPr>
          <w:rFonts w:cs="Arial"/>
          <w:spacing w:val="1"/>
        </w:rPr>
        <w:t>t</w:t>
      </w:r>
      <w:r w:rsidRPr="00806586">
        <w:rPr>
          <w:rFonts w:cs="Arial"/>
        </w:rPr>
        <w:t>e is</w:t>
      </w:r>
      <w:r w:rsidRPr="00806586">
        <w:rPr>
          <w:rFonts w:cs="Arial"/>
          <w:spacing w:val="-3"/>
        </w:rPr>
        <w:t>s</w:t>
      </w:r>
      <w:r w:rsidRPr="00806586">
        <w:rPr>
          <w:rFonts w:cs="Arial"/>
        </w:rPr>
        <w:t>u</w:t>
      </w:r>
      <w:r w:rsidRPr="00806586">
        <w:rPr>
          <w:rFonts w:cs="Arial"/>
          <w:spacing w:val="-1"/>
        </w:rPr>
        <w:t>e</w:t>
      </w:r>
      <w:r w:rsidRPr="00806586">
        <w:rPr>
          <w:rFonts w:cs="Arial"/>
        </w:rPr>
        <w:t>s</w:t>
      </w:r>
      <w:r w:rsidRPr="00806586">
        <w:rPr>
          <w:rFonts w:cs="Arial"/>
          <w:spacing w:val="1"/>
        </w:rPr>
        <w:t xml:space="preserve"> </w:t>
      </w:r>
      <w:r w:rsidRPr="00806586">
        <w:rPr>
          <w:rFonts w:cs="Arial"/>
          <w:spacing w:val="-1"/>
        </w:rPr>
        <w:t>i</w:t>
      </w:r>
      <w:r w:rsidRPr="00806586">
        <w:rPr>
          <w:rFonts w:cs="Arial"/>
        </w:rPr>
        <w:t>n an e</w:t>
      </w:r>
      <w:r w:rsidRPr="00806586">
        <w:rPr>
          <w:rFonts w:cs="Arial"/>
          <w:spacing w:val="-1"/>
        </w:rPr>
        <w:t>n</w:t>
      </w:r>
      <w:r w:rsidRPr="00806586">
        <w:rPr>
          <w:rFonts w:cs="Arial"/>
          <w:spacing w:val="-2"/>
        </w:rPr>
        <w:t>v</w:t>
      </w:r>
      <w:r w:rsidRPr="00806586">
        <w:rPr>
          <w:rFonts w:cs="Arial"/>
          <w:spacing w:val="-1"/>
        </w:rPr>
        <w:t>i</w:t>
      </w:r>
      <w:r w:rsidRPr="00806586">
        <w:rPr>
          <w:rFonts w:cs="Arial"/>
          <w:spacing w:val="1"/>
        </w:rPr>
        <w:t>r</w:t>
      </w:r>
      <w:r w:rsidRPr="00806586">
        <w:rPr>
          <w:rFonts w:cs="Arial"/>
        </w:rPr>
        <w:t>o</w:t>
      </w:r>
      <w:r w:rsidRPr="00806586">
        <w:rPr>
          <w:rFonts w:cs="Arial"/>
          <w:spacing w:val="-1"/>
        </w:rPr>
        <w:t>n</w:t>
      </w:r>
      <w:r w:rsidRPr="00806586">
        <w:rPr>
          <w:rFonts w:cs="Arial"/>
          <w:spacing w:val="1"/>
        </w:rPr>
        <w:t>m</w:t>
      </w:r>
      <w:r w:rsidRPr="00806586">
        <w:rPr>
          <w:rFonts w:cs="Arial"/>
        </w:rPr>
        <w:t>e</w:t>
      </w:r>
      <w:r w:rsidRPr="00806586">
        <w:rPr>
          <w:rFonts w:cs="Arial"/>
          <w:spacing w:val="-1"/>
        </w:rPr>
        <w:t>n</w:t>
      </w:r>
      <w:r w:rsidRPr="00806586">
        <w:rPr>
          <w:rFonts w:cs="Arial"/>
        </w:rPr>
        <w:t>t</w:t>
      </w:r>
      <w:r w:rsidRPr="00806586">
        <w:rPr>
          <w:rFonts w:cs="Arial"/>
          <w:spacing w:val="2"/>
        </w:rPr>
        <w:t xml:space="preserve"> </w:t>
      </w:r>
      <w:r w:rsidRPr="00806586">
        <w:rPr>
          <w:rFonts w:cs="Arial"/>
          <w:spacing w:val="-3"/>
        </w:rPr>
        <w:t>o</w:t>
      </w:r>
      <w:r w:rsidRPr="00806586">
        <w:rPr>
          <w:rFonts w:cs="Arial"/>
        </w:rPr>
        <w:t xml:space="preserve">f </w:t>
      </w:r>
      <w:r w:rsidRPr="00806586">
        <w:rPr>
          <w:rFonts w:cs="Arial"/>
          <w:spacing w:val="1"/>
        </w:rPr>
        <w:t>m</w:t>
      </w:r>
      <w:r w:rsidRPr="00806586">
        <w:rPr>
          <w:rFonts w:cs="Arial"/>
        </w:rPr>
        <w:t>utual</w:t>
      </w:r>
      <w:r w:rsidRPr="00806586">
        <w:rPr>
          <w:rFonts w:cs="Arial"/>
          <w:spacing w:val="-2"/>
        </w:rPr>
        <w:t xml:space="preserve"> </w:t>
      </w:r>
      <w:r w:rsidRPr="00806586">
        <w:rPr>
          <w:rFonts w:cs="Arial"/>
          <w:spacing w:val="-1"/>
        </w:rPr>
        <w:t>t</w:t>
      </w:r>
      <w:r w:rsidRPr="00806586">
        <w:rPr>
          <w:rFonts w:cs="Arial"/>
          <w:spacing w:val="-2"/>
        </w:rPr>
        <w:t>r</w:t>
      </w:r>
      <w:r w:rsidRPr="00806586">
        <w:rPr>
          <w:rFonts w:cs="Arial"/>
        </w:rPr>
        <w:t>ust</w:t>
      </w:r>
      <w:r w:rsidRPr="00806586">
        <w:rPr>
          <w:rFonts w:cs="Arial"/>
          <w:spacing w:val="2"/>
        </w:rPr>
        <w:t xml:space="preserve"> </w:t>
      </w:r>
      <w:r w:rsidRPr="00806586">
        <w:rPr>
          <w:rFonts w:cs="Arial"/>
        </w:rPr>
        <w:t>a</w:t>
      </w:r>
      <w:r w:rsidRPr="00806586">
        <w:rPr>
          <w:rFonts w:cs="Arial"/>
          <w:spacing w:val="-1"/>
        </w:rPr>
        <w:t>n</w:t>
      </w:r>
      <w:r w:rsidRPr="00806586">
        <w:rPr>
          <w:rFonts w:cs="Arial"/>
        </w:rPr>
        <w:t>d</w:t>
      </w:r>
      <w:r w:rsidRPr="00806586">
        <w:rPr>
          <w:rFonts w:cs="Arial"/>
          <w:spacing w:val="-2"/>
        </w:rPr>
        <w:t xml:space="preserve"> </w:t>
      </w:r>
      <w:r w:rsidRPr="00806586">
        <w:rPr>
          <w:rFonts w:cs="Arial"/>
          <w:spacing w:val="1"/>
        </w:rPr>
        <w:t>r</w:t>
      </w:r>
      <w:r w:rsidRPr="00806586">
        <w:rPr>
          <w:rFonts w:cs="Arial"/>
        </w:rPr>
        <w:t>es</w:t>
      </w:r>
      <w:r w:rsidRPr="00806586">
        <w:rPr>
          <w:rFonts w:cs="Arial"/>
          <w:spacing w:val="-1"/>
        </w:rPr>
        <w:t>p</w:t>
      </w:r>
      <w:r w:rsidRPr="00806586">
        <w:rPr>
          <w:rFonts w:cs="Arial"/>
          <w:spacing w:val="-3"/>
        </w:rPr>
        <w:t>e</w:t>
      </w:r>
      <w:r w:rsidRPr="00806586">
        <w:rPr>
          <w:rFonts w:cs="Arial"/>
        </w:rPr>
        <w:t>c</w:t>
      </w:r>
      <w:r w:rsidRPr="00806586">
        <w:rPr>
          <w:rFonts w:cs="Arial"/>
          <w:spacing w:val="-1"/>
        </w:rPr>
        <w:t>t</w:t>
      </w:r>
      <w:r w:rsidRPr="00806586">
        <w:rPr>
          <w:rFonts w:cs="Arial"/>
        </w:rPr>
        <w:t>.  The CCG also attends the Yorkshire and Humber SPF.  HR policies are reviewed and job descriptions evaluated and banded in partnership with staff side colleagues.</w:t>
      </w:r>
    </w:p>
    <w:p w14:paraId="56A515D0" w14:textId="28C57F76" w:rsidR="00E54851" w:rsidRPr="00E54851" w:rsidRDefault="00A26773" w:rsidP="00E54851">
      <w:pPr>
        <w:pStyle w:val="Heading3"/>
        <w:spacing w:line="240" w:lineRule="auto"/>
        <w:rPr>
          <w:rFonts w:cs="Arial"/>
          <w:sz w:val="22"/>
        </w:rPr>
      </w:pPr>
      <w:bookmarkStart w:id="162" w:name="_Toc103695067"/>
      <w:r w:rsidRPr="00021A18">
        <w:t xml:space="preserve">Trade </w:t>
      </w:r>
      <w:r w:rsidR="00BC61A2" w:rsidRPr="00021A18">
        <w:t>u</w:t>
      </w:r>
      <w:r w:rsidRPr="00021A18">
        <w:t>nion</w:t>
      </w:r>
      <w:r w:rsidR="00223557" w:rsidRPr="00021A18">
        <w:t xml:space="preserve"> </w:t>
      </w:r>
      <w:r w:rsidR="00BC61A2" w:rsidRPr="00021A18">
        <w:t>facil</w:t>
      </w:r>
      <w:r w:rsidR="00830712">
        <w:t>i</w:t>
      </w:r>
      <w:r w:rsidR="00BC61A2" w:rsidRPr="00021A18">
        <w:t>ty t</w:t>
      </w:r>
      <w:r w:rsidR="00223557" w:rsidRPr="00021A18">
        <w:t>ime</w:t>
      </w:r>
      <w:r w:rsidR="009E5DB2" w:rsidRPr="00021A18">
        <w:t xml:space="preserve"> </w:t>
      </w:r>
      <w:r w:rsidR="00CC15FC">
        <w:t>2021-22</w:t>
      </w:r>
      <w:bookmarkEnd w:id="162"/>
      <w:r w:rsidR="004E02EF" w:rsidRPr="00A558A4">
        <w:rPr>
          <w:rFonts w:cs="Arial"/>
          <w:sz w:val="22"/>
        </w:rPr>
        <w:t xml:space="preserve"> </w:t>
      </w:r>
    </w:p>
    <w:p w14:paraId="7573689E" w14:textId="77777777" w:rsidR="001421D4" w:rsidRPr="00A558A4" w:rsidRDefault="001421D4" w:rsidP="00B66DE2">
      <w:pPr>
        <w:spacing w:before="0" w:after="0" w:line="240" w:lineRule="auto"/>
        <w:rPr>
          <w:rFonts w:cs="Arial"/>
          <w:color w:val="4F81BD" w:themeColor="accent1"/>
        </w:rPr>
      </w:pPr>
    </w:p>
    <w:tbl>
      <w:tblPr>
        <w:tblW w:w="9356" w:type="dxa"/>
        <w:tblInd w:w="-5" w:type="dxa"/>
        <w:tblLook w:val="04A0" w:firstRow="1" w:lastRow="0" w:firstColumn="1" w:lastColumn="0" w:noHBand="0" w:noVBand="1"/>
      </w:tblPr>
      <w:tblGrid>
        <w:gridCol w:w="7635"/>
        <w:gridCol w:w="1721"/>
      </w:tblGrid>
      <w:tr w:rsidR="0092550F" w:rsidRPr="00A558A4" w14:paraId="6A83FDF8" w14:textId="77777777" w:rsidTr="00C82F99">
        <w:trPr>
          <w:trHeight w:val="288"/>
        </w:trPr>
        <w:tc>
          <w:tcPr>
            <w:tcW w:w="93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6781681D" w14:textId="77777777" w:rsidR="0092550F" w:rsidRPr="00A558A4" w:rsidRDefault="0092550F" w:rsidP="00B66DE2">
            <w:pPr>
              <w:spacing w:after="0" w:line="240" w:lineRule="auto"/>
              <w:rPr>
                <w:rFonts w:eastAsia="Times New Roman" w:cs="Arial"/>
                <w:b/>
                <w:bCs/>
              </w:rPr>
            </w:pPr>
            <w:r w:rsidRPr="00A558A4">
              <w:rPr>
                <w:rFonts w:eastAsia="Times New Roman" w:cs="Arial"/>
                <w:b/>
                <w:bCs/>
              </w:rPr>
              <w:t>Trade Union Facility Time</w:t>
            </w:r>
          </w:p>
        </w:tc>
      </w:tr>
      <w:tr w:rsidR="0092550F" w:rsidRPr="00B32A48" w14:paraId="01CB2936" w14:textId="77777777" w:rsidTr="00C82F99">
        <w:trPr>
          <w:trHeight w:val="288"/>
        </w:trPr>
        <w:tc>
          <w:tcPr>
            <w:tcW w:w="7635" w:type="dxa"/>
            <w:tcBorders>
              <w:top w:val="nil"/>
              <w:left w:val="single" w:sz="4" w:space="0" w:color="auto"/>
              <w:bottom w:val="single" w:sz="4" w:space="0" w:color="auto"/>
              <w:right w:val="single" w:sz="4" w:space="0" w:color="auto"/>
            </w:tcBorders>
            <w:shd w:val="clear" w:color="auto" w:fill="auto"/>
            <w:noWrap/>
            <w:vAlign w:val="center"/>
            <w:hideMark/>
          </w:tcPr>
          <w:p w14:paraId="64B30056" w14:textId="14FB9CF7" w:rsidR="0092550F" w:rsidRPr="00B32A48" w:rsidRDefault="0092550F" w:rsidP="00B66DE2">
            <w:pPr>
              <w:spacing w:after="0" w:line="240" w:lineRule="auto"/>
              <w:rPr>
                <w:rFonts w:eastAsia="Times New Roman" w:cs="Arial"/>
                <w:sz w:val="20"/>
                <w:szCs w:val="20"/>
              </w:rPr>
            </w:pPr>
            <w:r w:rsidRPr="00B32A48">
              <w:rPr>
                <w:rFonts w:eastAsia="Times New Roman" w:cs="Arial"/>
                <w:sz w:val="20"/>
                <w:szCs w:val="20"/>
              </w:rPr>
              <w:t xml:space="preserve">Number of </w:t>
            </w:r>
            <w:r w:rsidR="00461AB6" w:rsidRPr="00B32A48">
              <w:rPr>
                <w:rFonts w:eastAsia="Times New Roman" w:cs="Arial"/>
                <w:sz w:val="20"/>
                <w:szCs w:val="20"/>
              </w:rPr>
              <w:t>r</w:t>
            </w:r>
            <w:r w:rsidRPr="00B32A48">
              <w:rPr>
                <w:rFonts w:eastAsia="Times New Roman" w:cs="Arial"/>
                <w:sz w:val="20"/>
                <w:szCs w:val="20"/>
              </w:rPr>
              <w:t xml:space="preserve">elevant </w:t>
            </w:r>
            <w:r w:rsidR="00461AB6" w:rsidRPr="00B32A48">
              <w:rPr>
                <w:rFonts w:eastAsia="Times New Roman" w:cs="Arial"/>
                <w:sz w:val="20"/>
                <w:szCs w:val="20"/>
              </w:rPr>
              <w:t>u</w:t>
            </w:r>
            <w:r w:rsidRPr="00B32A48">
              <w:rPr>
                <w:rFonts w:eastAsia="Times New Roman" w:cs="Arial"/>
                <w:sz w:val="20"/>
                <w:szCs w:val="20"/>
              </w:rPr>
              <w:t xml:space="preserve">nion </w:t>
            </w:r>
            <w:r w:rsidR="00461AB6" w:rsidRPr="00B32A48">
              <w:rPr>
                <w:rFonts w:eastAsia="Times New Roman" w:cs="Arial"/>
                <w:sz w:val="20"/>
                <w:szCs w:val="20"/>
              </w:rPr>
              <w:t>o</w:t>
            </w:r>
            <w:r w:rsidRPr="00B32A48">
              <w:rPr>
                <w:rFonts w:eastAsia="Times New Roman" w:cs="Arial"/>
                <w:sz w:val="20"/>
                <w:szCs w:val="20"/>
              </w:rPr>
              <w:t xml:space="preserve">fficials during </w:t>
            </w:r>
            <w:r w:rsidR="001B17E6" w:rsidRPr="00B32A48">
              <w:rPr>
                <w:rFonts w:eastAsia="Times New Roman" w:cs="Arial"/>
                <w:sz w:val="20"/>
                <w:szCs w:val="20"/>
              </w:rPr>
              <w:t>202</w:t>
            </w:r>
            <w:r w:rsidR="00814EAD">
              <w:rPr>
                <w:rFonts w:eastAsia="Times New Roman" w:cs="Arial"/>
                <w:sz w:val="20"/>
                <w:szCs w:val="20"/>
              </w:rPr>
              <w:t>1</w:t>
            </w:r>
            <w:r w:rsidR="001B17E6" w:rsidRPr="00B32A48">
              <w:rPr>
                <w:rFonts w:eastAsia="Times New Roman" w:cs="Arial"/>
                <w:sz w:val="20"/>
                <w:szCs w:val="20"/>
              </w:rPr>
              <w:t>-2</w:t>
            </w:r>
            <w:r w:rsidR="00814EAD">
              <w:rPr>
                <w:rFonts w:eastAsia="Times New Roman" w:cs="Arial"/>
                <w:sz w:val="20"/>
                <w:szCs w:val="20"/>
              </w:rPr>
              <w:t>2</w:t>
            </w:r>
          </w:p>
        </w:tc>
        <w:tc>
          <w:tcPr>
            <w:tcW w:w="1721" w:type="dxa"/>
            <w:tcBorders>
              <w:top w:val="nil"/>
              <w:left w:val="nil"/>
              <w:bottom w:val="single" w:sz="4" w:space="0" w:color="auto"/>
              <w:right w:val="single" w:sz="4" w:space="0" w:color="auto"/>
            </w:tcBorders>
            <w:shd w:val="clear" w:color="auto" w:fill="auto"/>
            <w:noWrap/>
            <w:vAlign w:val="bottom"/>
            <w:hideMark/>
          </w:tcPr>
          <w:p w14:paraId="4220DD00" w14:textId="6145DB59" w:rsidR="0092550F" w:rsidRPr="00B32A48" w:rsidRDefault="00E54851" w:rsidP="00B66DE2">
            <w:pPr>
              <w:spacing w:after="0" w:line="240" w:lineRule="auto"/>
              <w:rPr>
                <w:rFonts w:eastAsia="Times New Roman" w:cs="Arial"/>
                <w:sz w:val="20"/>
                <w:szCs w:val="20"/>
              </w:rPr>
            </w:pPr>
            <w:r w:rsidRPr="00B32A48">
              <w:rPr>
                <w:rFonts w:eastAsia="Times New Roman" w:cs="Arial"/>
                <w:sz w:val="20"/>
                <w:szCs w:val="20"/>
              </w:rPr>
              <w:t>1</w:t>
            </w:r>
          </w:p>
        </w:tc>
      </w:tr>
      <w:tr w:rsidR="0092550F" w:rsidRPr="00B32A48" w14:paraId="75E89A09" w14:textId="77777777" w:rsidTr="00C82F99">
        <w:trPr>
          <w:trHeight w:val="288"/>
        </w:trPr>
        <w:tc>
          <w:tcPr>
            <w:tcW w:w="7635" w:type="dxa"/>
            <w:tcBorders>
              <w:top w:val="nil"/>
              <w:left w:val="single" w:sz="4" w:space="0" w:color="auto"/>
              <w:bottom w:val="single" w:sz="4" w:space="0" w:color="auto"/>
              <w:right w:val="single" w:sz="4" w:space="0" w:color="auto"/>
            </w:tcBorders>
            <w:shd w:val="clear" w:color="auto" w:fill="auto"/>
            <w:noWrap/>
            <w:vAlign w:val="center"/>
            <w:hideMark/>
          </w:tcPr>
          <w:p w14:paraId="69F8B8C8" w14:textId="77777777" w:rsidR="0092550F" w:rsidRPr="00B32A48" w:rsidRDefault="0092550F" w:rsidP="00B66DE2">
            <w:pPr>
              <w:spacing w:after="0" w:line="240" w:lineRule="auto"/>
              <w:rPr>
                <w:rFonts w:eastAsia="Times New Roman" w:cs="Arial"/>
                <w:sz w:val="20"/>
                <w:szCs w:val="20"/>
              </w:rPr>
            </w:pPr>
            <w:r w:rsidRPr="00B32A48">
              <w:rPr>
                <w:rFonts w:eastAsia="Times New Roman" w:cs="Arial"/>
                <w:sz w:val="20"/>
                <w:szCs w:val="20"/>
              </w:rPr>
              <w:t>Full Time Equivalent employee number</w:t>
            </w:r>
          </w:p>
        </w:tc>
        <w:tc>
          <w:tcPr>
            <w:tcW w:w="1721" w:type="dxa"/>
            <w:tcBorders>
              <w:top w:val="nil"/>
              <w:left w:val="nil"/>
              <w:bottom w:val="single" w:sz="4" w:space="0" w:color="auto"/>
              <w:right w:val="single" w:sz="4" w:space="0" w:color="auto"/>
            </w:tcBorders>
            <w:shd w:val="clear" w:color="auto" w:fill="auto"/>
            <w:noWrap/>
            <w:vAlign w:val="bottom"/>
            <w:hideMark/>
          </w:tcPr>
          <w:p w14:paraId="05D5CB65" w14:textId="4FFCCE4E" w:rsidR="0092550F" w:rsidRPr="00B32A48" w:rsidRDefault="00E54851" w:rsidP="00B66DE2">
            <w:pPr>
              <w:spacing w:after="0" w:line="240" w:lineRule="auto"/>
              <w:rPr>
                <w:rFonts w:eastAsia="Times New Roman" w:cs="Arial"/>
                <w:sz w:val="20"/>
                <w:szCs w:val="20"/>
              </w:rPr>
            </w:pPr>
            <w:r w:rsidRPr="00B32A48">
              <w:rPr>
                <w:rFonts w:eastAsia="Times New Roman" w:cs="Arial"/>
                <w:sz w:val="20"/>
                <w:szCs w:val="20"/>
              </w:rPr>
              <w:t>1</w:t>
            </w:r>
          </w:p>
        </w:tc>
      </w:tr>
      <w:tr w:rsidR="0092550F" w:rsidRPr="00B32A48" w14:paraId="2515FA91" w14:textId="77777777" w:rsidTr="00C82F99">
        <w:trPr>
          <w:trHeight w:val="288"/>
        </w:trPr>
        <w:tc>
          <w:tcPr>
            <w:tcW w:w="7635" w:type="dxa"/>
            <w:tcBorders>
              <w:top w:val="nil"/>
              <w:left w:val="single" w:sz="4" w:space="0" w:color="auto"/>
              <w:bottom w:val="single" w:sz="4" w:space="0" w:color="auto"/>
              <w:right w:val="single" w:sz="4" w:space="0" w:color="auto"/>
            </w:tcBorders>
            <w:shd w:val="clear" w:color="auto" w:fill="auto"/>
            <w:noWrap/>
            <w:vAlign w:val="center"/>
            <w:hideMark/>
          </w:tcPr>
          <w:p w14:paraId="776A3BE2" w14:textId="77777777" w:rsidR="0092550F" w:rsidRPr="00B32A48" w:rsidRDefault="0092550F" w:rsidP="00B66DE2">
            <w:pPr>
              <w:spacing w:after="0" w:line="240" w:lineRule="auto"/>
              <w:rPr>
                <w:rFonts w:eastAsia="Times New Roman" w:cs="Arial"/>
                <w:sz w:val="20"/>
                <w:szCs w:val="20"/>
              </w:rPr>
            </w:pPr>
            <w:r w:rsidRPr="00B32A48">
              <w:rPr>
                <w:rFonts w:eastAsia="Times New Roman" w:cs="Arial"/>
                <w:sz w:val="20"/>
                <w:szCs w:val="20"/>
              </w:rPr>
              <w:t>Percentage of time spent on facility time</w:t>
            </w:r>
          </w:p>
        </w:tc>
        <w:tc>
          <w:tcPr>
            <w:tcW w:w="1721" w:type="dxa"/>
            <w:tcBorders>
              <w:top w:val="nil"/>
              <w:left w:val="nil"/>
              <w:bottom w:val="single" w:sz="4" w:space="0" w:color="auto"/>
              <w:right w:val="single" w:sz="4" w:space="0" w:color="auto"/>
            </w:tcBorders>
            <w:shd w:val="clear" w:color="auto" w:fill="auto"/>
            <w:noWrap/>
            <w:vAlign w:val="bottom"/>
            <w:hideMark/>
          </w:tcPr>
          <w:p w14:paraId="41884D9B" w14:textId="4508E27B" w:rsidR="0092550F" w:rsidRPr="00B32A48" w:rsidRDefault="00E54851" w:rsidP="00B66DE2">
            <w:pPr>
              <w:spacing w:after="0" w:line="240" w:lineRule="auto"/>
              <w:rPr>
                <w:rFonts w:eastAsia="Times New Roman" w:cs="Arial"/>
                <w:sz w:val="20"/>
                <w:szCs w:val="20"/>
              </w:rPr>
            </w:pPr>
            <w:r w:rsidRPr="00B32A48">
              <w:rPr>
                <w:rFonts w:eastAsia="Times New Roman" w:cs="Arial"/>
                <w:sz w:val="20"/>
                <w:szCs w:val="20"/>
              </w:rPr>
              <w:t>1-50%</w:t>
            </w:r>
          </w:p>
        </w:tc>
      </w:tr>
      <w:tr w:rsidR="0092550F" w:rsidRPr="00B32A48" w14:paraId="36457B0F" w14:textId="77777777" w:rsidTr="00C82F99">
        <w:trPr>
          <w:trHeight w:val="288"/>
        </w:trPr>
        <w:tc>
          <w:tcPr>
            <w:tcW w:w="7635" w:type="dxa"/>
            <w:tcBorders>
              <w:top w:val="nil"/>
              <w:left w:val="nil"/>
              <w:bottom w:val="nil"/>
              <w:right w:val="nil"/>
            </w:tcBorders>
            <w:shd w:val="clear" w:color="auto" w:fill="auto"/>
            <w:noWrap/>
            <w:vAlign w:val="bottom"/>
            <w:hideMark/>
          </w:tcPr>
          <w:p w14:paraId="573A5C8C" w14:textId="77777777" w:rsidR="0092550F" w:rsidRPr="00B32A48" w:rsidRDefault="0092550F" w:rsidP="00B66DE2">
            <w:pPr>
              <w:spacing w:after="0" w:line="240" w:lineRule="auto"/>
              <w:rPr>
                <w:rFonts w:eastAsia="Times New Roman" w:cs="Arial"/>
                <w:sz w:val="20"/>
                <w:szCs w:val="20"/>
              </w:rPr>
            </w:pPr>
          </w:p>
        </w:tc>
        <w:tc>
          <w:tcPr>
            <w:tcW w:w="1721" w:type="dxa"/>
            <w:tcBorders>
              <w:top w:val="nil"/>
              <w:left w:val="nil"/>
              <w:bottom w:val="nil"/>
              <w:right w:val="nil"/>
            </w:tcBorders>
            <w:shd w:val="clear" w:color="auto" w:fill="auto"/>
            <w:noWrap/>
            <w:vAlign w:val="bottom"/>
            <w:hideMark/>
          </w:tcPr>
          <w:p w14:paraId="74FD58D3" w14:textId="77777777" w:rsidR="0092550F" w:rsidRPr="00B32A48" w:rsidRDefault="0092550F" w:rsidP="00B66DE2">
            <w:pPr>
              <w:spacing w:after="0" w:line="240" w:lineRule="auto"/>
              <w:rPr>
                <w:rFonts w:eastAsia="Times New Roman" w:cs="Arial"/>
                <w:sz w:val="20"/>
                <w:szCs w:val="20"/>
                <w:highlight w:val="yellow"/>
              </w:rPr>
            </w:pPr>
          </w:p>
        </w:tc>
      </w:tr>
      <w:tr w:rsidR="0092550F" w:rsidRPr="00B32A48" w14:paraId="57313863" w14:textId="77777777" w:rsidTr="00C82F99">
        <w:trPr>
          <w:trHeight w:val="288"/>
        </w:trPr>
        <w:tc>
          <w:tcPr>
            <w:tcW w:w="93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28EB136" w14:textId="77777777" w:rsidR="0092550F" w:rsidRPr="00B32A48" w:rsidRDefault="0092550F" w:rsidP="00B66DE2">
            <w:pPr>
              <w:spacing w:after="0" w:line="240" w:lineRule="auto"/>
              <w:rPr>
                <w:rFonts w:eastAsia="Times New Roman" w:cs="Arial"/>
                <w:b/>
                <w:bCs/>
                <w:sz w:val="20"/>
                <w:szCs w:val="20"/>
              </w:rPr>
            </w:pPr>
            <w:r w:rsidRPr="00B32A48">
              <w:rPr>
                <w:rFonts w:eastAsia="Times New Roman" w:cs="Arial"/>
                <w:b/>
                <w:bCs/>
                <w:sz w:val="20"/>
                <w:szCs w:val="20"/>
              </w:rPr>
              <w:t xml:space="preserve">Percentage of pay bill spent on facility time                         </w:t>
            </w:r>
          </w:p>
        </w:tc>
      </w:tr>
      <w:tr w:rsidR="0092550F" w:rsidRPr="00B32A48" w14:paraId="6E387B75" w14:textId="77777777" w:rsidTr="00C82F99">
        <w:trPr>
          <w:trHeight w:val="288"/>
        </w:trPr>
        <w:tc>
          <w:tcPr>
            <w:tcW w:w="7635" w:type="dxa"/>
            <w:tcBorders>
              <w:top w:val="nil"/>
              <w:left w:val="single" w:sz="4" w:space="0" w:color="auto"/>
              <w:bottom w:val="single" w:sz="4" w:space="0" w:color="auto"/>
              <w:right w:val="single" w:sz="4" w:space="0" w:color="auto"/>
            </w:tcBorders>
            <w:shd w:val="clear" w:color="auto" w:fill="auto"/>
            <w:noWrap/>
            <w:vAlign w:val="center"/>
            <w:hideMark/>
          </w:tcPr>
          <w:p w14:paraId="164D0AA7" w14:textId="77777777" w:rsidR="0092550F" w:rsidRPr="00B32A48" w:rsidRDefault="0092550F" w:rsidP="00B66DE2">
            <w:pPr>
              <w:spacing w:after="0" w:line="240" w:lineRule="auto"/>
              <w:rPr>
                <w:rFonts w:eastAsia="Times New Roman" w:cs="Arial"/>
                <w:sz w:val="20"/>
                <w:szCs w:val="20"/>
              </w:rPr>
            </w:pPr>
            <w:r w:rsidRPr="00B32A48">
              <w:rPr>
                <w:rFonts w:eastAsia="Times New Roman" w:cs="Arial"/>
                <w:sz w:val="20"/>
                <w:szCs w:val="20"/>
              </w:rPr>
              <w:t>Total cost of facility time</w:t>
            </w:r>
          </w:p>
        </w:tc>
        <w:tc>
          <w:tcPr>
            <w:tcW w:w="1721" w:type="dxa"/>
            <w:tcBorders>
              <w:top w:val="nil"/>
              <w:left w:val="nil"/>
              <w:bottom w:val="single" w:sz="4" w:space="0" w:color="auto"/>
              <w:right w:val="single" w:sz="4" w:space="0" w:color="auto"/>
            </w:tcBorders>
            <w:shd w:val="clear" w:color="auto" w:fill="auto"/>
            <w:noWrap/>
            <w:vAlign w:val="bottom"/>
            <w:hideMark/>
          </w:tcPr>
          <w:p w14:paraId="249E7698" w14:textId="7D5D2531" w:rsidR="0092550F" w:rsidRPr="00B32A48" w:rsidRDefault="00E54851" w:rsidP="00B66DE2">
            <w:pPr>
              <w:spacing w:after="0" w:line="240" w:lineRule="auto"/>
              <w:rPr>
                <w:rFonts w:eastAsia="Times New Roman" w:cs="Arial"/>
                <w:sz w:val="20"/>
                <w:szCs w:val="20"/>
              </w:rPr>
            </w:pPr>
            <w:r w:rsidRPr="00B32A48">
              <w:rPr>
                <w:rFonts w:eastAsia="Times New Roman" w:cs="Arial"/>
                <w:color w:val="000000"/>
                <w:sz w:val="20"/>
                <w:szCs w:val="20"/>
              </w:rPr>
              <w:t>£2,479</w:t>
            </w:r>
          </w:p>
        </w:tc>
      </w:tr>
      <w:tr w:rsidR="0092550F" w:rsidRPr="00B32A48" w14:paraId="6F9F24E6" w14:textId="77777777" w:rsidTr="00C82F99">
        <w:trPr>
          <w:trHeight w:val="288"/>
        </w:trPr>
        <w:tc>
          <w:tcPr>
            <w:tcW w:w="7635" w:type="dxa"/>
            <w:tcBorders>
              <w:top w:val="nil"/>
              <w:left w:val="single" w:sz="4" w:space="0" w:color="auto"/>
              <w:bottom w:val="single" w:sz="4" w:space="0" w:color="auto"/>
              <w:right w:val="single" w:sz="4" w:space="0" w:color="auto"/>
            </w:tcBorders>
            <w:shd w:val="clear" w:color="auto" w:fill="auto"/>
            <w:noWrap/>
            <w:vAlign w:val="center"/>
            <w:hideMark/>
          </w:tcPr>
          <w:p w14:paraId="07E53A55" w14:textId="77777777" w:rsidR="0092550F" w:rsidRPr="00B32A48" w:rsidRDefault="0092550F" w:rsidP="00B66DE2">
            <w:pPr>
              <w:spacing w:after="0" w:line="240" w:lineRule="auto"/>
              <w:rPr>
                <w:rFonts w:eastAsia="Times New Roman" w:cs="Arial"/>
                <w:sz w:val="20"/>
                <w:szCs w:val="20"/>
              </w:rPr>
            </w:pPr>
            <w:r w:rsidRPr="00B32A48">
              <w:rPr>
                <w:rFonts w:eastAsia="Times New Roman" w:cs="Arial"/>
                <w:sz w:val="20"/>
                <w:szCs w:val="20"/>
              </w:rPr>
              <w:t>Total pay bill</w:t>
            </w:r>
          </w:p>
        </w:tc>
        <w:tc>
          <w:tcPr>
            <w:tcW w:w="1721" w:type="dxa"/>
            <w:tcBorders>
              <w:top w:val="nil"/>
              <w:left w:val="nil"/>
              <w:bottom w:val="single" w:sz="4" w:space="0" w:color="auto"/>
              <w:right w:val="single" w:sz="4" w:space="0" w:color="auto"/>
            </w:tcBorders>
            <w:shd w:val="clear" w:color="auto" w:fill="auto"/>
            <w:noWrap/>
            <w:vAlign w:val="bottom"/>
            <w:hideMark/>
          </w:tcPr>
          <w:p w14:paraId="7FFB880C" w14:textId="3BABDF9E" w:rsidR="0092550F" w:rsidRPr="00B32A48" w:rsidRDefault="00E54851" w:rsidP="00B66DE2">
            <w:pPr>
              <w:spacing w:after="0" w:line="240" w:lineRule="auto"/>
              <w:rPr>
                <w:rFonts w:eastAsia="Times New Roman" w:cs="Arial"/>
                <w:sz w:val="20"/>
                <w:szCs w:val="20"/>
              </w:rPr>
            </w:pPr>
            <w:r w:rsidRPr="00B32A48">
              <w:rPr>
                <w:rFonts w:eastAsia="Times New Roman" w:cs="Arial"/>
                <w:color w:val="000000"/>
                <w:sz w:val="20"/>
                <w:szCs w:val="20"/>
              </w:rPr>
              <w:t>£5,485,551</w:t>
            </w:r>
          </w:p>
        </w:tc>
      </w:tr>
      <w:tr w:rsidR="0092550F" w:rsidRPr="00B32A48" w14:paraId="234BFBB0" w14:textId="77777777" w:rsidTr="00C82F99">
        <w:trPr>
          <w:trHeight w:val="288"/>
        </w:trPr>
        <w:tc>
          <w:tcPr>
            <w:tcW w:w="7635" w:type="dxa"/>
            <w:tcBorders>
              <w:top w:val="nil"/>
              <w:left w:val="single" w:sz="4" w:space="0" w:color="auto"/>
              <w:bottom w:val="single" w:sz="4" w:space="0" w:color="auto"/>
              <w:right w:val="single" w:sz="4" w:space="0" w:color="auto"/>
            </w:tcBorders>
            <w:shd w:val="clear" w:color="auto" w:fill="auto"/>
            <w:noWrap/>
            <w:vAlign w:val="center"/>
            <w:hideMark/>
          </w:tcPr>
          <w:p w14:paraId="4757852A" w14:textId="77777777" w:rsidR="0092550F" w:rsidRPr="00B32A48" w:rsidRDefault="0092550F" w:rsidP="00B66DE2">
            <w:pPr>
              <w:spacing w:after="0" w:line="240" w:lineRule="auto"/>
              <w:rPr>
                <w:rFonts w:eastAsia="Times New Roman" w:cs="Arial"/>
                <w:sz w:val="20"/>
                <w:szCs w:val="20"/>
              </w:rPr>
            </w:pPr>
            <w:r w:rsidRPr="00B32A48">
              <w:rPr>
                <w:rFonts w:eastAsia="Times New Roman" w:cs="Arial"/>
                <w:sz w:val="20"/>
                <w:szCs w:val="20"/>
              </w:rPr>
              <w:t>Percentage of total pay bill spent on facility time</w:t>
            </w:r>
          </w:p>
        </w:tc>
        <w:tc>
          <w:tcPr>
            <w:tcW w:w="1721" w:type="dxa"/>
            <w:tcBorders>
              <w:top w:val="nil"/>
              <w:left w:val="nil"/>
              <w:bottom w:val="single" w:sz="4" w:space="0" w:color="auto"/>
              <w:right w:val="single" w:sz="4" w:space="0" w:color="auto"/>
            </w:tcBorders>
            <w:shd w:val="clear" w:color="auto" w:fill="auto"/>
            <w:noWrap/>
            <w:vAlign w:val="bottom"/>
            <w:hideMark/>
          </w:tcPr>
          <w:p w14:paraId="039C6E9C" w14:textId="08B32CA7" w:rsidR="0092550F" w:rsidRPr="00B32A48" w:rsidRDefault="00E54851" w:rsidP="00B66DE2">
            <w:pPr>
              <w:spacing w:after="0" w:line="240" w:lineRule="auto"/>
              <w:rPr>
                <w:rFonts w:eastAsia="Times New Roman" w:cs="Arial"/>
                <w:sz w:val="20"/>
                <w:szCs w:val="20"/>
              </w:rPr>
            </w:pPr>
            <w:r w:rsidRPr="00B32A48">
              <w:rPr>
                <w:rFonts w:eastAsia="Times New Roman" w:cs="Arial"/>
                <w:color w:val="000000"/>
                <w:sz w:val="20"/>
                <w:szCs w:val="20"/>
              </w:rPr>
              <w:t>0.05%</w:t>
            </w:r>
          </w:p>
        </w:tc>
      </w:tr>
      <w:tr w:rsidR="0092550F" w:rsidRPr="00B32A48" w14:paraId="1760A736" w14:textId="77777777" w:rsidTr="00C82F99">
        <w:trPr>
          <w:trHeight w:val="288"/>
        </w:trPr>
        <w:tc>
          <w:tcPr>
            <w:tcW w:w="7635" w:type="dxa"/>
            <w:tcBorders>
              <w:top w:val="nil"/>
              <w:left w:val="nil"/>
              <w:bottom w:val="nil"/>
              <w:right w:val="nil"/>
            </w:tcBorders>
            <w:shd w:val="clear" w:color="auto" w:fill="auto"/>
            <w:noWrap/>
            <w:vAlign w:val="bottom"/>
            <w:hideMark/>
          </w:tcPr>
          <w:p w14:paraId="35035E70" w14:textId="77777777" w:rsidR="0092550F" w:rsidRPr="00B32A48" w:rsidRDefault="0092550F" w:rsidP="00B66DE2">
            <w:pPr>
              <w:spacing w:after="0" w:line="240" w:lineRule="auto"/>
              <w:rPr>
                <w:rFonts w:eastAsia="Times New Roman" w:cs="Arial"/>
                <w:sz w:val="20"/>
                <w:szCs w:val="20"/>
              </w:rPr>
            </w:pPr>
          </w:p>
        </w:tc>
        <w:tc>
          <w:tcPr>
            <w:tcW w:w="1721" w:type="dxa"/>
            <w:tcBorders>
              <w:top w:val="nil"/>
              <w:left w:val="nil"/>
              <w:bottom w:val="nil"/>
              <w:right w:val="nil"/>
            </w:tcBorders>
            <w:shd w:val="clear" w:color="auto" w:fill="auto"/>
            <w:noWrap/>
            <w:vAlign w:val="bottom"/>
            <w:hideMark/>
          </w:tcPr>
          <w:p w14:paraId="5D4ABDCF" w14:textId="77777777" w:rsidR="0092550F" w:rsidRPr="00B32A48" w:rsidRDefault="0092550F" w:rsidP="00B66DE2">
            <w:pPr>
              <w:spacing w:after="0" w:line="240" w:lineRule="auto"/>
              <w:rPr>
                <w:rFonts w:eastAsia="Times New Roman" w:cs="Arial"/>
                <w:sz w:val="20"/>
                <w:szCs w:val="20"/>
              </w:rPr>
            </w:pPr>
          </w:p>
        </w:tc>
      </w:tr>
      <w:tr w:rsidR="0092550F" w:rsidRPr="00B32A48" w14:paraId="58F0D13D" w14:textId="77777777" w:rsidTr="00C82F99">
        <w:trPr>
          <w:trHeight w:val="288"/>
        </w:trPr>
        <w:tc>
          <w:tcPr>
            <w:tcW w:w="93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1FB8381" w14:textId="77777777" w:rsidR="0092550F" w:rsidRPr="00B32A48" w:rsidRDefault="0092550F" w:rsidP="00B66DE2">
            <w:pPr>
              <w:spacing w:after="0" w:line="240" w:lineRule="auto"/>
              <w:rPr>
                <w:rFonts w:eastAsia="Times New Roman" w:cs="Arial"/>
                <w:b/>
                <w:bCs/>
                <w:sz w:val="20"/>
                <w:szCs w:val="20"/>
              </w:rPr>
            </w:pPr>
            <w:r w:rsidRPr="00B32A48">
              <w:rPr>
                <w:rFonts w:eastAsia="Times New Roman" w:cs="Arial"/>
                <w:b/>
                <w:bCs/>
                <w:sz w:val="20"/>
                <w:szCs w:val="20"/>
              </w:rPr>
              <w:t>Paid Trade Union Activities</w:t>
            </w:r>
          </w:p>
        </w:tc>
      </w:tr>
      <w:tr w:rsidR="0092550F" w:rsidRPr="00B32A48" w14:paraId="7AE0613B" w14:textId="77777777" w:rsidTr="00C82F99">
        <w:trPr>
          <w:trHeight w:val="288"/>
        </w:trPr>
        <w:tc>
          <w:tcPr>
            <w:tcW w:w="7635" w:type="dxa"/>
            <w:tcBorders>
              <w:top w:val="nil"/>
              <w:left w:val="single" w:sz="4" w:space="0" w:color="auto"/>
              <w:bottom w:val="single" w:sz="4" w:space="0" w:color="auto"/>
              <w:right w:val="single" w:sz="4" w:space="0" w:color="auto"/>
            </w:tcBorders>
            <w:shd w:val="clear" w:color="auto" w:fill="auto"/>
            <w:noWrap/>
            <w:vAlign w:val="bottom"/>
            <w:hideMark/>
          </w:tcPr>
          <w:p w14:paraId="29980839" w14:textId="77777777" w:rsidR="0092550F" w:rsidRPr="00B32A48" w:rsidRDefault="0092550F" w:rsidP="00B66DE2">
            <w:pPr>
              <w:spacing w:after="0" w:line="240" w:lineRule="auto"/>
              <w:rPr>
                <w:rFonts w:eastAsia="Times New Roman" w:cs="Arial"/>
                <w:sz w:val="20"/>
                <w:szCs w:val="20"/>
              </w:rPr>
            </w:pPr>
            <w:r w:rsidRPr="00B32A48">
              <w:rPr>
                <w:rFonts w:eastAsia="Times New Roman" w:cs="Arial"/>
                <w:sz w:val="20"/>
                <w:szCs w:val="20"/>
              </w:rPr>
              <w:t>Time spent on trade union activities as a percentage of paid facility time</w:t>
            </w:r>
          </w:p>
        </w:tc>
        <w:tc>
          <w:tcPr>
            <w:tcW w:w="1721" w:type="dxa"/>
            <w:tcBorders>
              <w:top w:val="nil"/>
              <w:left w:val="nil"/>
              <w:bottom w:val="single" w:sz="4" w:space="0" w:color="auto"/>
              <w:right w:val="single" w:sz="4" w:space="0" w:color="auto"/>
            </w:tcBorders>
            <w:shd w:val="clear" w:color="auto" w:fill="auto"/>
            <w:noWrap/>
            <w:vAlign w:val="bottom"/>
            <w:hideMark/>
          </w:tcPr>
          <w:p w14:paraId="48803E3C" w14:textId="330C301B" w:rsidR="0092550F" w:rsidRPr="00B32A48" w:rsidRDefault="00E54851" w:rsidP="00B66DE2">
            <w:pPr>
              <w:spacing w:after="0" w:line="240" w:lineRule="auto"/>
              <w:rPr>
                <w:rFonts w:eastAsia="Times New Roman" w:cs="Arial"/>
                <w:sz w:val="20"/>
                <w:szCs w:val="20"/>
              </w:rPr>
            </w:pPr>
            <w:r w:rsidRPr="00B32A48">
              <w:rPr>
                <w:rFonts w:eastAsia="Times New Roman" w:cs="Arial"/>
                <w:color w:val="000000"/>
                <w:sz w:val="20"/>
                <w:szCs w:val="20"/>
              </w:rPr>
              <w:t>38%</w:t>
            </w:r>
          </w:p>
        </w:tc>
      </w:tr>
    </w:tbl>
    <w:p w14:paraId="0CFF01AF" w14:textId="77777777" w:rsidR="001421D4" w:rsidRPr="00B32A48" w:rsidRDefault="001421D4" w:rsidP="00B66DE2">
      <w:pPr>
        <w:pStyle w:val="NoSpacing"/>
        <w:spacing w:before="0"/>
        <w:rPr>
          <w:rStyle w:val="Heading2Char"/>
          <w:b/>
          <w:sz w:val="20"/>
          <w:szCs w:val="20"/>
        </w:rPr>
      </w:pPr>
    </w:p>
    <w:p w14:paraId="42394334" w14:textId="7237E8CD" w:rsidR="00C82F99" w:rsidRPr="00806586" w:rsidRDefault="00C82F99" w:rsidP="00C82F99">
      <w:pPr>
        <w:pStyle w:val="Heading3"/>
        <w:rPr>
          <w:rFonts w:cs="Arial"/>
        </w:rPr>
      </w:pPr>
      <w:bookmarkStart w:id="163" w:name="_Toc103695068"/>
      <w:bookmarkStart w:id="164" w:name="_Toc41479114"/>
      <w:bookmarkStart w:id="165" w:name="_Toc41479115"/>
      <w:r w:rsidRPr="00806586">
        <w:rPr>
          <w:rFonts w:cs="Arial"/>
        </w:rPr>
        <w:lastRenderedPageBreak/>
        <w:t xml:space="preserve">CCG </w:t>
      </w:r>
      <w:r w:rsidR="004456EC">
        <w:rPr>
          <w:rFonts w:cs="Arial"/>
        </w:rPr>
        <w:t>s</w:t>
      </w:r>
      <w:r w:rsidRPr="00806586">
        <w:rPr>
          <w:rFonts w:cs="Arial"/>
        </w:rPr>
        <w:t>taff numbers 2021-22 (senior managers)</w:t>
      </w:r>
      <w:bookmarkEnd w:id="163"/>
      <w:r w:rsidRPr="00806586">
        <w:rPr>
          <w:rFonts w:cs="Arial"/>
        </w:rPr>
        <w:t xml:space="preserve"> </w:t>
      </w:r>
      <w:bookmarkEnd w:id="164"/>
    </w:p>
    <w:p w14:paraId="29D40CAA" w14:textId="77777777" w:rsidR="00C82F99" w:rsidRPr="00806586" w:rsidRDefault="00C82F99" w:rsidP="00C82F99">
      <w:pPr>
        <w:rPr>
          <w:rFonts w:eastAsia="Times New Roman" w:cs="Arial"/>
        </w:rPr>
      </w:pPr>
      <w:r w:rsidRPr="00806586">
        <w:rPr>
          <w:rFonts w:eastAsia="Times New Roman" w:cs="Arial"/>
        </w:rPr>
        <w:t>Please see table below for information on number of senior managers by band and analysed by ‘permanently employed’ and ‘other’ staff for NHS Hull CCG between 1 April 2021 and 31 March 2022.</w:t>
      </w:r>
    </w:p>
    <w:tbl>
      <w:tblPr>
        <w:tblW w:w="4864" w:type="pct"/>
        <w:tblInd w:w="-10" w:type="dxa"/>
        <w:tblLook w:val="04A0" w:firstRow="1" w:lastRow="0" w:firstColumn="1" w:lastColumn="0" w:noHBand="0" w:noVBand="1"/>
      </w:tblPr>
      <w:tblGrid>
        <w:gridCol w:w="6031"/>
        <w:gridCol w:w="3325"/>
      </w:tblGrid>
      <w:tr w:rsidR="00C82F99" w:rsidRPr="00806586" w14:paraId="6C7B0C13" w14:textId="77777777" w:rsidTr="00C82F99">
        <w:trPr>
          <w:trHeight w:val="375"/>
        </w:trPr>
        <w:tc>
          <w:tcPr>
            <w:tcW w:w="3223" w:type="pct"/>
            <w:tcBorders>
              <w:top w:val="single" w:sz="8" w:space="0" w:color="auto"/>
              <w:left w:val="single" w:sz="8" w:space="0" w:color="auto"/>
              <w:bottom w:val="single" w:sz="8" w:space="0" w:color="auto"/>
              <w:right w:val="single" w:sz="8" w:space="0" w:color="auto"/>
            </w:tcBorders>
            <w:shd w:val="clear" w:color="auto" w:fill="95B3D7"/>
            <w:noWrap/>
            <w:vAlign w:val="center"/>
            <w:hideMark/>
          </w:tcPr>
          <w:p w14:paraId="46F6A961" w14:textId="77777777" w:rsidR="00C82F99" w:rsidRPr="00806586" w:rsidRDefault="00C82F99" w:rsidP="00EA1031">
            <w:pPr>
              <w:spacing w:after="0"/>
              <w:rPr>
                <w:rFonts w:eastAsia="Times New Roman" w:cs="Arial"/>
              </w:rPr>
            </w:pPr>
            <w:r w:rsidRPr="00806586">
              <w:rPr>
                <w:rFonts w:eastAsia="Times New Roman" w:cs="Arial"/>
              </w:rPr>
              <w:t>Pay band</w:t>
            </w:r>
          </w:p>
        </w:tc>
        <w:tc>
          <w:tcPr>
            <w:tcW w:w="1777" w:type="pct"/>
            <w:tcBorders>
              <w:top w:val="single" w:sz="8" w:space="0" w:color="auto"/>
              <w:left w:val="nil"/>
              <w:bottom w:val="single" w:sz="8" w:space="0" w:color="auto"/>
              <w:right w:val="single" w:sz="8" w:space="0" w:color="auto"/>
            </w:tcBorders>
            <w:shd w:val="clear" w:color="auto" w:fill="95B3D7"/>
            <w:noWrap/>
            <w:vAlign w:val="center"/>
            <w:hideMark/>
          </w:tcPr>
          <w:p w14:paraId="7FCCBCFC" w14:textId="77777777" w:rsidR="00C82F99" w:rsidRPr="00806586" w:rsidRDefault="00C82F99" w:rsidP="00EA1031">
            <w:pPr>
              <w:spacing w:after="0"/>
              <w:rPr>
                <w:rFonts w:eastAsia="Times New Roman" w:cs="Arial"/>
              </w:rPr>
            </w:pPr>
            <w:r w:rsidRPr="00806586">
              <w:rPr>
                <w:rFonts w:eastAsia="Times New Roman" w:cs="Arial"/>
              </w:rPr>
              <w:t>Total</w:t>
            </w:r>
          </w:p>
        </w:tc>
      </w:tr>
      <w:tr w:rsidR="00C82F99" w:rsidRPr="00806586" w14:paraId="4F16E411" w14:textId="77777777" w:rsidTr="00C82F99">
        <w:trPr>
          <w:trHeight w:val="345"/>
        </w:trPr>
        <w:tc>
          <w:tcPr>
            <w:tcW w:w="3223" w:type="pct"/>
            <w:tcBorders>
              <w:top w:val="nil"/>
              <w:left w:val="single" w:sz="8" w:space="0" w:color="auto"/>
              <w:bottom w:val="single" w:sz="4" w:space="0" w:color="auto"/>
              <w:right w:val="single" w:sz="8" w:space="0" w:color="auto"/>
            </w:tcBorders>
            <w:shd w:val="clear" w:color="auto" w:fill="auto"/>
            <w:noWrap/>
            <w:vAlign w:val="bottom"/>
            <w:hideMark/>
          </w:tcPr>
          <w:p w14:paraId="478B30E9" w14:textId="77777777" w:rsidR="00C82F99" w:rsidRPr="00806586" w:rsidRDefault="00C82F99" w:rsidP="00EA1031">
            <w:pPr>
              <w:spacing w:after="0"/>
              <w:rPr>
                <w:rFonts w:eastAsia="Times New Roman" w:cs="Arial"/>
              </w:rPr>
            </w:pPr>
            <w:r w:rsidRPr="00806586">
              <w:rPr>
                <w:rFonts w:eastAsia="Times New Roman" w:cs="Arial"/>
              </w:rPr>
              <w:t xml:space="preserve">Band 8a </w:t>
            </w:r>
          </w:p>
        </w:tc>
        <w:tc>
          <w:tcPr>
            <w:tcW w:w="1777" w:type="pct"/>
            <w:tcBorders>
              <w:top w:val="nil"/>
              <w:left w:val="nil"/>
              <w:bottom w:val="single" w:sz="4" w:space="0" w:color="auto"/>
              <w:right w:val="single" w:sz="8" w:space="0" w:color="auto"/>
            </w:tcBorders>
            <w:shd w:val="clear" w:color="auto" w:fill="auto"/>
            <w:noWrap/>
            <w:vAlign w:val="bottom"/>
          </w:tcPr>
          <w:p w14:paraId="41E025CC" w14:textId="77777777" w:rsidR="00C82F99" w:rsidRPr="00806586" w:rsidRDefault="00C82F99" w:rsidP="00EA1031">
            <w:pPr>
              <w:spacing w:after="0"/>
              <w:rPr>
                <w:rFonts w:eastAsia="Times New Roman" w:cs="Arial"/>
              </w:rPr>
            </w:pPr>
            <w:r w:rsidRPr="00806586">
              <w:rPr>
                <w:rFonts w:eastAsia="Times New Roman" w:cs="Arial"/>
              </w:rPr>
              <w:t>14</w:t>
            </w:r>
          </w:p>
        </w:tc>
      </w:tr>
      <w:tr w:rsidR="00C82F99" w:rsidRPr="00806586" w14:paraId="77D8279B" w14:textId="77777777" w:rsidTr="00C82F99">
        <w:trPr>
          <w:trHeight w:val="345"/>
        </w:trPr>
        <w:tc>
          <w:tcPr>
            <w:tcW w:w="3223" w:type="pct"/>
            <w:tcBorders>
              <w:top w:val="nil"/>
              <w:left w:val="single" w:sz="8" w:space="0" w:color="auto"/>
              <w:bottom w:val="single" w:sz="4" w:space="0" w:color="auto"/>
              <w:right w:val="single" w:sz="8" w:space="0" w:color="auto"/>
            </w:tcBorders>
            <w:shd w:val="clear" w:color="auto" w:fill="auto"/>
            <w:noWrap/>
            <w:vAlign w:val="bottom"/>
            <w:hideMark/>
          </w:tcPr>
          <w:p w14:paraId="3C383BAA" w14:textId="77777777" w:rsidR="00C82F99" w:rsidRPr="00806586" w:rsidRDefault="00C82F99" w:rsidP="00EA1031">
            <w:pPr>
              <w:spacing w:after="0"/>
              <w:rPr>
                <w:rFonts w:eastAsia="Times New Roman" w:cs="Arial"/>
              </w:rPr>
            </w:pPr>
            <w:r w:rsidRPr="00806586">
              <w:rPr>
                <w:rFonts w:eastAsia="Times New Roman" w:cs="Arial"/>
              </w:rPr>
              <w:t>Band 8b</w:t>
            </w:r>
          </w:p>
        </w:tc>
        <w:tc>
          <w:tcPr>
            <w:tcW w:w="1777" w:type="pct"/>
            <w:tcBorders>
              <w:top w:val="nil"/>
              <w:left w:val="nil"/>
              <w:bottom w:val="single" w:sz="4" w:space="0" w:color="auto"/>
              <w:right w:val="single" w:sz="8" w:space="0" w:color="auto"/>
            </w:tcBorders>
            <w:shd w:val="clear" w:color="auto" w:fill="auto"/>
            <w:noWrap/>
            <w:vAlign w:val="bottom"/>
          </w:tcPr>
          <w:p w14:paraId="5455BA47" w14:textId="77777777" w:rsidR="00C82F99" w:rsidRPr="00806586" w:rsidRDefault="00C82F99" w:rsidP="00EA1031">
            <w:pPr>
              <w:spacing w:after="0"/>
              <w:rPr>
                <w:rFonts w:eastAsia="Times New Roman" w:cs="Arial"/>
              </w:rPr>
            </w:pPr>
            <w:r w:rsidRPr="00806586">
              <w:rPr>
                <w:rFonts w:eastAsia="Times New Roman" w:cs="Arial"/>
              </w:rPr>
              <w:t>11</w:t>
            </w:r>
          </w:p>
        </w:tc>
      </w:tr>
      <w:tr w:rsidR="00C82F99" w:rsidRPr="00806586" w14:paraId="138C1A65" w14:textId="77777777" w:rsidTr="00C82F99">
        <w:trPr>
          <w:trHeight w:val="345"/>
        </w:trPr>
        <w:tc>
          <w:tcPr>
            <w:tcW w:w="3223" w:type="pct"/>
            <w:tcBorders>
              <w:top w:val="nil"/>
              <w:left w:val="single" w:sz="8" w:space="0" w:color="auto"/>
              <w:bottom w:val="single" w:sz="4" w:space="0" w:color="auto"/>
              <w:right w:val="single" w:sz="8" w:space="0" w:color="auto"/>
            </w:tcBorders>
            <w:shd w:val="clear" w:color="auto" w:fill="auto"/>
            <w:noWrap/>
            <w:vAlign w:val="bottom"/>
            <w:hideMark/>
          </w:tcPr>
          <w:p w14:paraId="3A746224" w14:textId="77777777" w:rsidR="00C82F99" w:rsidRPr="00806586" w:rsidRDefault="00C82F99" w:rsidP="00EA1031">
            <w:pPr>
              <w:spacing w:after="0"/>
              <w:rPr>
                <w:rFonts w:eastAsia="Times New Roman" w:cs="Arial"/>
              </w:rPr>
            </w:pPr>
            <w:r w:rsidRPr="00806586">
              <w:rPr>
                <w:rFonts w:eastAsia="Times New Roman" w:cs="Arial"/>
              </w:rPr>
              <w:t>Band 8c</w:t>
            </w:r>
          </w:p>
        </w:tc>
        <w:tc>
          <w:tcPr>
            <w:tcW w:w="1777" w:type="pct"/>
            <w:tcBorders>
              <w:top w:val="nil"/>
              <w:left w:val="nil"/>
              <w:bottom w:val="single" w:sz="4" w:space="0" w:color="auto"/>
              <w:right w:val="single" w:sz="8" w:space="0" w:color="auto"/>
            </w:tcBorders>
            <w:shd w:val="clear" w:color="auto" w:fill="auto"/>
            <w:noWrap/>
            <w:vAlign w:val="bottom"/>
          </w:tcPr>
          <w:p w14:paraId="1DE5CA3C" w14:textId="77777777" w:rsidR="00C82F99" w:rsidRPr="00806586" w:rsidRDefault="00C82F99" w:rsidP="00EA1031">
            <w:pPr>
              <w:spacing w:after="0"/>
              <w:rPr>
                <w:rFonts w:eastAsia="Times New Roman" w:cs="Arial"/>
              </w:rPr>
            </w:pPr>
            <w:r w:rsidRPr="00806586">
              <w:rPr>
                <w:rFonts w:eastAsia="Times New Roman" w:cs="Arial"/>
              </w:rPr>
              <w:t>6</w:t>
            </w:r>
          </w:p>
        </w:tc>
      </w:tr>
      <w:tr w:rsidR="00C82F99" w:rsidRPr="00806586" w14:paraId="0AFC0F3C" w14:textId="77777777" w:rsidTr="00C82F99">
        <w:trPr>
          <w:trHeight w:val="345"/>
        </w:trPr>
        <w:tc>
          <w:tcPr>
            <w:tcW w:w="3223" w:type="pct"/>
            <w:tcBorders>
              <w:top w:val="nil"/>
              <w:left w:val="single" w:sz="8" w:space="0" w:color="auto"/>
              <w:bottom w:val="single" w:sz="4" w:space="0" w:color="auto"/>
              <w:right w:val="single" w:sz="8" w:space="0" w:color="auto"/>
            </w:tcBorders>
            <w:shd w:val="clear" w:color="auto" w:fill="auto"/>
            <w:noWrap/>
            <w:vAlign w:val="bottom"/>
            <w:hideMark/>
          </w:tcPr>
          <w:p w14:paraId="00DD49D2" w14:textId="77777777" w:rsidR="00C82F99" w:rsidRPr="00806586" w:rsidRDefault="00C82F99" w:rsidP="00EA1031">
            <w:pPr>
              <w:spacing w:after="0"/>
              <w:rPr>
                <w:rFonts w:eastAsia="Times New Roman" w:cs="Arial"/>
              </w:rPr>
            </w:pPr>
            <w:r w:rsidRPr="00806586">
              <w:rPr>
                <w:rFonts w:eastAsia="Times New Roman" w:cs="Arial"/>
              </w:rPr>
              <w:t>Band 8d</w:t>
            </w:r>
          </w:p>
        </w:tc>
        <w:tc>
          <w:tcPr>
            <w:tcW w:w="1777" w:type="pct"/>
            <w:tcBorders>
              <w:top w:val="nil"/>
              <w:left w:val="nil"/>
              <w:bottom w:val="single" w:sz="4" w:space="0" w:color="auto"/>
              <w:right w:val="single" w:sz="8" w:space="0" w:color="auto"/>
            </w:tcBorders>
            <w:shd w:val="clear" w:color="auto" w:fill="auto"/>
            <w:noWrap/>
            <w:vAlign w:val="bottom"/>
          </w:tcPr>
          <w:p w14:paraId="4465A873" w14:textId="77777777" w:rsidR="00C82F99" w:rsidRPr="00806586" w:rsidRDefault="00C82F99" w:rsidP="00EA1031">
            <w:pPr>
              <w:spacing w:after="0"/>
              <w:rPr>
                <w:rFonts w:eastAsia="Times New Roman" w:cs="Arial"/>
              </w:rPr>
            </w:pPr>
            <w:r w:rsidRPr="00806586">
              <w:rPr>
                <w:rFonts w:eastAsia="Times New Roman" w:cs="Arial"/>
              </w:rPr>
              <w:t>4</w:t>
            </w:r>
          </w:p>
        </w:tc>
      </w:tr>
      <w:tr w:rsidR="00C82F99" w:rsidRPr="00806586" w14:paraId="44506207" w14:textId="77777777" w:rsidTr="00C82F99">
        <w:trPr>
          <w:trHeight w:val="345"/>
        </w:trPr>
        <w:tc>
          <w:tcPr>
            <w:tcW w:w="3223" w:type="pct"/>
            <w:tcBorders>
              <w:top w:val="nil"/>
              <w:left w:val="single" w:sz="8" w:space="0" w:color="auto"/>
              <w:bottom w:val="single" w:sz="4" w:space="0" w:color="auto"/>
              <w:right w:val="single" w:sz="8" w:space="0" w:color="auto"/>
            </w:tcBorders>
            <w:shd w:val="clear" w:color="auto" w:fill="auto"/>
            <w:noWrap/>
            <w:vAlign w:val="bottom"/>
            <w:hideMark/>
          </w:tcPr>
          <w:p w14:paraId="02E12C5E" w14:textId="77777777" w:rsidR="00C82F99" w:rsidRPr="00806586" w:rsidRDefault="00C82F99" w:rsidP="00EA1031">
            <w:pPr>
              <w:spacing w:after="0"/>
              <w:rPr>
                <w:rFonts w:eastAsia="Times New Roman" w:cs="Arial"/>
              </w:rPr>
            </w:pPr>
            <w:r w:rsidRPr="00806586">
              <w:rPr>
                <w:rFonts w:eastAsia="Times New Roman" w:cs="Arial"/>
              </w:rPr>
              <w:t>Band 9</w:t>
            </w:r>
          </w:p>
        </w:tc>
        <w:tc>
          <w:tcPr>
            <w:tcW w:w="1777" w:type="pct"/>
            <w:tcBorders>
              <w:top w:val="nil"/>
              <w:left w:val="nil"/>
              <w:bottom w:val="single" w:sz="4" w:space="0" w:color="auto"/>
              <w:right w:val="single" w:sz="8" w:space="0" w:color="auto"/>
            </w:tcBorders>
            <w:shd w:val="clear" w:color="auto" w:fill="auto"/>
            <w:noWrap/>
            <w:vAlign w:val="bottom"/>
          </w:tcPr>
          <w:p w14:paraId="136FD523" w14:textId="77777777" w:rsidR="00C82F99" w:rsidRPr="00806586" w:rsidRDefault="00C82F99" w:rsidP="00EA1031">
            <w:pPr>
              <w:spacing w:after="0"/>
              <w:rPr>
                <w:rFonts w:eastAsia="Times New Roman" w:cs="Arial"/>
              </w:rPr>
            </w:pPr>
            <w:r w:rsidRPr="00806586">
              <w:rPr>
                <w:rFonts w:eastAsia="Times New Roman" w:cs="Arial"/>
              </w:rPr>
              <w:t>1</w:t>
            </w:r>
          </w:p>
        </w:tc>
      </w:tr>
      <w:tr w:rsidR="00C82F99" w:rsidRPr="00806586" w14:paraId="15972824" w14:textId="77777777" w:rsidTr="00C82F99">
        <w:trPr>
          <w:trHeight w:val="345"/>
        </w:trPr>
        <w:tc>
          <w:tcPr>
            <w:tcW w:w="3223" w:type="pct"/>
            <w:tcBorders>
              <w:top w:val="nil"/>
              <w:left w:val="single" w:sz="8" w:space="0" w:color="auto"/>
              <w:bottom w:val="single" w:sz="4" w:space="0" w:color="auto"/>
              <w:right w:val="single" w:sz="8" w:space="0" w:color="auto"/>
            </w:tcBorders>
            <w:shd w:val="clear" w:color="auto" w:fill="auto"/>
            <w:noWrap/>
            <w:vAlign w:val="bottom"/>
            <w:hideMark/>
          </w:tcPr>
          <w:p w14:paraId="5ACD8DDE" w14:textId="77777777" w:rsidR="00C82F99" w:rsidRPr="00806586" w:rsidRDefault="00C82F99" w:rsidP="00EA1031">
            <w:pPr>
              <w:spacing w:after="0"/>
              <w:rPr>
                <w:rFonts w:eastAsia="Times New Roman" w:cs="Arial"/>
              </w:rPr>
            </w:pPr>
            <w:r w:rsidRPr="00806586">
              <w:rPr>
                <w:rFonts w:eastAsia="Times New Roman" w:cs="Arial"/>
              </w:rPr>
              <w:t>VSM</w:t>
            </w:r>
          </w:p>
        </w:tc>
        <w:tc>
          <w:tcPr>
            <w:tcW w:w="1777" w:type="pct"/>
            <w:tcBorders>
              <w:top w:val="nil"/>
              <w:left w:val="nil"/>
              <w:bottom w:val="single" w:sz="4" w:space="0" w:color="auto"/>
              <w:right w:val="single" w:sz="8" w:space="0" w:color="auto"/>
            </w:tcBorders>
            <w:shd w:val="clear" w:color="auto" w:fill="auto"/>
            <w:noWrap/>
            <w:vAlign w:val="bottom"/>
          </w:tcPr>
          <w:p w14:paraId="1AC869FF" w14:textId="77777777" w:rsidR="00C82F99" w:rsidRPr="00806586" w:rsidRDefault="00C82F99" w:rsidP="00EA1031">
            <w:pPr>
              <w:spacing w:after="0"/>
              <w:rPr>
                <w:rFonts w:eastAsia="Times New Roman" w:cs="Arial"/>
              </w:rPr>
            </w:pPr>
            <w:r w:rsidRPr="00806586">
              <w:rPr>
                <w:rFonts w:eastAsia="Times New Roman" w:cs="Arial"/>
              </w:rPr>
              <w:t>6</w:t>
            </w:r>
          </w:p>
        </w:tc>
      </w:tr>
      <w:tr w:rsidR="00C82F99" w:rsidRPr="00806586" w14:paraId="6466D2E3" w14:textId="77777777" w:rsidTr="00C82F99">
        <w:trPr>
          <w:trHeight w:val="345"/>
        </w:trPr>
        <w:tc>
          <w:tcPr>
            <w:tcW w:w="3223" w:type="pct"/>
            <w:tcBorders>
              <w:top w:val="nil"/>
              <w:left w:val="single" w:sz="8" w:space="0" w:color="auto"/>
              <w:bottom w:val="nil"/>
              <w:right w:val="single" w:sz="8" w:space="0" w:color="auto"/>
            </w:tcBorders>
            <w:shd w:val="clear" w:color="auto" w:fill="auto"/>
            <w:noWrap/>
            <w:vAlign w:val="bottom"/>
            <w:hideMark/>
          </w:tcPr>
          <w:p w14:paraId="62EBB203" w14:textId="77777777" w:rsidR="00C82F99" w:rsidRPr="00806586" w:rsidRDefault="00C82F99" w:rsidP="00EA1031">
            <w:pPr>
              <w:spacing w:after="0"/>
              <w:rPr>
                <w:rFonts w:eastAsia="Times New Roman" w:cs="Arial"/>
              </w:rPr>
            </w:pPr>
            <w:r w:rsidRPr="00806586">
              <w:rPr>
                <w:rFonts w:eastAsia="Times New Roman" w:cs="Arial"/>
              </w:rPr>
              <w:t>Governing body</w:t>
            </w:r>
          </w:p>
        </w:tc>
        <w:tc>
          <w:tcPr>
            <w:tcW w:w="1777" w:type="pct"/>
            <w:tcBorders>
              <w:top w:val="nil"/>
              <w:left w:val="nil"/>
              <w:bottom w:val="nil"/>
              <w:right w:val="single" w:sz="8" w:space="0" w:color="auto"/>
            </w:tcBorders>
            <w:shd w:val="clear" w:color="auto" w:fill="auto"/>
            <w:noWrap/>
            <w:vAlign w:val="bottom"/>
          </w:tcPr>
          <w:p w14:paraId="0718FB21" w14:textId="77777777" w:rsidR="00C82F99" w:rsidRPr="00806586" w:rsidRDefault="00C82F99" w:rsidP="00EA1031">
            <w:pPr>
              <w:spacing w:after="0"/>
              <w:rPr>
                <w:rFonts w:eastAsia="Times New Roman" w:cs="Arial"/>
              </w:rPr>
            </w:pPr>
            <w:r w:rsidRPr="00806586">
              <w:rPr>
                <w:rFonts w:eastAsia="Times New Roman" w:cs="Arial"/>
              </w:rPr>
              <w:t>16 *</w:t>
            </w:r>
          </w:p>
        </w:tc>
      </w:tr>
      <w:tr w:rsidR="00C82F99" w:rsidRPr="00806586" w14:paraId="0EFEC5AB" w14:textId="77777777" w:rsidTr="00C82F99">
        <w:trPr>
          <w:trHeight w:val="345"/>
        </w:trPr>
        <w:tc>
          <w:tcPr>
            <w:tcW w:w="3223" w:type="pct"/>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57B54D9E" w14:textId="77777777" w:rsidR="00C82F99" w:rsidRPr="00806586" w:rsidRDefault="00C82F99" w:rsidP="00EA1031">
            <w:pPr>
              <w:spacing w:after="0"/>
              <w:rPr>
                <w:rFonts w:eastAsia="Times New Roman" w:cs="Arial"/>
              </w:rPr>
            </w:pPr>
            <w:r w:rsidRPr="00806586">
              <w:rPr>
                <w:rFonts w:eastAsia="Times New Roman" w:cs="Arial"/>
              </w:rPr>
              <w:t>Any other spot salary</w:t>
            </w:r>
          </w:p>
        </w:tc>
        <w:tc>
          <w:tcPr>
            <w:tcW w:w="1777" w:type="pct"/>
            <w:tcBorders>
              <w:top w:val="single" w:sz="4" w:space="0" w:color="auto"/>
              <w:left w:val="nil"/>
              <w:bottom w:val="single" w:sz="8" w:space="0" w:color="auto"/>
              <w:right w:val="single" w:sz="8" w:space="0" w:color="auto"/>
            </w:tcBorders>
            <w:shd w:val="clear" w:color="000000" w:fill="FFFFFF"/>
            <w:noWrap/>
            <w:vAlign w:val="bottom"/>
          </w:tcPr>
          <w:p w14:paraId="616F899A" w14:textId="77777777" w:rsidR="00C82F99" w:rsidRPr="00806586" w:rsidRDefault="00C82F99" w:rsidP="00EA1031">
            <w:pPr>
              <w:spacing w:after="0"/>
              <w:rPr>
                <w:rFonts w:eastAsia="Times New Roman" w:cs="Arial"/>
              </w:rPr>
            </w:pPr>
            <w:r w:rsidRPr="00806586">
              <w:rPr>
                <w:rFonts w:eastAsia="Times New Roman" w:cs="Arial"/>
              </w:rPr>
              <w:t>21*</w:t>
            </w:r>
          </w:p>
        </w:tc>
      </w:tr>
      <w:tr w:rsidR="00C82F99" w:rsidRPr="00806586" w14:paraId="239DB4A0" w14:textId="77777777" w:rsidTr="00C82F99">
        <w:trPr>
          <w:trHeight w:val="345"/>
        </w:trPr>
        <w:tc>
          <w:tcPr>
            <w:tcW w:w="3223" w:type="pct"/>
            <w:tcBorders>
              <w:top w:val="single" w:sz="4" w:space="0" w:color="auto"/>
              <w:left w:val="single" w:sz="8" w:space="0" w:color="auto"/>
              <w:bottom w:val="single" w:sz="8" w:space="0" w:color="auto"/>
              <w:right w:val="single" w:sz="8" w:space="0" w:color="auto"/>
            </w:tcBorders>
            <w:shd w:val="clear" w:color="auto" w:fill="95B3D7"/>
            <w:noWrap/>
            <w:vAlign w:val="bottom"/>
          </w:tcPr>
          <w:p w14:paraId="5EF1FA1A" w14:textId="77777777" w:rsidR="00C82F99" w:rsidRPr="00806586" w:rsidRDefault="00C82F99" w:rsidP="00EA1031">
            <w:pPr>
              <w:spacing w:after="0"/>
              <w:rPr>
                <w:rFonts w:eastAsia="Times New Roman" w:cs="Arial"/>
              </w:rPr>
            </w:pPr>
            <w:r w:rsidRPr="00806586">
              <w:rPr>
                <w:rFonts w:eastAsia="Times New Roman" w:cs="Arial"/>
              </w:rPr>
              <w:t>Assignment category</w:t>
            </w:r>
          </w:p>
        </w:tc>
        <w:tc>
          <w:tcPr>
            <w:tcW w:w="1777" w:type="pct"/>
            <w:tcBorders>
              <w:top w:val="single" w:sz="4" w:space="0" w:color="auto"/>
              <w:left w:val="nil"/>
              <w:bottom w:val="single" w:sz="8" w:space="0" w:color="auto"/>
              <w:right w:val="single" w:sz="8" w:space="0" w:color="auto"/>
            </w:tcBorders>
            <w:shd w:val="clear" w:color="auto" w:fill="95B3D7"/>
            <w:noWrap/>
            <w:vAlign w:val="bottom"/>
          </w:tcPr>
          <w:p w14:paraId="04148E24" w14:textId="77777777" w:rsidR="00C82F99" w:rsidRPr="00806586" w:rsidRDefault="00C82F99" w:rsidP="00EA1031">
            <w:pPr>
              <w:spacing w:after="0"/>
              <w:rPr>
                <w:rFonts w:eastAsia="Times New Roman" w:cs="Arial"/>
              </w:rPr>
            </w:pPr>
            <w:r w:rsidRPr="00806586">
              <w:rPr>
                <w:rFonts w:eastAsia="Times New Roman" w:cs="Arial"/>
              </w:rPr>
              <w:t>Total</w:t>
            </w:r>
          </w:p>
        </w:tc>
      </w:tr>
      <w:tr w:rsidR="00C82F99" w:rsidRPr="00806586" w14:paraId="4ACFF4F2" w14:textId="77777777" w:rsidTr="00C82F99">
        <w:trPr>
          <w:trHeight w:val="345"/>
        </w:trPr>
        <w:tc>
          <w:tcPr>
            <w:tcW w:w="3223" w:type="pct"/>
            <w:tcBorders>
              <w:top w:val="single" w:sz="8" w:space="0" w:color="auto"/>
              <w:left w:val="single" w:sz="8" w:space="0" w:color="auto"/>
              <w:bottom w:val="single" w:sz="4" w:space="0" w:color="auto"/>
              <w:right w:val="single" w:sz="8" w:space="0" w:color="auto"/>
            </w:tcBorders>
            <w:shd w:val="clear" w:color="000000" w:fill="FFFFFF"/>
            <w:noWrap/>
            <w:vAlign w:val="bottom"/>
          </w:tcPr>
          <w:p w14:paraId="742724C8" w14:textId="77777777" w:rsidR="00C82F99" w:rsidRPr="00806586" w:rsidRDefault="00C82F99" w:rsidP="00EA1031">
            <w:pPr>
              <w:spacing w:after="0"/>
              <w:rPr>
                <w:rFonts w:eastAsia="Times New Roman" w:cs="Arial"/>
              </w:rPr>
            </w:pPr>
            <w:r w:rsidRPr="00806586">
              <w:rPr>
                <w:rFonts w:eastAsia="Times New Roman" w:cs="Arial"/>
              </w:rPr>
              <w:t>Permanent</w:t>
            </w:r>
          </w:p>
        </w:tc>
        <w:tc>
          <w:tcPr>
            <w:tcW w:w="1777" w:type="pct"/>
            <w:tcBorders>
              <w:top w:val="single" w:sz="8" w:space="0" w:color="auto"/>
              <w:left w:val="nil"/>
              <w:bottom w:val="single" w:sz="4" w:space="0" w:color="auto"/>
              <w:right w:val="single" w:sz="8" w:space="0" w:color="auto"/>
            </w:tcBorders>
            <w:shd w:val="clear" w:color="000000" w:fill="FFFFFF"/>
            <w:noWrap/>
            <w:vAlign w:val="bottom"/>
          </w:tcPr>
          <w:p w14:paraId="1CBAF183" w14:textId="77777777" w:rsidR="00C82F99" w:rsidRPr="00806586" w:rsidRDefault="00C82F99" w:rsidP="00EA1031">
            <w:pPr>
              <w:spacing w:after="0"/>
              <w:rPr>
                <w:rFonts w:eastAsia="Times New Roman" w:cs="Arial"/>
              </w:rPr>
            </w:pPr>
            <w:r w:rsidRPr="00806586">
              <w:rPr>
                <w:rFonts w:eastAsia="Times New Roman" w:cs="Arial"/>
              </w:rPr>
              <w:t>78</w:t>
            </w:r>
          </w:p>
        </w:tc>
      </w:tr>
      <w:tr w:rsidR="00C82F99" w:rsidRPr="00806586" w14:paraId="13FBE108" w14:textId="77777777" w:rsidTr="00C82F99">
        <w:trPr>
          <w:trHeight w:val="345"/>
        </w:trPr>
        <w:tc>
          <w:tcPr>
            <w:tcW w:w="3223" w:type="pct"/>
            <w:tcBorders>
              <w:top w:val="single" w:sz="4" w:space="0" w:color="auto"/>
              <w:left w:val="single" w:sz="8" w:space="0" w:color="auto"/>
              <w:bottom w:val="single" w:sz="4" w:space="0" w:color="auto"/>
              <w:right w:val="single" w:sz="8" w:space="0" w:color="auto"/>
            </w:tcBorders>
            <w:shd w:val="clear" w:color="000000" w:fill="FFFFFF"/>
            <w:noWrap/>
            <w:vAlign w:val="bottom"/>
          </w:tcPr>
          <w:p w14:paraId="26F4D742" w14:textId="77777777" w:rsidR="00C82F99" w:rsidRPr="00806586" w:rsidRDefault="00C82F99" w:rsidP="00EA1031">
            <w:pPr>
              <w:spacing w:after="0"/>
              <w:rPr>
                <w:rFonts w:eastAsia="Times New Roman" w:cs="Arial"/>
              </w:rPr>
            </w:pPr>
            <w:r w:rsidRPr="00806586">
              <w:rPr>
                <w:rFonts w:eastAsia="Times New Roman" w:cs="Arial"/>
              </w:rPr>
              <w:t>Fixed term</w:t>
            </w:r>
          </w:p>
        </w:tc>
        <w:tc>
          <w:tcPr>
            <w:tcW w:w="1777" w:type="pct"/>
            <w:tcBorders>
              <w:top w:val="single" w:sz="4" w:space="0" w:color="auto"/>
              <w:left w:val="nil"/>
              <w:bottom w:val="single" w:sz="4" w:space="0" w:color="auto"/>
              <w:right w:val="single" w:sz="8" w:space="0" w:color="auto"/>
            </w:tcBorders>
            <w:shd w:val="clear" w:color="000000" w:fill="FFFFFF"/>
            <w:noWrap/>
            <w:vAlign w:val="bottom"/>
          </w:tcPr>
          <w:p w14:paraId="19F2D5AC" w14:textId="77777777" w:rsidR="00C82F99" w:rsidRPr="00806586" w:rsidRDefault="00C82F99" w:rsidP="00EA1031">
            <w:pPr>
              <w:spacing w:after="0"/>
              <w:rPr>
                <w:rFonts w:eastAsia="Times New Roman" w:cs="Arial"/>
              </w:rPr>
            </w:pPr>
            <w:r w:rsidRPr="00806586">
              <w:rPr>
                <w:rFonts w:eastAsia="Times New Roman" w:cs="Arial"/>
              </w:rPr>
              <w:t>10</w:t>
            </w:r>
          </w:p>
        </w:tc>
      </w:tr>
      <w:tr w:rsidR="00C82F99" w:rsidRPr="00806586" w14:paraId="091012D5" w14:textId="77777777" w:rsidTr="00C82F99">
        <w:trPr>
          <w:trHeight w:val="345"/>
        </w:trPr>
        <w:tc>
          <w:tcPr>
            <w:tcW w:w="3223" w:type="pct"/>
            <w:tcBorders>
              <w:top w:val="single" w:sz="4" w:space="0" w:color="auto"/>
              <w:left w:val="single" w:sz="8" w:space="0" w:color="auto"/>
              <w:bottom w:val="single" w:sz="4" w:space="0" w:color="auto"/>
              <w:right w:val="single" w:sz="8" w:space="0" w:color="auto"/>
            </w:tcBorders>
            <w:shd w:val="clear" w:color="000000" w:fill="FFFFFF"/>
            <w:noWrap/>
            <w:vAlign w:val="bottom"/>
          </w:tcPr>
          <w:p w14:paraId="40F4B690" w14:textId="77777777" w:rsidR="00C82F99" w:rsidRPr="00806586" w:rsidRDefault="00C82F99" w:rsidP="00EA1031">
            <w:pPr>
              <w:spacing w:after="0"/>
              <w:rPr>
                <w:rFonts w:eastAsia="Times New Roman" w:cs="Arial"/>
              </w:rPr>
            </w:pPr>
            <w:r w:rsidRPr="00806586">
              <w:rPr>
                <w:rFonts w:eastAsia="Times New Roman" w:cs="Arial"/>
              </w:rPr>
              <w:t>Statutory office holders</w:t>
            </w:r>
          </w:p>
        </w:tc>
        <w:tc>
          <w:tcPr>
            <w:tcW w:w="1777" w:type="pct"/>
            <w:tcBorders>
              <w:top w:val="single" w:sz="4" w:space="0" w:color="auto"/>
              <w:left w:val="nil"/>
              <w:bottom w:val="single" w:sz="4" w:space="0" w:color="auto"/>
              <w:right w:val="single" w:sz="8" w:space="0" w:color="auto"/>
            </w:tcBorders>
            <w:shd w:val="clear" w:color="000000" w:fill="FFFFFF"/>
            <w:noWrap/>
            <w:vAlign w:val="bottom"/>
          </w:tcPr>
          <w:p w14:paraId="070C972B" w14:textId="77777777" w:rsidR="00C82F99" w:rsidRPr="00806586" w:rsidRDefault="00C82F99" w:rsidP="00EA1031">
            <w:pPr>
              <w:spacing w:after="0"/>
              <w:rPr>
                <w:rFonts w:eastAsia="Times New Roman" w:cs="Arial"/>
              </w:rPr>
            </w:pPr>
            <w:r w:rsidRPr="00806586">
              <w:rPr>
                <w:rFonts w:eastAsia="Times New Roman" w:cs="Arial"/>
              </w:rPr>
              <w:t>9</w:t>
            </w:r>
          </w:p>
        </w:tc>
      </w:tr>
      <w:tr w:rsidR="00C82F99" w:rsidRPr="00806586" w14:paraId="7CB216C7" w14:textId="77777777" w:rsidTr="00C82F99">
        <w:trPr>
          <w:trHeight w:val="345"/>
        </w:trPr>
        <w:tc>
          <w:tcPr>
            <w:tcW w:w="3223" w:type="pct"/>
            <w:tcBorders>
              <w:top w:val="single" w:sz="4" w:space="0" w:color="auto"/>
              <w:left w:val="single" w:sz="8" w:space="0" w:color="auto"/>
              <w:bottom w:val="single" w:sz="4" w:space="0" w:color="auto"/>
              <w:right w:val="single" w:sz="8" w:space="0" w:color="auto"/>
            </w:tcBorders>
            <w:shd w:val="clear" w:color="000000" w:fill="FFFFFF"/>
            <w:noWrap/>
            <w:vAlign w:val="bottom"/>
          </w:tcPr>
          <w:p w14:paraId="48AF306C" w14:textId="77777777" w:rsidR="00C82F99" w:rsidRPr="00806586" w:rsidRDefault="00C82F99" w:rsidP="00EA1031">
            <w:pPr>
              <w:spacing w:after="0"/>
              <w:rPr>
                <w:rFonts w:eastAsia="Times New Roman" w:cs="Arial"/>
              </w:rPr>
            </w:pPr>
            <w:r w:rsidRPr="00806586">
              <w:rPr>
                <w:rFonts w:eastAsia="Times New Roman" w:cs="Arial"/>
              </w:rPr>
              <w:t>Bank</w:t>
            </w:r>
          </w:p>
        </w:tc>
        <w:tc>
          <w:tcPr>
            <w:tcW w:w="1777" w:type="pct"/>
            <w:tcBorders>
              <w:top w:val="single" w:sz="4" w:space="0" w:color="auto"/>
              <w:left w:val="nil"/>
              <w:bottom w:val="single" w:sz="4" w:space="0" w:color="auto"/>
              <w:right w:val="single" w:sz="8" w:space="0" w:color="auto"/>
            </w:tcBorders>
            <w:shd w:val="clear" w:color="000000" w:fill="FFFFFF"/>
            <w:noWrap/>
            <w:vAlign w:val="bottom"/>
          </w:tcPr>
          <w:p w14:paraId="03E17E2C" w14:textId="77777777" w:rsidR="00C82F99" w:rsidRPr="00806586" w:rsidRDefault="00C82F99" w:rsidP="00EA1031">
            <w:pPr>
              <w:spacing w:after="0"/>
              <w:rPr>
                <w:rFonts w:eastAsia="Times New Roman" w:cs="Arial"/>
              </w:rPr>
            </w:pPr>
            <w:r w:rsidRPr="00806586">
              <w:rPr>
                <w:rFonts w:eastAsia="Times New Roman" w:cs="Arial"/>
              </w:rPr>
              <w:t>3</w:t>
            </w:r>
          </w:p>
        </w:tc>
      </w:tr>
      <w:tr w:rsidR="00C82F99" w:rsidRPr="00806586" w14:paraId="39BAE12C" w14:textId="77777777" w:rsidTr="00C82F99">
        <w:trPr>
          <w:trHeight w:val="345"/>
        </w:trPr>
        <w:tc>
          <w:tcPr>
            <w:tcW w:w="3223" w:type="pct"/>
            <w:tcBorders>
              <w:top w:val="single" w:sz="4" w:space="0" w:color="auto"/>
              <w:left w:val="single" w:sz="8" w:space="0" w:color="auto"/>
              <w:bottom w:val="single" w:sz="8" w:space="0" w:color="auto"/>
              <w:right w:val="single" w:sz="8" w:space="0" w:color="auto"/>
            </w:tcBorders>
            <w:shd w:val="clear" w:color="000000" w:fill="FFFFFF"/>
            <w:noWrap/>
            <w:vAlign w:val="bottom"/>
          </w:tcPr>
          <w:p w14:paraId="5720C45B" w14:textId="77777777" w:rsidR="00C82F99" w:rsidRPr="00806586" w:rsidRDefault="00C82F99" w:rsidP="00EA1031">
            <w:pPr>
              <w:spacing w:after="0"/>
              <w:rPr>
                <w:rFonts w:eastAsia="Times New Roman" w:cs="Arial"/>
              </w:rPr>
            </w:pPr>
            <w:r w:rsidRPr="00806586">
              <w:rPr>
                <w:rFonts w:eastAsia="Times New Roman" w:cs="Arial"/>
              </w:rPr>
              <w:t>Honorary</w:t>
            </w:r>
          </w:p>
        </w:tc>
        <w:tc>
          <w:tcPr>
            <w:tcW w:w="1777" w:type="pct"/>
            <w:tcBorders>
              <w:top w:val="single" w:sz="4" w:space="0" w:color="auto"/>
              <w:left w:val="nil"/>
              <w:bottom w:val="single" w:sz="8" w:space="0" w:color="auto"/>
              <w:right w:val="single" w:sz="8" w:space="0" w:color="auto"/>
            </w:tcBorders>
            <w:shd w:val="clear" w:color="000000" w:fill="FFFFFF"/>
            <w:noWrap/>
            <w:vAlign w:val="bottom"/>
          </w:tcPr>
          <w:p w14:paraId="1F19BED6" w14:textId="77777777" w:rsidR="00C82F99" w:rsidRPr="00806586" w:rsidRDefault="00C82F99" w:rsidP="00EA1031">
            <w:pPr>
              <w:spacing w:after="0"/>
              <w:rPr>
                <w:rFonts w:eastAsia="Times New Roman" w:cs="Arial"/>
              </w:rPr>
            </w:pPr>
            <w:r w:rsidRPr="00806586">
              <w:rPr>
                <w:rFonts w:eastAsia="Times New Roman" w:cs="Arial"/>
              </w:rPr>
              <w:t>18*</w:t>
            </w:r>
          </w:p>
        </w:tc>
      </w:tr>
    </w:tbl>
    <w:p w14:paraId="515D2F1F" w14:textId="77777777" w:rsidR="00C82F99" w:rsidRPr="00956AC0" w:rsidRDefault="00C82F99" w:rsidP="00956AC0">
      <w:pPr>
        <w:rPr>
          <w:sz w:val="16"/>
          <w:szCs w:val="16"/>
        </w:rPr>
      </w:pPr>
      <w:r w:rsidRPr="00956AC0">
        <w:rPr>
          <w:sz w:val="16"/>
          <w:szCs w:val="16"/>
        </w:rPr>
        <w:t>*GP, Lay and other non-CCG staff members as at 31 March 2022</w:t>
      </w:r>
    </w:p>
    <w:p w14:paraId="001B275C" w14:textId="0F45988A" w:rsidR="00946C44" w:rsidRPr="004F6950" w:rsidRDefault="00946C44" w:rsidP="00B66DE2">
      <w:pPr>
        <w:pStyle w:val="Heading3"/>
      </w:pPr>
      <w:bookmarkStart w:id="166" w:name="_Toc103695069"/>
      <w:r w:rsidRPr="004F6950">
        <w:rPr>
          <w:rStyle w:val="Heading3Char"/>
          <w:b/>
          <w:bCs/>
        </w:rPr>
        <w:t>Gender composition for staff, Governing Body and Council of Members 202</w:t>
      </w:r>
      <w:r w:rsidR="00AD71F1">
        <w:rPr>
          <w:rStyle w:val="Heading3Char"/>
          <w:b/>
          <w:bCs/>
        </w:rPr>
        <w:t>1-22</w:t>
      </w:r>
      <w:bookmarkEnd w:id="166"/>
      <w:r w:rsidRPr="004F6950">
        <w:rPr>
          <w:rStyle w:val="Heading3Char"/>
          <w:b/>
          <w:bCs/>
        </w:rPr>
        <w:t xml:space="preserve"> </w:t>
      </w:r>
      <w:bookmarkEnd w:id="165"/>
    </w:p>
    <w:p w14:paraId="2CC1AA72" w14:textId="58CEE6D4" w:rsidR="00946C44" w:rsidRPr="00A558A4" w:rsidRDefault="00946C44" w:rsidP="00B66DE2">
      <w:pPr>
        <w:spacing w:line="240" w:lineRule="auto"/>
        <w:rPr>
          <w:rFonts w:cs="Arial"/>
        </w:rPr>
      </w:pPr>
      <w:r>
        <w:rPr>
          <w:rFonts w:cs="Arial"/>
        </w:rPr>
        <w:t>Between 1 April 202</w:t>
      </w:r>
      <w:r w:rsidR="00664890">
        <w:rPr>
          <w:rFonts w:cs="Arial"/>
        </w:rPr>
        <w:t xml:space="preserve">1 </w:t>
      </w:r>
      <w:r>
        <w:rPr>
          <w:rFonts w:cs="Arial"/>
        </w:rPr>
        <w:t>and 31 March 202</w:t>
      </w:r>
      <w:r w:rsidR="00664890">
        <w:rPr>
          <w:rFonts w:cs="Arial"/>
        </w:rPr>
        <w:t>2</w:t>
      </w:r>
      <w:r w:rsidRPr="00A558A4">
        <w:rPr>
          <w:rFonts w:cs="Arial"/>
        </w:rPr>
        <w:t xml:space="preserve"> </w:t>
      </w:r>
      <w:r w:rsidRPr="00A558A4">
        <w:rPr>
          <w:rFonts w:cs="Arial"/>
          <w:spacing w:val="1"/>
        </w:rPr>
        <w:t xml:space="preserve">the </w:t>
      </w:r>
      <w:r w:rsidRPr="00A558A4">
        <w:rPr>
          <w:rFonts w:cs="Arial"/>
          <w:spacing w:val="2"/>
        </w:rPr>
        <w:t>g</w:t>
      </w:r>
      <w:r w:rsidRPr="00A558A4">
        <w:rPr>
          <w:rFonts w:cs="Arial"/>
        </w:rPr>
        <w:t xml:space="preserve">ender composition </w:t>
      </w:r>
      <w:r w:rsidRPr="00A558A4">
        <w:rPr>
          <w:rFonts w:cs="Arial"/>
          <w:spacing w:val="-3"/>
        </w:rPr>
        <w:t>o</w:t>
      </w:r>
      <w:r w:rsidRPr="00A558A4">
        <w:rPr>
          <w:rFonts w:cs="Arial"/>
        </w:rPr>
        <w:t>f</w:t>
      </w:r>
      <w:r w:rsidRPr="00A558A4">
        <w:rPr>
          <w:rFonts w:cs="Arial"/>
          <w:spacing w:val="5"/>
        </w:rPr>
        <w:t xml:space="preserve"> the</w:t>
      </w:r>
      <w:r>
        <w:rPr>
          <w:rFonts w:cs="Arial"/>
          <w:spacing w:val="5"/>
        </w:rPr>
        <w:t xml:space="preserve"> NHS</w:t>
      </w:r>
      <w:r w:rsidRPr="00A558A4">
        <w:rPr>
          <w:rFonts w:cs="Arial"/>
          <w:spacing w:val="5"/>
        </w:rPr>
        <w:t xml:space="preserve"> Hull </w:t>
      </w:r>
      <w:r w:rsidRPr="00A558A4">
        <w:rPr>
          <w:rFonts w:cs="Arial"/>
        </w:rPr>
        <w:t>CCG Boa</w:t>
      </w:r>
      <w:r w:rsidRPr="00A558A4">
        <w:rPr>
          <w:rFonts w:cs="Arial"/>
          <w:spacing w:val="1"/>
        </w:rPr>
        <w:t>r</w:t>
      </w:r>
      <w:r w:rsidRPr="00A558A4">
        <w:rPr>
          <w:rFonts w:cs="Arial"/>
          <w:spacing w:val="-3"/>
        </w:rPr>
        <w:t>d</w:t>
      </w:r>
      <w:r w:rsidRPr="00A558A4">
        <w:rPr>
          <w:rFonts w:cs="Arial"/>
          <w:spacing w:val="3"/>
        </w:rPr>
        <w:t xml:space="preserve"> </w:t>
      </w:r>
      <w:r w:rsidRPr="00A558A4">
        <w:rPr>
          <w:rFonts w:cs="Arial"/>
        </w:rPr>
        <w:t>and</w:t>
      </w:r>
      <w:r w:rsidRPr="00A558A4">
        <w:rPr>
          <w:rFonts w:cs="Arial"/>
          <w:spacing w:val="1"/>
        </w:rPr>
        <w:t xml:space="preserve"> </w:t>
      </w:r>
      <w:r w:rsidRPr="00A558A4">
        <w:rPr>
          <w:rFonts w:cs="Arial"/>
        </w:rPr>
        <w:t xml:space="preserve">Council </w:t>
      </w:r>
      <w:r w:rsidRPr="00A558A4">
        <w:rPr>
          <w:rFonts w:cs="Arial"/>
          <w:spacing w:val="-3"/>
        </w:rPr>
        <w:t>o</w:t>
      </w:r>
      <w:r w:rsidRPr="00A558A4">
        <w:rPr>
          <w:rFonts w:cs="Arial"/>
        </w:rPr>
        <w:t>f</w:t>
      </w:r>
      <w:r w:rsidRPr="00A558A4">
        <w:rPr>
          <w:rFonts w:cs="Arial"/>
          <w:spacing w:val="2"/>
        </w:rPr>
        <w:t xml:space="preserve"> </w:t>
      </w:r>
      <w:r w:rsidRPr="00A558A4">
        <w:rPr>
          <w:rFonts w:cs="Arial"/>
          <w:spacing w:val="-4"/>
        </w:rPr>
        <w:t>M</w:t>
      </w:r>
      <w:r w:rsidRPr="00A558A4">
        <w:rPr>
          <w:rFonts w:cs="Arial"/>
        </w:rPr>
        <w:t>embers</w:t>
      </w:r>
      <w:r w:rsidRPr="00A558A4">
        <w:rPr>
          <w:rFonts w:cs="Arial"/>
          <w:spacing w:val="3"/>
        </w:rPr>
        <w:t xml:space="preserve"> </w:t>
      </w:r>
      <w:r w:rsidRPr="00A558A4">
        <w:rPr>
          <w:rFonts w:cs="Arial"/>
          <w:spacing w:val="-3"/>
        </w:rPr>
        <w:t>w</w:t>
      </w:r>
      <w:r w:rsidRPr="00A558A4">
        <w:rPr>
          <w:rFonts w:cs="Arial"/>
        </w:rPr>
        <w:t>as</w:t>
      </w:r>
      <w:r w:rsidRPr="00A558A4">
        <w:rPr>
          <w:rFonts w:cs="Arial"/>
          <w:spacing w:val="1"/>
        </w:rPr>
        <w:t xml:space="preserve"> </w:t>
      </w:r>
      <w:r w:rsidRPr="00A558A4">
        <w:rPr>
          <w:rFonts w:cs="Arial"/>
        </w:rPr>
        <w:t>as</w:t>
      </w:r>
      <w:r w:rsidRPr="00A558A4">
        <w:rPr>
          <w:rFonts w:cs="Arial"/>
          <w:spacing w:val="-4"/>
        </w:rPr>
        <w:t xml:space="preserve"> </w:t>
      </w:r>
      <w:r w:rsidRPr="00A558A4">
        <w:rPr>
          <w:rFonts w:cs="Arial"/>
          <w:spacing w:val="3"/>
        </w:rPr>
        <w:t>f</w:t>
      </w:r>
      <w:r w:rsidRPr="00A558A4">
        <w:rPr>
          <w:rFonts w:cs="Arial"/>
        </w:rPr>
        <w:t>ollo</w:t>
      </w:r>
      <w:r w:rsidRPr="00A558A4">
        <w:rPr>
          <w:rFonts w:cs="Arial"/>
          <w:spacing w:val="-4"/>
        </w:rPr>
        <w:t>w</w:t>
      </w:r>
      <w:r w:rsidRPr="00A558A4">
        <w:rPr>
          <w:rFonts w:cs="Arial"/>
        </w:rPr>
        <w:t xml:space="preserve">s: </w:t>
      </w:r>
    </w:p>
    <w:tbl>
      <w:tblPr>
        <w:tblW w:w="4785" w:type="pct"/>
        <w:tblCellMar>
          <w:left w:w="0" w:type="dxa"/>
          <w:right w:w="0" w:type="dxa"/>
        </w:tblCellMar>
        <w:tblLook w:val="04A0" w:firstRow="1" w:lastRow="0" w:firstColumn="1" w:lastColumn="0" w:noHBand="0" w:noVBand="1"/>
      </w:tblPr>
      <w:tblGrid>
        <w:gridCol w:w="6016"/>
        <w:gridCol w:w="1802"/>
        <w:gridCol w:w="1386"/>
      </w:tblGrid>
      <w:tr w:rsidR="00946C44" w:rsidRPr="00A558A4" w14:paraId="566A12B2" w14:textId="77777777" w:rsidTr="001B3B93">
        <w:trPr>
          <w:trHeight w:hRule="exact" w:val="407"/>
        </w:trPr>
        <w:tc>
          <w:tcPr>
            <w:tcW w:w="3267" w:type="pct"/>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1CB4AFD5" w14:textId="77777777" w:rsidR="00946C44" w:rsidRPr="00A558A4" w:rsidRDefault="00946C44" w:rsidP="00B66DE2">
            <w:pPr>
              <w:spacing w:after="0" w:line="240" w:lineRule="auto"/>
              <w:ind w:left="-132" w:firstLine="132"/>
              <w:rPr>
                <w:rFonts w:cs="Arial"/>
              </w:rPr>
            </w:pPr>
          </w:p>
          <w:p w14:paraId="5ACA4D21" w14:textId="77777777" w:rsidR="00946C44" w:rsidRPr="00A558A4" w:rsidRDefault="00946C44" w:rsidP="00B66DE2">
            <w:pPr>
              <w:spacing w:after="0" w:line="240" w:lineRule="auto"/>
              <w:ind w:left="-132" w:firstLine="132"/>
              <w:rPr>
                <w:rFonts w:cs="Arial"/>
              </w:rPr>
            </w:pPr>
          </w:p>
          <w:p w14:paraId="1DFDC129" w14:textId="77777777" w:rsidR="00946C44" w:rsidRPr="00A558A4" w:rsidRDefault="00946C44" w:rsidP="00B66DE2">
            <w:pPr>
              <w:spacing w:after="0" w:line="240" w:lineRule="auto"/>
              <w:ind w:left="-132" w:firstLine="132"/>
              <w:rPr>
                <w:rFonts w:cs="Arial"/>
              </w:rPr>
            </w:pPr>
          </w:p>
          <w:p w14:paraId="2AE7F107" w14:textId="77777777" w:rsidR="00946C44" w:rsidRPr="00A558A4" w:rsidRDefault="00946C44" w:rsidP="00B66DE2">
            <w:pPr>
              <w:spacing w:after="0" w:line="240" w:lineRule="auto"/>
              <w:rPr>
                <w:rFonts w:cs="Arial"/>
              </w:rPr>
            </w:pPr>
          </w:p>
        </w:tc>
        <w:tc>
          <w:tcPr>
            <w:tcW w:w="979" w:type="pct"/>
            <w:tcBorders>
              <w:top w:val="single" w:sz="8" w:space="0" w:color="000000"/>
              <w:left w:val="nil"/>
              <w:bottom w:val="single" w:sz="8" w:space="0" w:color="000000"/>
              <w:right w:val="single" w:sz="8" w:space="0" w:color="000000"/>
            </w:tcBorders>
            <w:shd w:val="clear" w:color="auto" w:fill="8DB3E2" w:themeFill="text2" w:themeFillTint="66"/>
            <w:hideMark/>
          </w:tcPr>
          <w:p w14:paraId="1F1656B0" w14:textId="77777777" w:rsidR="00946C44" w:rsidRPr="00A558A4" w:rsidRDefault="00946C44" w:rsidP="00B66DE2">
            <w:pPr>
              <w:spacing w:after="0" w:line="240" w:lineRule="auto"/>
              <w:rPr>
                <w:rFonts w:cs="Arial"/>
              </w:rPr>
            </w:pPr>
            <w:r w:rsidRPr="00A558A4">
              <w:rPr>
                <w:rFonts w:cs="Arial"/>
              </w:rPr>
              <w:t>Fe</w:t>
            </w:r>
            <w:r w:rsidRPr="00A558A4">
              <w:rPr>
                <w:rFonts w:cs="Arial"/>
                <w:spacing w:val="4"/>
              </w:rPr>
              <w:t>m</w:t>
            </w:r>
            <w:r w:rsidRPr="00A558A4">
              <w:rPr>
                <w:rFonts w:cs="Arial"/>
              </w:rPr>
              <w:t>a</w:t>
            </w:r>
            <w:r w:rsidRPr="00A558A4">
              <w:rPr>
                <w:rFonts w:cs="Arial"/>
                <w:spacing w:val="-1"/>
              </w:rPr>
              <w:t>l</w:t>
            </w:r>
            <w:r w:rsidRPr="00A558A4">
              <w:rPr>
                <w:rFonts w:cs="Arial"/>
              </w:rPr>
              <w:t>e</w:t>
            </w:r>
          </w:p>
        </w:tc>
        <w:tc>
          <w:tcPr>
            <w:tcW w:w="753" w:type="pct"/>
            <w:tcBorders>
              <w:top w:val="single" w:sz="8" w:space="0" w:color="000000"/>
              <w:left w:val="nil"/>
              <w:bottom w:val="single" w:sz="8" w:space="0" w:color="000000"/>
              <w:right w:val="single" w:sz="8" w:space="0" w:color="000000"/>
            </w:tcBorders>
            <w:shd w:val="clear" w:color="auto" w:fill="8DB3E2" w:themeFill="text2" w:themeFillTint="66"/>
            <w:hideMark/>
          </w:tcPr>
          <w:p w14:paraId="370859CE" w14:textId="77777777" w:rsidR="00946C44" w:rsidRPr="00A558A4" w:rsidRDefault="00946C44" w:rsidP="00B66DE2">
            <w:pPr>
              <w:spacing w:after="0" w:line="240" w:lineRule="auto"/>
              <w:rPr>
                <w:rFonts w:cs="Arial"/>
              </w:rPr>
            </w:pPr>
            <w:r w:rsidRPr="00A558A4">
              <w:rPr>
                <w:rFonts w:cs="Arial"/>
              </w:rPr>
              <w:t>M</w:t>
            </w:r>
            <w:r w:rsidRPr="00A558A4">
              <w:rPr>
                <w:rFonts w:cs="Arial"/>
                <w:spacing w:val="-1"/>
              </w:rPr>
              <w:t>a</w:t>
            </w:r>
            <w:r w:rsidRPr="00A558A4">
              <w:rPr>
                <w:rFonts w:cs="Arial"/>
                <w:spacing w:val="1"/>
              </w:rPr>
              <w:t>l</w:t>
            </w:r>
            <w:r w:rsidRPr="00A558A4">
              <w:rPr>
                <w:rFonts w:cs="Arial"/>
              </w:rPr>
              <w:t>e</w:t>
            </w:r>
          </w:p>
        </w:tc>
      </w:tr>
      <w:tr w:rsidR="00946C44" w:rsidRPr="00A558A4" w14:paraId="58A271BC" w14:textId="77777777" w:rsidTr="001B3B93">
        <w:trPr>
          <w:trHeight w:val="383"/>
        </w:trPr>
        <w:tc>
          <w:tcPr>
            <w:tcW w:w="3267" w:type="pct"/>
            <w:tcBorders>
              <w:top w:val="nil"/>
              <w:left w:val="single" w:sz="8" w:space="0" w:color="000000"/>
              <w:bottom w:val="single" w:sz="8" w:space="0" w:color="000000"/>
              <w:right w:val="single" w:sz="8" w:space="0" w:color="000000"/>
            </w:tcBorders>
            <w:hideMark/>
          </w:tcPr>
          <w:p w14:paraId="3E5C0EDB" w14:textId="00705982" w:rsidR="00946C44" w:rsidRPr="00B52C7E" w:rsidRDefault="00946C44" w:rsidP="001B3B93">
            <w:pPr>
              <w:spacing w:before="0" w:after="0" w:line="240" w:lineRule="auto"/>
              <w:rPr>
                <w:rFonts w:cs="Arial"/>
              </w:rPr>
            </w:pPr>
            <w:r w:rsidRPr="00B52C7E">
              <w:rPr>
                <w:rFonts w:cs="Arial"/>
                <w:spacing w:val="-1"/>
              </w:rPr>
              <w:t>CC</w:t>
            </w:r>
            <w:r w:rsidRPr="00B52C7E">
              <w:rPr>
                <w:rFonts w:cs="Arial"/>
              </w:rPr>
              <w:t>G</w:t>
            </w:r>
            <w:r w:rsidRPr="00B52C7E">
              <w:rPr>
                <w:rFonts w:cs="Arial"/>
                <w:spacing w:val="2"/>
              </w:rPr>
              <w:t xml:space="preserve"> </w:t>
            </w:r>
            <w:r w:rsidRPr="00B52C7E">
              <w:rPr>
                <w:rFonts w:cs="Arial"/>
                <w:spacing w:val="-1"/>
              </w:rPr>
              <w:t>B</w:t>
            </w:r>
            <w:r w:rsidRPr="00B52C7E">
              <w:rPr>
                <w:rFonts w:cs="Arial"/>
                <w:spacing w:val="-3"/>
              </w:rPr>
              <w:t>o</w:t>
            </w:r>
            <w:r w:rsidRPr="00B52C7E">
              <w:rPr>
                <w:rFonts w:cs="Arial"/>
              </w:rPr>
              <w:t>ard (Governing Body)</w:t>
            </w:r>
            <w:r w:rsidR="009D0A47">
              <w:rPr>
                <w:rFonts w:cs="Arial"/>
              </w:rPr>
              <w:t>*</w:t>
            </w:r>
          </w:p>
        </w:tc>
        <w:tc>
          <w:tcPr>
            <w:tcW w:w="979" w:type="pct"/>
            <w:tcBorders>
              <w:top w:val="nil"/>
              <w:left w:val="nil"/>
              <w:bottom w:val="single" w:sz="8" w:space="0" w:color="000000"/>
              <w:right w:val="single" w:sz="8" w:space="0" w:color="000000"/>
            </w:tcBorders>
            <w:vAlign w:val="center"/>
          </w:tcPr>
          <w:p w14:paraId="6CB2B961" w14:textId="00105C98" w:rsidR="00946C44" w:rsidRPr="00B52C7E" w:rsidRDefault="009D0A47" w:rsidP="001B3B93">
            <w:pPr>
              <w:spacing w:before="0"/>
              <w:jc w:val="center"/>
              <w:rPr>
                <w:rFonts w:cs="Arial"/>
              </w:rPr>
            </w:pPr>
            <w:r>
              <w:rPr>
                <w:rFonts w:cs="Arial"/>
              </w:rPr>
              <w:t>8</w:t>
            </w:r>
          </w:p>
        </w:tc>
        <w:tc>
          <w:tcPr>
            <w:tcW w:w="753" w:type="pct"/>
            <w:tcBorders>
              <w:top w:val="nil"/>
              <w:left w:val="nil"/>
              <w:bottom w:val="single" w:sz="8" w:space="0" w:color="000000"/>
              <w:right w:val="single" w:sz="8" w:space="0" w:color="000000"/>
            </w:tcBorders>
            <w:vAlign w:val="center"/>
          </w:tcPr>
          <w:p w14:paraId="1F7EA591" w14:textId="0EBCF589" w:rsidR="00946C44" w:rsidRPr="00A558A4" w:rsidRDefault="009D0A47" w:rsidP="001B3B93">
            <w:pPr>
              <w:spacing w:before="0" w:line="240" w:lineRule="auto"/>
              <w:jc w:val="center"/>
              <w:rPr>
                <w:rFonts w:cs="Arial"/>
              </w:rPr>
            </w:pPr>
            <w:r>
              <w:rPr>
                <w:rFonts w:cs="Arial"/>
              </w:rPr>
              <w:t>7</w:t>
            </w:r>
          </w:p>
        </w:tc>
      </w:tr>
      <w:tr w:rsidR="00946C44" w:rsidRPr="00A558A4" w14:paraId="5D6031EB" w14:textId="77777777" w:rsidTr="001B3B93">
        <w:trPr>
          <w:trHeight w:val="277"/>
        </w:trPr>
        <w:tc>
          <w:tcPr>
            <w:tcW w:w="3267" w:type="pct"/>
            <w:tcBorders>
              <w:top w:val="nil"/>
              <w:left w:val="single" w:sz="8" w:space="0" w:color="000000"/>
              <w:bottom w:val="single" w:sz="8" w:space="0" w:color="000000"/>
              <w:right w:val="single" w:sz="8" w:space="0" w:color="000000"/>
            </w:tcBorders>
            <w:hideMark/>
          </w:tcPr>
          <w:p w14:paraId="6AF20CC4" w14:textId="71268A71" w:rsidR="00946C44" w:rsidRPr="00A558A4" w:rsidRDefault="00946C44" w:rsidP="001B3B93">
            <w:pPr>
              <w:spacing w:before="0" w:line="240" w:lineRule="auto"/>
              <w:rPr>
                <w:rFonts w:cs="Arial"/>
                <w:spacing w:val="2"/>
              </w:rPr>
            </w:pPr>
            <w:r w:rsidRPr="00A558A4">
              <w:rPr>
                <w:rFonts w:cs="Arial"/>
                <w:spacing w:val="-2"/>
              </w:rPr>
              <w:t>CCG M</w:t>
            </w:r>
            <w:r w:rsidRPr="00A558A4">
              <w:rPr>
                <w:rFonts w:cs="Arial"/>
              </w:rPr>
              <w:t>emb</w:t>
            </w:r>
            <w:r w:rsidRPr="00A558A4">
              <w:rPr>
                <w:rFonts w:cs="Arial"/>
                <w:spacing w:val="-3"/>
              </w:rPr>
              <w:t>e</w:t>
            </w:r>
            <w:r w:rsidRPr="00A558A4">
              <w:rPr>
                <w:rFonts w:cs="Arial"/>
                <w:spacing w:val="1"/>
              </w:rPr>
              <w:t>r</w:t>
            </w:r>
            <w:r w:rsidRPr="00A558A4">
              <w:rPr>
                <w:rFonts w:cs="Arial"/>
              </w:rPr>
              <w:t>sh</w:t>
            </w:r>
            <w:r w:rsidRPr="00A558A4">
              <w:rPr>
                <w:rFonts w:cs="Arial"/>
                <w:spacing w:val="-1"/>
              </w:rPr>
              <w:t>i</w:t>
            </w:r>
            <w:r w:rsidRPr="00A558A4">
              <w:rPr>
                <w:rFonts w:cs="Arial"/>
              </w:rPr>
              <w:t xml:space="preserve">p </w:t>
            </w:r>
            <w:r w:rsidRPr="00A558A4">
              <w:rPr>
                <w:rFonts w:cs="Arial"/>
                <w:spacing w:val="1"/>
              </w:rPr>
              <w:t>(</w:t>
            </w:r>
            <w:r w:rsidRPr="00A558A4">
              <w:rPr>
                <w:rFonts w:cs="Arial"/>
                <w:spacing w:val="-1"/>
              </w:rPr>
              <w:t>C</w:t>
            </w:r>
            <w:r w:rsidRPr="00A558A4">
              <w:rPr>
                <w:rFonts w:cs="Arial"/>
              </w:rPr>
              <w:t>o</w:t>
            </w:r>
            <w:r w:rsidRPr="00A558A4">
              <w:rPr>
                <w:rFonts w:cs="Arial"/>
                <w:spacing w:val="-1"/>
              </w:rPr>
              <w:t>u</w:t>
            </w:r>
            <w:r w:rsidRPr="00A558A4">
              <w:rPr>
                <w:rFonts w:cs="Arial"/>
              </w:rPr>
              <w:t>nc</w:t>
            </w:r>
            <w:r w:rsidRPr="00A558A4">
              <w:rPr>
                <w:rFonts w:cs="Arial"/>
                <w:spacing w:val="-1"/>
              </w:rPr>
              <w:t>i</w:t>
            </w:r>
            <w:r w:rsidRPr="00A558A4">
              <w:rPr>
                <w:rFonts w:cs="Arial"/>
              </w:rPr>
              <w:t xml:space="preserve">l </w:t>
            </w:r>
            <w:r w:rsidRPr="00A558A4">
              <w:rPr>
                <w:rFonts w:cs="Arial"/>
                <w:spacing w:val="-3"/>
              </w:rPr>
              <w:t>o</w:t>
            </w:r>
            <w:r w:rsidRPr="00A558A4">
              <w:rPr>
                <w:rFonts w:cs="Arial"/>
              </w:rPr>
              <w:t>f</w:t>
            </w:r>
            <w:r w:rsidRPr="00A558A4">
              <w:rPr>
                <w:rFonts w:cs="Arial"/>
                <w:spacing w:val="2"/>
              </w:rPr>
              <w:t xml:space="preserve"> </w:t>
            </w:r>
            <w:r w:rsidRPr="00A558A4">
              <w:rPr>
                <w:rFonts w:cs="Arial"/>
                <w:spacing w:val="-4"/>
              </w:rPr>
              <w:t>M</w:t>
            </w:r>
            <w:r>
              <w:rPr>
                <w:rFonts w:cs="Arial"/>
              </w:rPr>
              <w:t>embers)</w:t>
            </w:r>
            <w:r w:rsidR="00BE20C9">
              <w:rPr>
                <w:rFonts w:cs="Arial"/>
              </w:rPr>
              <w:t>*</w:t>
            </w:r>
            <w:r w:rsidR="009D0A47">
              <w:rPr>
                <w:rFonts w:cs="Arial"/>
              </w:rPr>
              <w:t>*</w:t>
            </w:r>
          </w:p>
        </w:tc>
        <w:tc>
          <w:tcPr>
            <w:tcW w:w="979" w:type="pct"/>
            <w:tcBorders>
              <w:top w:val="nil"/>
              <w:left w:val="nil"/>
              <w:bottom w:val="single" w:sz="8" w:space="0" w:color="000000"/>
              <w:right w:val="single" w:sz="8" w:space="0" w:color="000000"/>
            </w:tcBorders>
            <w:vAlign w:val="center"/>
          </w:tcPr>
          <w:p w14:paraId="62E0A261" w14:textId="0D9159C1" w:rsidR="00946C44" w:rsidRPr="00A558A4" w:rsidRDefault="00682D74" w:rsidP="001B3B93">
            <w:pPr>
              <w:spacing w:before="0" w:line="240" w:lineRule="auto"/>
              <w:jc w:val="center"/>
              <w:rPr>
                <w:rFonts w:cs="Arial"/>
              </w:rPr>
            </w:pPr>
            <w:r>
              <w:rPr>
                <w:rFonts w:cs="Arial"/>
              </w:rPr>
              <w:t>6</w:t>
            </w:r>
          </w:p>
        </w:tc>
        <w:tc>
          <w:tcPr>
            <w:tcW w:w="753" w:type="pct"/>
            <w:tcBorders>
              <w:top w:val="nil"/>
              <w:left w:val="nil"/>
              <w:bottom w:val="single" w:sz="8" w:space="0" w:color="000000"/>
              <w:right w:val="single" w:sz="8" w:space="0" w:color="000000"/>
            </w:tcBorders>
            <w:vAlign w:val="center"/>
          </w:tcPr>
          <w:p w14:paraId="5EC241B9" w14:textId="59790D2F" w:rsidR="00946C44" w:rsidRPr="00A558A4" w:rsidRDefault="00682D74" w:rsidP="001B3B93">
            <w:pPr>
              <w:spacing w:before="0" w:line="240" w:lineRule="auto"/>
              <w:jc w:val="center"/>
              <w:rPr>
                <w:rFonts w:cs="Arial"/>
              </w:rPr>
            </w:pPr>
            <w:r>
              <w:rPr>
                <w:rFonts w:cs="Arial"/>
              </w:rPr>
              <w:t>26</w:t>
            </w:r>
          </w:p>
        </w:tc>
      </w:tr>
    </w:tbl>
    <w:p w14:paraId="1CB93384" w14:textId="27B61833" w:rsidR="009D0A47" w:rsidRDefault="009D0A47" w:rsidP="00A3482F">
      <w:pPr>
        <w:spacing w:before="0" w:after="0" w:line="240" w:lineRule="auto"/>
        <w:rPr>
          <w:rFonts w:cs="Arial"/>
          <w:spacing w:val="1"/>
          <w:sz w:val="16"/>
          <w:szCs w:val="16"/>
        </w:rPr>
      </w:pPr>
      <w:r>
        <w:rPr>
          <w:rFonts w:cs="Arial"/>
          <w:spacing w:val="1"/>
          <w:sz w:val="16"/>
          <w:szCs w:val="16"/>
        </w:rPr>
        <w:t>*On</w:t>
      </w:r>
      <w:r w:rsidR="00A3482F">
        <w:rPr>
          <w:rFonts w:cs="Arial"/>
          <w:spacing w:val="1"/>
          <w:sz w:val="16"/>
          <w:szCs w:val="16"/>
        </w:rPr>
        <w:t>e</w:t>
      </w:r>
      <w:r>
        <w:rPr>
          <w:rFonts w:cs="Arial"/>
          <w:spacing w:val="1"/>
          <w:sz w:val="16"/>
          <w:szCs w:val="16"/>
        </w:rPr>
        <w:t xml:space="preserve"> vacancy on the CCG Board</w:t>
      </w:r>
      <w:r w:rsidR="00A3482F">
        <w:rPr>
          <w:rFonts w:cs="Arial"/>
          <w:spacing w:val="1"/>
          <w:sz w:val="16"/>
          <w:szCs w:val="16"/>
        </w:rPr>
        <w:t>.</w:t>
      </w:r>
    </w:p>
    <w:p w14:paraId="7FDC9DE0" w14:textId="7062E35C" w:rsidR="00BE20C9" w:rsidRPr="00BE20C9" w:rsidRDefault="00BE20C9" w:rsidP="00A3482F">
      <w:pPr>
        <w:spacing w:before="0" w:after="0" w:line="240" w:lineRule="auto"/>
        <w:rPr>
          <w:rFonts w:cs="Arial"/>
          <w:spacing w:val="1"/>
          <w:sz w:val="16"/>
          <w:szCs w:val="16"/>
        </w:rPr>
      </w:pPr>
      <w:r w:rsidRPr="00BE20C9">
        <w:rPr>
          <w:rFonts w:cs="Arial"/>
          <w:spacing w:val="1"/>
          <w:sz w:val="16"/>
          <w:szCs w:val="16"/>
        </w:rPr>
        <w:t>*</w:t>
      </w:r>
      <w:r w:rsidR="009D0A47">
        <w:rPr>
          <w:rFonts w:cs="Arial"/>
          <w:spacing w:val="1"/>
          <w:sz w:val="16"/>
          <w:szCs w:val="16"/>
        </w:rPr>
        <w:t>*</w:t>
      </w:r>
      <w:r w:rsidRPr="00BE20C9">
        <w:rPr>
          <w:rFonts w:cs="Arial"/>
          <w:spacing w:val="1"/>
          <w:sz w:val="16"/>
          <w:szCs w:val="16"/>
        </w:rPr>
        <w:t>Please note some members may represent more than one practice.</w:t>
      </w:r>
    </w:p>
    <w:p w14:paraId="7B16AB4B" w14:textId="77777777" w:rsidR="00155486" w:rsidRDefault="00155486" w:rsidP="002358EF">
      <w:pPr>
        <w:spacing w:after="0"/>
        <w:rPr>
          <w:rFonts w:cs="Arial"/>
          <w:spacing w:val="1"/>
        </w:rPr>
      </w:pPr>
    </w:p>
    <w:p w14:paraId="29B42380" w14:textId="4B2239F8" w:rsidR="00224D47" w:rsidRPr="00806586" w:rsidRDefault="00224D47" w:rsidP="002358EF">
      <w:pPr>
        <w:spacing w:after="0"/>
        <w:rPr>
          <w:rFonts w:cs="Arial"/>
        </w:rPr>
      </w:pPr>
      <w:r w:rsidRPr="00806586">
        <w:rPr>
          <w:rFonts w:cs="Arial"/>
          <w:spacing w:val="1"/>
        </w:rPr>
        <w:t xml:space="preserve">The </w:t>
      </w:r>
      <w:r w:rsidRPr="00806586">
        <w:rPr>
          <w:rFonts w:cs="Arial"/>
          <w:spacing w:val="2"/>
        </w:rPr>
        <w:t>g</w:t>
      </w:r>
      <w:r w:rsidRPr="00806586">
        <w:rPr>
          <w:rFonts w:cs="Arial"/>
        </w:rPr>
        <w:t>e</w:t>
      </w:r>
      <w:r w:rsidRPr="00806586">
        <w:rPr>
          <w:rFonts w:cs="Arial"/>
          <w:spacing w:val="-1"/>
        </w:rPr>
        <w:t>n</w:t>
      </w:r>
      <w:r w:rsidRPr="00806586">
        <w:rPr>
          <w:rFonts w:cs="Arial"/>
        </w:rPr>
        <w:t>d</w:t>
      </w:r>
      <w:r w:rsidRPr="00806586">
        <w:rPr>
          <w:rFonts w:cs="Arial"/>
          <w:spacing w:val="-1"/>
        </w:rPr>
        <w:t>e</w:t>
      </w:r>
      <w:r w:rsidRPr="00806586">
        <w:rPr>
          <w:rFonts w:cs="Arial"/>
        </w:rPr>
        <w:t xml:space="preserve">r composition for NHS Hull CCG employees at 31 March 2022 was as follows:  </w:t>
      </w:r>
    </w:p>
    <w:tbl>
      <w:tblPr>
        <w:tblW w:w="4790" w:type="pct"/>
        <w:tblInd w:w="-10" w:type="dxa"/>
        <w:tblLook w:val="04A0" w:firstRow="1" w:lastRow="0" w:firstColumn="1" w:lastColumn="0" w:noHBand="0" w:noVBand="1"/>
      </w:tblPr>
      <w:tblGrid>
        <w:gridCol w:w="6030"/>
        <w:gridCol w:w="1802"/>
        <w:gridCol w:w="1382"/>
      </w:tblGrid>
      <w:tr w:rsidR="00224D47" w:rsidRPr="00806586" w14:paraId="23574F4E" w14:textId="77777777" w:rsidTr="002358EF">
        <w:trPr>
          <w:trHeight w:val="302"/>
        </w:trPr>
        <w:tc>
          <w:tcPr>
            <w:tcW w:w="3272" w:type="pct"/>
            <w:tcBorders>
              <w:top w:val="single" w:sz="8" w:space="0" w:color="auto"/>
              <w:left w:val="single" w:sz="8" w:space="0" w:color="auto"/>
              <w:bottom w:val="single" w:sz="8" w:space="0" w:color="auto"/>
              <w:right w:val="nil"/>
            </w:tcBorders>
            <w:shd w:val="clear" w:color="auto" w:fill="95B3D7"/>
            <w:noWrap/>
            <w:vAlign w:val="center"/>
            <w:hideMark/>
          </w:tcPr>
          <w:p w14:paraId="7EC2AD47" w14:textId="77777777" w:rsidR="00224D47" w:rsidRPr="00806586" w:rsidRDefault="00224D47" w:rsidP="00EA1031">
            <w:pPr>
              <w:spacing w:after="0"/>
              <w:rPr>
                <w:rFonts w:eastAsia="Times New Roman" w:cs="Arial"/>
              </w:rPr>
            </w:pPr>
            <w:r w:rsidRPr="00806586">
              <w:rPr>
                <w:rFonts w:eastAsia="Times New Roman" w:cs="Arial"/>
              </w:rPr>
              <w:t>Pay band</w:t>
            </w:r>
          </w:p>
        </w:tc>
        <w:tc>
          <w:tcPr>
            <w:tcW w:w="978" w:type="pct"/>
            <w:tcBorders>
              <w:top w:val="single" w:sz="8" w:space="0" w:color="auto"/>
              <w:left w:val="single" w:sz="8" w:space="0" w:color="auto"/>
              <w:bottom w:val="single" w:sz="8" w:space="0" w:color="auto"/>
              <w:right w:val="single" w:sz="8" w:space="0" w:color="auto"/>
            </w:tcBorders>
            <w:shd w:val="clear" w:color="auto" w:fill="95B3D7"/>
            <w:noWrap/>
            <w:vAlign w:val="center"/>
            <w:hideMark/>
          </w:tcPr>
          <w:p w14:paraId="0D7E7D73" w14:textId="77777777" w:rsidR="00224D47" w:rsidRPr="00806586" w:rsidRDefault="00224D47" w:rsidP="00EA1031">
            <w:pPr>
              <w:spacing w:after="0"/>
              <w:rPr>
                <w:rFonts w:eastAsia="Times New Roman" w:cs="Arial"/>
              </w:rPr>
            </w:pPr>
            <w:r w:rsidRPr="00806586">
              <w:rPr>
                <w:rFonts w:eastAsia="Times New Roman" w:cs="Arial"/>
              </w:rPr>
              <w:t>Female</w:t>
            </w:r>
          </w:p>
        </w:tc>
        <w:tc>
          <w:tcPr>
            <w:tcW w:w="750" w:type="pct"/>
            <w:tcBorders>
              <w:top w:val="single" w:sz="8" w:space="0" w:color="auto"/>
              <w:left w:val="nil"/>
              <w:bottom w:val="single" w:sz="8" w:space="0" w:color="auto"/>
              <w:right w:val="single" w:sz="8" w:space="0" w:color="auto"/>
            </w:tcBorders>
            <w:shd w:val="clear" w:color="auto" w:fill="95B3D7"/>
            <w:noWrap/>
            <w:vAlign w:val="center"/>
            <w:hideMark/>
          </w:tcPr>
          <w:p w14:paraId="489F539B" w14:textId="77777777" w:rsidR="00224D47" w:rsidRPr="00806586" w:rsidRDefault="00224D47" w:rsidP="00EA1031">
            <w:pPr>
              <w:spacing w:after="0"/>
              <w:rPr>
                <w:rFonts w:eastAsia="Times New Roman" w:cs="Arial"/>
              </w:rPr>
            </w:pPr>
            <w:r w:rsidRPr="00806586">
              <w:rPr>
                <w:rFonts w:eastAsia="Times New Roman" w:cs="Arial"/>
              </w:rPr>
              <w:t xml:space="preserve"> Male</w:t>
            </w:r>
          </w:p>
        </w:tc>
      </w:tr>
      <w:tr w:rsidR="00224D47" w:rsidRPr="00806586" w14:paraId="121A30FC" w14:textId="77777777" w:rsidTr="002358EF">
        <w:trPr>
          <w:trHeight w:val="292"/>
        </w:trPr>
        <w:tc>
          <w:tcPr>
            <w:tcW w:w="3272" w:type="pct"/>
            <w:tcBorders>
              <w:top w:val="nil"/>
              <w:left w:val="single" w:sz="8" w:space="0" w:color="auto"/>
              <w:bottom w:val="single" w:sz="4" w:space="0" w:color="auto"/>
              <w:right w:val="single" w:sz="8" w:space="0" w:color="auto"/>
            </w:tcBorders>
            <w:shd w:val="clear" w:color="auto" w:fill="auto"/>
            <w:noWrap/>
            <w:vAlign w:val="bottom"/>
            <w:hideMark/>
          </w:tcPr>
          <w:p w14:paraId="678A2FB0" w14:textId="77777777" w:rsidR="00224D47" w:rsidRPr="00806586" w:rsidRDefault="00224D47" w:rsidP="00EA1031">
            <w:pPr>
              <w:spacing w:after="0"/>
              <w:rPr>
                <w:rFonts w:eastAsia="Times New Roman" w:cs="Arial"/>
              </w:rPr>
            </w:pPr>
            <w:r w:rsidRPr="00806586">
              <w:rPr>
                <w:rFonts w:eastAsia="Times New Roman" w:cs="Arial"/>
              </w:rPr>
              <w:t>Band 8a</w:t>
            </w:r>
          </w:p>
        </w:tc>
        <w:tc>
          <w:tcPr>
            <w:tcW w:w="978" w:type="pct"/>
            <w:tcBorders>
              <w:top w:val="nil"/>
              <w:left w:val="nil"/>
              <w:bottom w:val="single" w:sz="4" w:space="0" w:color="auto"/>
              <w:right w:val="single" w:sz="8" w:space="0" w:color="auto"/>
            </w:tcBorders>
            <w:shd w:val="clear" w:color="auto" w:fill="auto"/>
            <w:noWrap/>
            <w:vAlign w:val="bottom"/>
          </w:tcPr>
          <w:p w14:paraId="3B54504C" w14:textId="77777777" w:rsidR="00224D47" w:rsidRPr="00806586" w:rsidRDefault="00224D47" w:rsidP="00EA1031">
            <w:pPr>
              <w:spacing w:after="0"/>
              <w:rPr>
                <w:rFonts w:eastAsia="Times New Roman" w:cs="Arial"/>
              </w:rPr>
            </w:pPr>
            <w:r w:rsidRPr="00806586">
              <w:rPr>
                <w:rFonts w:eastAsia="Times New Roman" w:cs="Arial"/>
              </w:rPr>
              <w:t>12</w:t>
            </w:r>
          </w:p>
        </w:tc>
        <w:tc>
          <w:tcPr>
            <w:tcW w:w="750" w:type="pct"/>
            <w:tcBorders>
              <w:top w:val="nil"/>
              <w:left w:val="nil"/>
              <w:bottom w:val="single" w:sz="4" w:space="0" w:color="auto"/>
              <w:right w:val="single" w:sz="8" w:space="0" w:color="auto"/>
            </w:tcBorders>
            <w:shd w:val="clear" w:color="auto" w:fill="auto"/>
            <w:noWrap/>
            <w:vAlign w:val="bottom"/>
          </w:tcPr>
          <w:p w14:paraId="2C9959E3" w14:textId="77777777" w:rsidR="00224D47" w:rsidRPr="00806586" w:rsidRDefault="00224D47" w:rsidP="00EA1031">
            <w:pPr>
              <w:spacing w:after="0"/>
              <w:rPr>
                <w:rFonts w:eastAsia="Times New Roman" w:cs="Arial"/>
              </w:rPr>
            </w:pPr>
            <w:r w:rsidRPr="00806586">
              <w:rPr>
                <w:rFonts w:eastAsia="Times New Roman" w:cs="Arial"/>
              </w:rPr>
              <w:t>2</w:t>
            </w:r>
          </w:p>
        </w:tc>
      </w:tr>
      <w:tr w:rsidR="00224D47" w:rsidRPr="00806586" w14:paraId="05A27EF1" w14:textId="77777777" w:rsidTr="002358EF">
        <w:trPr>
          <w:trHeight w:val="292"/>
        </w:trPr>
        <w:tc>
          <w:tcPr>
            <w:tcW w:w="3272" w:type="pct"/>
            <w:tcBorders>
              <w:top w:val="nil"/>
              <w:left w:val="single" w:sz="8" w:space="0" w:color="auto"/>
              <w:bottom w:val="single" w:sz="4" w:space="0" w:color="auto"/>
              <w:right w:val="single" w:sz="8" w:space="0" w:color="auto"/>
            </w:tcBorders>
            <w:shd w:val="clear" w:color="auto" w:fill="auto"/>
            <w:noWrap/>
            <w:vAlign w:val="bottom"/>
            <w:hideMark/>
          </w:tcPr>
          <w:p w14:paraId="11D5ED05" w14:textId="77777777" w:rsidR="00224D47" w:rsidRPr="00806586" w:rsidRDefault="00224D47" w:rsidP="00EA1031">
            <w:pPr>
              <w:spacing w:after="0"/>
              <w:rPr>
                <w:rFonts w:eastAsia="Times New Roman" w:cs="Arial"/>
              </w:rPr>
            </w:pPr>
            <w:r w:rsidRPr="00806586">
              <w:rPr>
                <w:rFonts w:eastAsia="Times New Roman" w:cs="Arial"/>
              </w:rPr>
              <w:t>Band 8b</w:t>
            </w:r>
          </w:p>
        </w:tc>
        <w:tc>
          <w:tcPr>
            <w:tcW w:w="978" w:type="pct"/>
            <w:tcBorders>
              <w:top w:val="nil"/>
              <w:left w:val="nil"/>
              <w:bottom w:val="single" w:sz="4" w:space="0" w:color="auto"/>
              <w:right w:val="single" w:sz="8" w:space="0" w:color="auto"/>
            </w:tcBorders>
            <w:shd w:val="clear" w:color="auto" w:fill="auto"/>
            <w:noWrap/>
            <w:vAlign w:val="bottom"/>
          </w:tcPr>
          <w:p w14:paraId="56F29881" w14:textId="77777777" w:rsidR="00224D47" w:rsidRPr="00806586" w:rsidRDefault="00224D47" w:rsidP="00EA1031">
            <w:pPr>
              <w:spacing w:after="0"/>
              <w:rPr>
                <w:rFonts w:eastAsia="Times New Roman" w:cs="Arial"/>
              </w:rPr>
            </w:pPr>
            <w:r w:rsidRPr="00806586">
              <w:rPr>
                <w:rFonts w:eastAsia="Times New Roman" w:cs="Arial"/>
              </w:rPr>
              <w:t>7</w:t>
            </w:r>
          </w:p>
        </w:tc>
        <w:tc>
          <w:tcPr>
            <w:tcW w:w="750" w:type="pct"/>
            <w:tcBorders>
              <w:top w:val="nil"/>
              <w:left w:val="nil"/>
              <w:bottom w:val="single" w:sz="4" w:space="0" w:color="auto"/>
              <w:right w:val="single" w:sz="8" w:space="0" w:color="auto"/>
            </w:tcBorders>
            <w:shd w:val="clear" w:color="auto" w:fill="auto"/>
            <w:noWrap/>
            <w:vAlign w:val="bottom"/>
          </w:tcPr>
          <w:p w14:paraId="33D175D7" w14:textId="77777777" w:rsidR="00224D47" w:rsidRPr="00806586" w:rsidRDefault="00224D47" w:rsidP="00EA1031">
            <w:pPr>
              <w:spacing w:after="0"/>
              <w:rPr>
                <w:rFonts w:eastAsia="Times New Roman" w:cs="Arial"/>
              </w:rPr>
            </w:pPr>
            <w:r w:rsidRPr="00806586">
              <w:rPr>
                <w:rFonts w:eastAsia="Times New Roman" w:cs="Arial"/>
              </w:rPr>
              <w:t>4</w:t>
            </w:r>
          </w:p>
        </w:tc>
      </w:tr>
      <w:tr w:rsidR="00224D47" w:rsidRPr="00806586" w14:paraId="40AD04BF" w14:textId="77777777" w:rsidTr="002358EF">
        <w:trPr>
          <w:trHeight w:val="292"/>
        </w:trPr>
        <w:tc>
          <w:tcPr>
            <w:tcW w:w="3272" w:type="pct"/>
            <w:tcBorders>
              <w:top w:val="nil"/>
              <w:left w:val="single" w:sz="8" w:space="0" w:color="auto"/>
              <w:bottom w:val="single" w:sz="4" w:space="0" w:color="auto"/>
              <w:right w:val="single" w:sz="8" w:space="0" w:color="auto"/>
            </w:tcBorders>
            <w:shd w:val="clear" w:color="auto" w:fill="auto"/>
            <w:noWrap/>
            <w:vAlign w:val="bottom"/>
            <w:hideMark/>
          </w:tcPr>
          <w:p w14:paraId="45ECA21E" w14:textId="77777777" w:rsidR="00224D47" w:rsidRPr="00806586" w:rsidRDefault="00224D47" w:rsidP="00EA1031">
            <w:pPr>
              <w:spacing w:after="0"/>
              <w:rPr>
                <w:rFonts w:eastAsia="Times New Roman" w:cs="Arial"/>
              </w:rPr>
            </w:pPr>
            <w:r w:rsidRPr="00806586">
              <w:rPr>
                <w:rFonts w:eastAsia="Times New Roman" w:cs="Arial"/>
              </w:rPr>
              <w:t>Band 8c</w:t>
            </w:r>
          </w:p>
        </w:tc>
        <w:tc>
          <w:tcPr>
            <w:tcW w:w="978" w:type="pct"/>
            <w:tcBorders>
              <w:top w:val="nil"/>
              <w:left w:val="nil"/>
              <w:bottom w:val="single" w:sz="4" w:space="0" w:color="auto"/>
              <w:right w:val="single" w:sz="8" w:space="0" w:color="auto"/>
            </w:tcBorders>
            <w:shd w:val="clear" w:color="auto" w:fill="auto"/>
            <w:noWrap/>
            <w:vAlign w:val="bottom"/>
          </w:tcPr>
          <w:p w14:paraId="22142614" w14:textId="77777777" w:rsidR="00224D47" w:rsidRPr="00806586" w:rsidRDefault="00224D47" w:rsidP="00EA1031">
            <w:pPr>
              <w:spacing w:after="0"/>
              <w:rPr>
                <w:rFonts w:eastAsia="Times New Roman" w:cs="Arial"/>
              </w:rPr>
            </w:pPr>
            <w:r w:rsidRPr="00806586">
              <w:rPr>
                <w:rFonts w:eastAsia="Times New Roman" w:cs="Arial"/>
              </w:rPr>
              <w:t>3</w:t>
            </w:r>
          </w:p>
        </w:tc>
        <w:tc>
          <w:tcPr>
            <w:tcW w:w="750" w:type="pct"/>
            <w:tcBorders>
              <w:top w:val="nil"/>
              <w:left w:val="nil"/>
              <w:bottom w:val="single" w:sz="4" w:space="0" w:color="auto"/>
              <w:right w:val="single" w:sz="8" w:space="0" w:color="auto"/>
            </w:tcBorders>
            <w:shd w:val="clear" w:color="auto" w:fill="auto"/>
            <w:noWrap/>
            <w:vAlign w:val="bottom"/>
          </w:tcPr>
          <w:p w14:paraId="7A05842F" w14:textId="77777777" w:rsidR="00224D47" w:rsidRPr="00806586" w:rsidRDefault="00224D47" w:rsidP="00EA1031">
            <w:pPr>
              <w:spacing w:after="0"/>
              <w:rPr>
                <w:rFonts w:eastAsia="Times New Roman" w:cs="Arial"/>
              </w:rPr>
            </w:pPr>
            <w:r w:rsidRPr="00806586">
              <w:rPr>
                <w:rFonts w:eastAsia="Times New Roman" w:cs="Arial"/>
              </w:rPr>
              <w:t>3</w:t>
            </w:r>
          </w:p>
        </w:tc>
      </w:tr>
      <w:tr w:rsidR="00224D47" w:rsidRPr="00806586" w14:paraId="2083B29A" w14:textId="77777777" w:rsidTr="002358EF">
        <w:trPr>
          <w:trHeight w:val="292"/>
        </w:trPr>
        <w:tc>
          <w:tcPr>
            <w:tcW w:w="3272" w:type="pct"/>
            <w:tcBorders>
              <w:top w:val="nil"/>
              <w:left w:val="single" w:sz="8" w:space="0" w:color="auto"/>
              <w:bottom w:val="single" w:sz="4" w:space="0" w:color="auto"/>
              <w:right w:val="single" w:sz="8" w:space="0" w:color="auto"/>
            </w:tcBorders>
            <w:shd w:val="clear" w:color="auto" w:fill="auto"/>
            <w:noWrap/>
            <w:vAlign w:val="bottom"/>
            <w:hideMark/>
          </w:tcPr>
          <w:p w14:paraId="489BEF06" w14:textId="77777777" w:rsidR="00224D47" w:rsidRPr="00806586" w:rsidRDefault="00224D47" w:rsidP="00EA1031">
            <w:pPr>
              <w:spacing w:after="0"/>
              <w:rPr>
                <w:rFonts w:eastAsia="Times New Roman" w:cs="Arial"/>
              </w:rPr>
            </w:pPr>
            <w:r w:rsidRPr="00806586">
              <w:rPr>
                <w:rFonts w:eastAsia="Times New Roman" w:cs="Arial"/>
              </w:rPr>
              <w:t>Band 8d</w:t>
            </w:r>
          </w:p>
        </w:tc>
        <w:tc>
          <w:tcPr>
            <w:tcW w:w="978" w:type="pct"/>
            <w:tcBorders>
              <w:top w:val="nil"/>
              <w:left w:val="nil"/>
              <w:bottom w:val="single" w:sz="4" w:space="0" w:color="auto"/>
              <w:right w:val="single" w:sz="8" w:space="0" w:color="auto"/>
            </w:tcBorders>
            <w:shd w:val="clear" w:color="auto" w:fill="auto"/>
            <w:noWrap/>
            <w:vAlign w:val="bottom"/>
          </w:tcPr>
          <w:p w14:paraId="212D98A4" w14:textId="77777777" w:rsidR="00224D47" w:rsidRPr="00806586" w:rsidRDefault="00224D47" w:rsidP="00EA1031">
            <w:pPr>
              <w:spacing w:after="0"/>
              <w:rPr>
                <w:rFonts w:eastAsia="Times New Roman" w:cs="Arial"/>
              </w:rPr>
            </w:pPr>
            <w:r w:rsidRPr="00806586">
              <w:rPr>
                <w:rFonts w:eastAsia="Times New Roman" w:cs="Arial"/>
              </w:rPr>
              <w:t>3</w:t>
            </w:r>
          </w:p>
        </w:tc>
        <w:tc>
          <w:tcPr>
            <w:tcW w:w="750" w:type="pct"/>
            <w:tcBorders>
              <w:top w:val="nil"/>
              <w:left w:val="nil"/>
              <w:bottom w:val="single" w:sz="4" w:space="0" w:color="auto"/>
              <w:right w:val="single" w:sz="8" w:space="0" w:color="auto"/>
            </w:tcBorders>
            <w:shd w:val="clear" w:color="auto" w:fill="auto"/>
            <w:noWrap/>
            <w:vAlign w:val="bottom"/>
          </w:tcPr>
          <w:p w14:paraId="6D458EC9" w14:textId="77777777" w:rsidR="00224D47" w:rsidRPr="00806586" w:rsidRDefault="00224D47" w:rsidP="00EA1031">
            <w:pPr>
              <w:spacing w:after="0"/>
              <w:rPr>
                <w:rFonts w:eastAsia="Times New Roman" w:cs="Arial"/>
              </w:rPr>
            </w:pPr>
            <w:r w:rsidRPr="00806586">
              <w:rPr>
                <w:rFonts w:eastAsia="Times New Roman" w:cs="Arial"/>
              </w:rPr>
              <w:t>1</w:t>
            </w:r>
          </w:p>
        </w:tc>
      </w:tr>
      <w:tr w:rsidR="00224D47" w:rsidRPr="00806586" w14:paraId="5D6D7F0F" w14:textId="77777777" w:rsidTr="002358EF">
        <w:trPr>
          <w:trHeight w:val="292"/>
        </w:trPr>
        <w:tc>
          <w:tcPr>
            <w:tcW w:w="3272" w:type="pct"/>
            <w:tcBorders>
              <w:top w:val="nil"/>
              <w:left w:val="single" w:sz="8" w:space="0" w:color="auto"/>
              <w:bottom w:val="single" w:sz="4" w:space="0" w:color="auto"/>
              <w:right w:val="single" w:sz="8" w:space="0" w:color="auto"/>
            </w:tcBorders>
            <w:shd w:val="clear" w:color="auto" w:fill="auto"/>
            <w:noWrap/>
            <w:vAlign w:val="bottom"/>
            <w:hideMark/>
          </w:tcPr>
          <w:p w14:paraId="776781E7" w14:textId="77777777" w:rsidR="00224D47" w:rsidRPr="00806586" w:rsidRDefault="00224D47" w:rsidP="00EA1031">
            <w:pPr>
              <w:spacing w:after="0"/>
              <w:rPr>
                <w:rFonts w:eastAsia="Times New Roman" w:cs="Arial"/>
              </w:rPr>
            </w:pPr>
            <w:r w:rsidRPr="00806586">
              <w:rPr>
                <w:rFonts w:eastAsia="Times New Roman" w:cs="Arial"/>
              </w:rPr>
              <w:t>Band 9</w:t>
            </w:r>
          </w:p>
        </w:tc>
        <w:tc>
          <w:tcPr>
            <w:tcW w:w="978" w:type="pct"/>
            <w:tcBorders>
              <w:top w:val="nil"/>
              <w:left w:val="nil"/>
              <w:bottom w:val="single" w:sz="4" w:space="0" w:color="auto"/>
              <w:right w:val="single" w:sz="8" w:space="0" w:color="auto"/>
            </w:tcBorders>
            <w:shd w:val="clear" w:color="auto" w:fill="auto"/>
            <w:noWrap/>
            <w:vAlign w:val="bottom"/>
          </w:tcPr>
          <w:p w14:paraId="58EF7174" w14:textId="77777777" w:rsidR="00224D47" w:rsidRPr="00806586" w:rsidRDefault="00224D47" w:rsidP="00EA1031">
            <w:pPr>
              <w:spacing w:after="0"/>
              <w:rPr>
                <w:rFonts w:eastAsia="Times New Roman" w:cs="Arial"/>
              </w:rPr>
            </w:pPr>
            <w:r w:rsidRPr="00806586">
              <w:rPr>
                <w:rFonts w:eastAsia="Times New Roman" w:cs="Arial"/>
              </w:rPr>
              <w:t>1</w:t>
            </w:r>
          </w:p>
        </w:tc>
        <w:tc>
          <w:tcPr>
            <w:tcW w:w="750" w:type="pct"/>
            <w:tcBorders>
              <w:top w:val="nil"/>
              <w:left w:val="nil"/>
              <w:bottom w:val="single" w:sz="4" w:space="0" w:color="auto"/>
              <w:right w:val="single" w:sz="8" w:space="0" w:color="auto"/>
            </w:tcBorders>
            <w:shd w:val="clear" w:color="auto" w:fill="auto"/>
            <w:noWrap/>
            <w:vAlign w:val="bottom"/>
          </w:tcPr>
          <w:p w14:paraId="74E056C3" w14:textId="77777777" w:rsidR="00224D47" w:rsidRPr="00806586" w:rsidRDefault="00224D47" w:rsidP="00EA1031">
            <w:pPr>
              <w:spacing w:after="0"/>
              <w:rPr>
                <w:rFonts w:eastAsia="Times New Roman" w:cs="Arial"/>
              </w:rPr>
            </w:pPr>
            <w:r w:rsidRPr="00806586">
              <w:rPr>
                <w:rFonts w:eastAsia="Times New Roman" w:cs="Arial"/>
              </w:rPr>
              <w:t>0</w:t>
            </w:r>
          </w:p>
        </w:tc>
      </w:tr>
      <w:tr w:rsidR="00224D47" w:rsidRPr="00806586" w14:paraId="2C4A9091" w14:textId="77777777" w:rsidTr="002358EF">
        <w:trPr>
          <w:trHeight w:val="292"/>
        </w:trPr>
        <w:tc>
          <w:tcPr>
            <w:tcW w:w="3272" w:type="pct"/>
            <w:tcBorders>
              <w:top w:val="nil"/>
              <w:left w:val="single" w:sz="8" w:space="0" w:color="auto"/>
              <w:bottom w:val="nil"/>
              <w:right w:val="single" w:sz="8" w:space="0" w:color="auto"/>
            </w:tcBorders>
            <w:shd w:val="clear" w:color="auto" w:fill="auto"/>
            <w:noWrap/>
            <w:vAlign w:val="bottom"/>
            <w:hideMark/>
          </w:tcPr>
          <w:p w14:paraId="4CB044FB" w14:textId="77777777" w:rsidR="00224D47" w:rsidRPr="00806586" w:rsidRDefault="00224D47" w:rsidP="00EA1031">
            <w:pPr>
              <w:spacing w:after="0"/>
              <w:rPr>
                <w:rFonts w:eastAsia="Times New Roman" w:cs="Arial"/>
              </w:rPr>
            </w:pPr>
            <w:r w:rsidRPr="00806586">
              <w:rPr>
                <w:rFonts w:eastAsia="Times New Roman" w:cs="Arial"/>
              </w:rPr>
              <w:lastRenderedPageBreak/>
              <w:t xml:space="preserve">VSM </w:t>
            </w:r>
          </w:p>
        </w:tc>
        <w:tc>
          <w:tcPr>
            <w:tcW w:w="978" w:type="pct"/>
            <w:tcBorders>
              <w:top w:val="nil"/>
              <w:left w:val="nil"/>
              <w:bottom w:val="single" w:sz="4" w:space="0" w:color="auto"/>
              <w:right w:val="single" w:sz="8" w:space="0" w:color="auto"/>
            </w:tcBorders>
            <w:shd w:val="clear" w:color="auto" w:fill="auto"/>
            <w:noWrap/>
            <w:vAlign w:val="bottom"/>
          </w:tcPr>
          <w:p w14:paraId="2153258E" w14:textId="77777777" w:rsidR="00224D47" w:rsidRPr="00806586" w:rsidRDefault="00224D47" w:rsidP="00EA1031">
            <w:pPr>
              <w:spacing w:after="0"/>
              <w:rPr>
                <w:rFonts w:eastAsia="Times New Roman" w:cs="Arial"/>
              </w:rPr>
            </w:pPr>
            <w:r w:rsidRPr="00806586">
              <w:rPr>
                <w:rFonts w:eastAsia="Times New Roman" w:cs="Arial"/>
              </w:rPr>
              <w:t>4</w:t>
            </w:r>
          </w:p>
        </w:tc>
        <w:tc>
          <w:tcPr>
            <w:tcW w:w="750" w:type="pct"/>
            <w:tcBorders>
              <w:top w:val="nil"/>
              <w:left w:val="nil"/>
              <w:bottom w:val="single" w:sz="4" w:space="0" w:color="auto"/>
              <w:right w:val="single" w:sz="8" w:space="0" w:color="auto"/>
            </w:tcBorders>
            <w:shd w:val="clear" w:color="auto" w:fill="auto"/>
            <w:noWrap/>
            <w:vAlign w:val="bottom"/>
          </w:tcPr>
          <w:p w14:paraId="0DD4804C" w14:textId="77777777" w:rsidR="00224D47" w:rsidRPr="00806586" w:rsidRDefault="00224D47" w:rsidP="00EA1031">
            <w:pPr>
              <w:spacing w:after="0"/>
              <w:rPr>
                <w:rFonts w:eastAsia="Times New Roman" w:cs="Arial"/>
              </w:rPr>
            </w:pPr>
            <w:r w:rsidRPr="00806586">
              <w:rPr>
                <w:rFonts w:eastAsia="Times New Roman" w:cs="Arial"/>
              </w:rPr>
              <w:t>2</w:t>
            </w:r>
          </w:p>
        </w:tc>
      </w:tr>
      <w:tr w:rsidR="00224D47" w:rsidRPr="00806586" w14:paraId="091A508F" w14:textId="77777777" w:rsidTr="002358EF">
        <w:trPr>
          <w:trHeight w:val="292"/>
        </w:trPr>
        <w:tc>
          <w:tcPr>
            <w:tcW w:w="3272"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398E3EA" w14:textId="77777777" w:rsidR="00224D47" w:rsidRPr="00806586" w:rsidRDefault="00224D47" w:rsidP="00EA1031">
            <w:pPr>
              <w:spacing w:after="0"/>
              <w:rPr>
                <w:rFonts w:eastAsia="Times New Roman" w:cs="Arial"/>
              </w:rPr>
            </w:pPr>
            <w:r w:rsidRPr="00806586">
              <w:rPr>
                <w:rFonts w:eastAsia="Times New Roman" w:cs="Arial"/>
              </w:rPr>
              <w:t>Governing body**</w:t>
            </w:r>
          </w:p>
        </w:tc>
        <w:tc>
          <w:tcPr>
            <w:tcW w:w="978" w:type="pct"/>
            <w:tcBorders>
              <w:top w:val="nil"/>
              <w:left w:val="nil"/>
              <w:bottom w:val="single" w:sz="4" w:space="0" w:color="auto"/>
              <w:right w:val="single" w:sz="8" w:space="0" w:color="auto"/>
            </w:tcBorders>
            <w:shd w:val="clear" w:color="auto" w:fill="auto"/>
            <w:noWrap/>
            <w:vAlign w:val="bottom"/>
          </w:tcPr>
          <w:p w14:paraId="5B6C6EA9" w14:textId="77777777" w:rsidR="00224D47" w:rsidRPr="00806586" w:rsidRDefault="00224D47" w:rsidP="00EA1031">
            <w:pPr>
              <w:spacing w:after="0"/>
              <w:rPr>
                <w:rFonts w:eastAsia="Times New Roman" w:cs="Arial"/>
              </w:rPr>
            </w:pPr>
            <w:r w:rsidRPr="00806586">
              <w:rPr>
                <w:rFonts w:eastAsia="Times New Roman" w:cs="Arial"/>
              </w:rPr>
              <w:t>8</w:t>
            </w:r>
          </w:p>
        </w:tc>
        <w:tc>
          <w:tcPr>
            <w:tcW w:w="750" w:type="pct"/>
            <w:tcBorders>
              <w:top w:val="nil"/>
              <w:left w:val="nil"/>
              <w:bottom w:val="single" w:sz="4" w:space="0" w:color="auto"/>
              <w:right w:val="single" w:sz="8" w:space="0" w:color="auto"/>
            </w:tcBorders>
            <w:shd w:val="clear" w:color="auto" w:fill="auto"/>
            <w:noWrap/>
            <w:vAlign w:val="bottom"/>
          </w:tcPr>
          <w:p w14:paraId="69DE1D63" w14:textId="77777777" w:rsidR="00224D47" w:rsidRPr="00806586" w:rsidRDefault="00224D47" w:rsidP="00EA1031">
            <w:pPr>
              <w:spacing w:after="0"/>
              <w:rPr>
                <w:rFonts w:eastAsia="Times New Roman" w:cs="Arial"/>
              </w:rPr>
            </w:pPr>
            <w:r w:rsidRPr="00806586">
              <w:rPr>
                <w:rFonts w:eastAsia="Times New Roman" w:cs="Arial"/>
              </w:rPr>
              <w:t>8</w:t>
            </w:r>
          </w:p>
        </w:tc>
      </w:tr>
      <w:tr w:rsidR="00224D47" w:rsidRPr="00806586" w14:paraId="218240DA" w14:textId="77777777" w:rsidTr="002358EF">
        <w:trPr>
          <w:trHeight w:val="292"/>
        </w:trPr>
        <w:tc>
          <w:tcPr>
            <w:tcW w:w="3272" w:type="pct"/>
            <w:tcBorders>
              <w:top w:val="nil"/>
              <w:left w:val="single" w:sz="8" w:space="0" w:color="auto"/>
              <w:bottom w:val="single" w:sz="4" w:space="0" w:color="auto"/>
              <w:right w:val="single" w:sz="8" w:space="0" w:color="auto"/>
            </w:tcBorders>
            <w:shd w:val="clear" w:color="auto" w:fill="auto"/>
            <w:noWrap/>
            <w:vAlign w:val="bottom"/>
            <w:hideMark/>
          </w:tcPr>
          <w:p w14:paraId="51913F83" w14:textId="77777777" w:rsidR="00224D47" w:rsidRPr="00806586" w:rsidRDefault="00224D47" w:rsidP="00EA1031">
            <w:pPr>
              <w:spacing w:after="0"/>
              <w:rPr>
                <w:rFonts w:eastAsia="Times New Roman" w:cs="Arial"/>
              </w:rPr>
            </w:pPr>
            <w:r w:rsidRPr="00806586">
              <w:rPr>
                <w:rFonts w:eastAsia="Times New Roman" w:cs="Arial"/>
              </w:rPr>
              <w:t>Any other spot salary</w:t>
            </w:r>
          </w:p>
        </w:tc>
        <w:tc>
          <w:tcPr>
            <w:tcW w:w="978" w:type="pct"/>
            <w:tcBorders>
              <w:top w:val="nil"/>
              <w:left w:val="nil"/>
              <w:bottom w:val="single" w:sz="4" w:space="0" w:color="auto"/>
              <w:right w:val="single" w:sz="8" w:space="0" w:color="auto"/>
            </w:tcBorders>
            <w:shd w:val="clear" w:color="auto" w:fill="auto"/>
            <w:noWrap/>
            <w:vAlign w:val="bottom"/>
          </w:tcPr>
          <w:p w14:paraId="4C3E5BF5" w14:textId="77777777" w:rsidR="00224D47" w:rsidRPr="00806586" w:rsidRDefault="00224D47" w:rsidP="00EA1031">
            <w:pPr>
              <w:spacing w:after="0"/>
              <w:rPr>
                <w:rFonts w:eastAsia="Times New Roman" w:cs="Arial"/>
              </w:rPr>
            </w:pPr>
            <w:r w:rsidRPr="00806586">
              <w:rPr>
                <w:rFonts w:eastAsia="Times New Roman" w:cs="Arial"/>
              </w:rPr>
              <w:t>8</w:t>
            </w:r>
          </w:p>
        </w:tc>
        <w:tc>
          <w:tcPr>
            <w:tcW w:w="750" w:type="pct"/>
            <w:tcBorders>
              <w:top w:val="nil"/>
              <w:left w:val="nil"/>
              <w:bottom w:val="single" w:sz="4" w:space="0" w:color="auto"/>
              <w:right w:val="single" w:sz="8" w:space="0" w:color="auto"/>
            </w:tcBorders>
            <w:shd w:val="clear" w:color="auto" w:fill="auto"/>
            <w:noWrap/>
            <w:vAlign w:val="bottom"/>
          </w:tcPr>
          <w:p w14:paraId="0F5A97E7" w14:textId="77777777" w:rsidR="00224D47" w:rsidRPr="00806586" w:rsidRDefault="00224D47" w:rsidP="00EA1031">
            <w:pPr>
              <w:spacing w:after="0"/>
              <w:rPr>
                <w:rFonts w:eastAsia="Times New Roman" w:cs="Arial"/>
              </w:rPr>
            </w:pPr>
            <w:r w:rsidRPr="00806586">
              <w:rPr>
                <w:rFonts w:eastAsia="Times New Roman" w:cs="Arial"/>
              </w:rPr>
              <w:t>13</w:t>
            </w:r>
          </w:p>
        </w:tc>
      </w:tr>
      <w:tr w:rsidR="002358EF" w:rsidRPr="00806586" w14:paraId="20720A13" w14:textId="77777777" w:rsidTr="002358EF">
        <w:trPr>
          <w:trHeight w:val="292"/>
        </w:trPr>
        <w:tc>
          <w:tcPr>
            <w:tcW w:w="3272" w:type="pct"/>
            <w:tcBorders>
              <w:top w:val="nil"/>
              <w:left w:val="single" w:sz="8" w:space="0" w:color="auto"/>
              <w:bottom w:val="single" w:sz="4" w:space="0" w:color="auto"/>
              <w:right w:val="single" w:sz="8" w:space="0" w:color="auto"/>
            </w:tcBorders>
            <w:shd w:val="clear" w:color="auto" w:fill="auto"/>
            <w:noWrap/>
            <w:vAlign w:val="bottom"/>
          </w:tcPr>
          <w:p w14:paraId="273D57DA" w14:textId="5BA1C3A8" w:rsidR="002358EF" w:rsidRPr="00806586" w:rsidRDefault="002358EF" w:rsidP="00EA1031">
            <w:pPr>
              <w:spacing w:after="0"/>
              <w:rPr>
                <w:rFonts w:eastAsia="Times New Roman" w:cs="Arial"/>
              </w:rPr>
            </w:pPr>
            <w:r w:rsidRPr="00806586">
              <w:rPr>
                <w:rFonts w:eastAsia="Times New Roman" w:cs="Arial"/>
              </w:rPr>
              <w:t>All other employees (including apprentice if applicable)</w:t>
            </w:r>
          </w:p>
        </w:tc>
        <w:tc>
          <w:tcPr>
            <w:tcW w:w="978" w:type="pct"/>
            <w:tcBorders>
              <w:top w:val="nil"/>
              <w:left w:val="nil"/>
              <w:bottom w:val="single" w:sz="4" w:space="0" w:color="auto"/>
              <w:right w:val="single" w:sz="8" w:space="0" w:color="auto"/>
            </w:tcBorders>
            <w:shd w:val="clear" w:color="auto" w:fill="auto"/>
            <w:noWrap/>
            <w:vAlign w:val="bottom"/>
          </w:tcPr>
          <w:p w14:paraId="775FFE77" w14:textId="297D444C" w:rsidR="002358EF" w:rsidRPr="00806586" w:rsidRDefault="002358EF" w:rsidP="00EA1031">
            <w:pPr>
              <w:spacing w:after="0"/>
              <w:rPr>
                <w:rFonts w:eastAsia="Times New Roman" w:cs="Arial"/>
              </w:rPr>
            </w:pPr>
            <w:r w:rsidRPr="00806586">
              <w:rPr>
                <w:rFonts w:eastAsia="Times New Roman" w:cs="Arial"/>
              </w:rPr>
              <w:t>36</w:t>
            </w:r>
          </w:p>
        </w:tc>
        <w:tc>
          <w:tcPr>
            <w:tcW w:w="750" w:type="pct"/>
            <w:tcBorders>
              <w:top w:val="nil"/>
              <w:left w:val="nil"/>
              <w:bottom w:val="single" w:sz="4" w:space="0" w:color="auto"/>
              <w:right w:val="single" w:sz="8" w:space="0" w:color="auto"/>
            </w:tcBorders>
            <w:shd w:val="clear" w:color="auto" w:fill="auto"/>
            <w:noWrap/>
            <w:vAlign w:val="bottom"/>
          </w:tcPr>
          <w:p w14:paraId="38B204E1" w14:textId="48AFD602" w:rsidR="002358EF" w:rsidRPr="00806586" w:rsidRDefault="002358EF" w:rsidP="00EA1031">
            <w:pPr>
              <w:spacing w:after="0"/>
              <w:rPr>
                <w:rFonts w:eastAsia="Times New Roman" w:cs="Arial"/>
              </w:rPr>
            </w:pPr>
            <w:r w:rsidRPr="00806586">
              <w:rPr>
                <w:rFonts w:eastAsia="Times New Roman" w:cs="Arial"/>
              </w:rPr>
              <w:t>10</w:t>
            </w:r>
          </w:p>
        </w:tc>
      </w:tr>
    </w:tbl>
    <w:p w14:paraId="2FB1706C" w14:textId="6544F43C" w:rsidR="00224D47" w:rsidRPr="00956AC0" w:rsidRDefault="00224D47" w:rsidP="00956AC0">
      <w:pPr>
        <w:rPr>
          <w:sz w:val="16"/>
          <w:szCs w:val="16"/>
        </w:rPr>
      </w:pPr>
      <w:r w:rsidRPr="00956AC0">
        <w:rPr>
          <w:sz w:val="16"/>
          <w:szCs w:val="16"/>
        </w:rPr>
        <w:t>** Includes VSM and other spot salaries</w:t>
      </w:r>
    </w:p>
    <w:p w14:paraId="37C5502C" w14:textId="77777777" w:rsidR="00450FE0" w:rsidRPr="00806586" w:rsidRDefault="00450FE0" w:rsidP="00450FE0">
      <w:pPr>
        <w:pStyle w:val="Heading3"/>
        <w:rPr>
          <w:rFonts w:cs="Arial"/>
        </w:rPr>
      </w:pPr>
      <w:bookmarkStart w:id="167" w:name="_Toc103695070"/>
      <w:r w:rsidRPr="00806586">
        <w:rPr>
          <w:rFonts w:cs="Arial"/>
        </w:rPr>
        <w:t>Sickness Absence Data</w:t>
      </w:r>
      <w:bookmarkEnd w:id="167"/>
      <w:r w:rsidRPr="00806586">
        <w:rPr>
          <w:rFonts w:cs="Arial"/>
        </w:rPr>
        <w:t xml:space="preserve"> </w:t>
      </w:r>
    </w:p>
    <w:p w14:paraId="78A27CF8" w14:textId="714E5274" w:rsidR="00450FE0" w:rsidRPr="00806586" w:rsidRDefault="00450FE0" w:rsidP="00450FE0">
      <w:pPr>
        <w:tabs>
          <w:tab w:val="left" w:pos="3686"/>
        </w:tabs>
        <w:autoSpaceDE w:val="0"/>
        <w:autoSpaceDN w:val="0"/>
        <w:adjustRightInd w:val="0"/>
        <w:spacing w:after="0"/>
        <w:rPr>
          <w:rFonts w:cs="Arial"/>
        </w:rPr>
      </w:pPr>
      <w:r w:rsidRPr="00806586">
        <w:rPr>
          <w:rFonts w:cs="Arial"/>
        </w:rPr>
        <w:t>The sickness absence data for NHS Hull CCG between 1 April 2021 and 31 March 2022 is below:</w:t>
      </w:r>
    </w:p>
    <w:tbl>
      <w:tblPr>
        <w:tblW w:w="9182" w:type="dxa"/>
        <w:tblInd w:w="-10" w:type="dxa"/>
        <w:tblLook w:val="04A0" w:firstRow="1" w:lastRow="0" w:firstColumn="1" w:lastColumn="0" w:noHBand="0" w:noVBand="1"/>
      </w:tblPr>
      <w:tblGrid>
        <w:gridCol w:w="7586"/>
        <w:gridCol w:w="1596"/>
      </w:tblGrid>
      <w:tr w:rsidR="00450FE0" w:rsidRPr="00806586" w14:paraId="40456550" w14:textId="77777777" w:rsidTr="00450FE0">
        <w:trPr>
          <w:trHeight w:val="328"/>
        </w:trPr>
        <w:tc>
          <w:tcPr>
            <w:tcW w:w="7586" w:type="dxa"/>
            <w:tcBorders>
              <w:top w:val="single" w:sz="8" w:space="0" w:color="auto"/>
              <w:left w:val="single" w:sz="8" w:space="0" w:color="auto"/>
              <w:bottom w:val="single" w:sz="8" w:space="0" w:color="auto"/>
              <w:right w:val="nil"/>
            </w:tcBorders>
            <w:shd w:val="clear" w:color="auto" w:fill="8DB3E2"/>
            <w:noWrap/>
            <w:vAlign w:val="bottom"/>
            <w:hideMark/>
          </w:tcPr>
          <w:p w14:paraId="0CA135C6" w14:textId="77777777" w:rsidR="00450FE0" w:rsidRPr="00806586" w:rsidRDefault="00450FE0" w:rsidP="00EA1031">
            <w:pPr>
              <w:spacing w:after="0"/>
              <w:rPr>
                <w:rFonts w:eastAsia="Times New Roman" w:cs="Arial"/>
                <w:bCs/>
                <w:color w:val="000000"/>
              </w:rPr>
            </w:pPr>
            <w:r w:rsidRPr="00806586">
              <w:rPr>
                <w:rFonts w:eastAsia="Times New Roman" w:cs="Arial"/>
                <w:bCs/>
                <w:color w:val="000000"/>
              </w:rPr>
              <w:t>Absence</w:t>
            </w:r>
          </w:p>
        </w:tc>
        <w:tc>
          <w:tcPr>
            <w:tcW w:w="1596" w:type="dxa"/>
            <w:tcBorders>
              <w:top w:val="single" w:sz="8" w:space="0" w:color="auto"/>
              <w:left w:val="single" w:sz="8" w:space="0" w:color="auto"/>
              <w:bottom w:val="single" w:sz="8" w:space="0" w:color="auto"/>
              <w:right w:val="single" w:sz="8" w:space="0" w:color="auto"/>
            </w:tcBorders>
            <w:shd w:val="clear" w:color="auto" w:fill="8DB3E2"/>
            <w:noWrap/>
            <w:vAlign w:val="bottom"/>
            <w:hideMark/>
          </w:tcPr>
          <w:p w14:paraId="1F98B430" w14:textId="77777777" w:rsidR="00450FE0" w:rsidRPr="00806586" w:rsidRDefault="00450FE0" w:rsidP="00EA1031">
            <w:pPr>
              <w:spacing w:after="0"/>
              <w:rPr>
                <w:rFonts w:eastAsia="Times New Roman" w:cs="Arial"/>
                <w:bCs/>
                <w:color w:val="000000"/>
              </w:rPr>
            </w:pPr>
            <w:r w:rsidRPr="00806586">
              <w:rPr>
                <w:rFonts w:eastAsia="Times New Roman" w:cs="Arial"/>
                <w:bCs/>
                <w:color w:val="000000"/>
              </w:rPr>
              <w:t>Total</w:t>
            </w:r>
          </w:p>
        </w:tc>
      </w:tr>
      <w:tr w:rsidR="00450FE0" w:rsidRPr="00806586" w14:paraId="2B573505" w14:textId="77777777" w:rsidTr="00450FE0">
        <w:trPr>
          <w:trHeight w:val="318"/>
        </w:trPr>
        <w:tc>
          <w:tcPr>
            <w:tcW w:w="7586" w:type="dxa"/>
            <w:tcBorders>
              <w:top w:val="nil"/>
              <w:left w:val="single" w:sz="8" w:space="0" w:color="auto"/>
              <w:bottom w:val="single" w:sz="4" w:space="0" w:color="auto"/>
              <w:right w:val="single" w:sz="8" w:space="0" w:color="auto"/>
            </w:tcBorders>
            <w:shd w:val="clear" w:color="auto" w:fill="auto"/>
            <w:noWrap/>
            <w:vAlign w:val="bottom"/>
            <w:hideMark/>
          </w:tcPr>
          <w:p w14:paraId="414C79AA" w14:textId="77777777" w:rsidR="00450FE0" w:rsidRPr="00806586" w:rsidRDefault="00450FE0" w:rsidP="00EA1031">
            <w:pPr>
              <w:spacing w:after="0"/>
              <w:rPr>
                <w:rFonts w:eastAsia="Times New Roman" w:cs="Arial"/>
                <w:color w:val="000000"/>
              </w:rPr>
            </w:pPr>
            <w:r w:rsidRPr="00806586">
              <w:rPr>
                <w:rFonts w:eastAsia="Times New Roman" w:cs="Arial"/>
                <w:color w:val="000000"/>
              </w:rPr>
              <w:t>Average sickness %</w:t>
            </w:r>
          </w:p>
        </w:tc>
        <w:tc>
          <w:tcPr>
            <w:tcW w:w="1596" w:type="dxa"/>
            <w:tcBorders>
              <w:top w:val="nil"/>
              <w:left w:val="nil"/>
              <w:bottom w:val="single" w:sz="4" w:space="0" w:color="auto"/>
              <w:right w:val="single" w:sz="8" w:space="0" w:color="auto"/>
            </w:tcBorders>
            <w:shd w:val="clear" w:color="auto" w:fill="auto"/>
            <w:noWrap/>
            <w:vAlign w:val="bottom"/>
          </w:tcPr>
          <w:p w14:paraId="2DE4532A" w14:textId="77777777" w:rsidR="00450FE0" w:rsidRPr="00806586" w:rsidRDefault="00450FE0" w:rsidP="00EA1031">
            <w:pPr>
              <w:spacing w:after="0"/>
              <w:rPr>
                <w:rFonts w:eastAsia="Times New Roman" w:cs="Arial"/>
                <w:color w:val="000000"/>
              </w:rPr>
            </w:pPr>
            <w:r w:rsidRPr="00806586">
              <w:rPr>
                <w:rFonts w:eastAsia="Times New Roman" w:cs="Arial"/>
                <w:color w:val="000000"/>
              </w:rPr>
              <w:t>1.35%</w:t>
            </w:r>
          </w:p>
        </w:tc>
      </w:tr>
      <w:tr w:rsidR="00450FE0" w:rsidRPr="00806586" w14:paraId="4F1FC1A3" w14:textId="77777777" w:rsidTr="00450FE0">
        <w:trPr>
          <w:trHeight w:val="328"/>
        </w:trPr>
        <w:tc>
          <w:tcPr>
            <w:tcW w:w="7586" w:type="dxa"/>
            <w:tcBorders>
              <w:top w:val="nil"/>
              <w:left w:val="single" w:sz="8" w:space="0" w:color="auto"/>
              <w:bottom w:val="single" w:sz="8" w:space="0" w:color="auto"/>
              <w:right w:val="single" w:sz="8" w:space="0" w:color="auto"/>
            </w:tcBorders>
            <w:shd w:val="clear" w:color="auto" w:fill="auto"/>
            <w:noWrap/>
            <w:vAlign w:val="bottom"/>
            <w:hideMark/>
          </w:tcPr>
          <w:p w14:paraId="4B99D496" w14:textId="77777777" w:rsidR="00450FE0" w:rsidRPr="00806586" w:rsidRDefault="00450FE0" w:rsidP="00EA1031">
            <w:pPr>
              <w:spacing w:after="0"/>
              <w:rPr>
                <w:rFonts w:eastAsia="Times New Roman" w:cs="Arial"/>
                <w:color w:val="000000"/>
              </w:rPr>
            </w:pPr>
            <w:r w:rsidRPr="00806586">
              <w:rPr>
                <w:rFonts w:eastAsia="Times New Roman" w:cs="Arial"/>
                <w:color w:val="000000"/>
              </w:rPr>
              <w:t>Total number of FTE days lost</w:t>
            </w:r>
          </w:p>
        </w:tc>
        <w:tc>
          <w:tcPr>
            <w:tcW w:w="1596" w:type="dxa"/>
            <w:tcBorders>
              <w:top w:val="nil"/>
              <w:left w:val="nil"/>
              <w:bottom w:val="single" w:sz="8" w:space="0" w:color="auto"/>
              <w:right w:val="single" w:sz="8" w:space="0" w:color="auto"/>
            </w:tcBorders>
            <w:shd w:val="clear" w:color="auto" w:fill="auto"/>
            <w:noWrap/>
            <w:vAlign w:val="bottom"/>
          </w:tcPr>
          <w:p w14:paraId="677D5B2D" w14:textId="77777777" w:rsidR="00450FE0" w:rsidRPr="00806586" w:rsidRDefault="00450FE0" w:rsidP="00EA1031">
            <w:pPr>
              <w:spacing w:after="0"/>
              <w:rPr>
                <w:rFonts w:eastAsia="Times New Roman" w:cs="Arial"/>
                <w:color w:val="000000"/>
              </w:rPr>
            </w:pPr>
            <w:r w:rsidRPr="00806586">
              <w:rPr>
                <w:rFonts w:eastAsia="Times New Roman" w:cs="Arial"/>
                <w:color w:val="000000"/>
              </w:rPr>
              <w:t>380</w:t>
            </w:r>
          </w:p>
        </w:tc>
      </w:tr>
    </w:tbl>
    <w:p w14:paraId="3533971D" w14:textId="77777777" w:rsidR="00450FE0" w:rsidRPr="00806586" w:rsidRDefault="00450FE0" w:rsidP="00450FE0">
      <w:pPr>
        <w:rPr>
          <w:rFonts w:cs="Arial"/>
        </w:rPr>
      </w:pPr>
      <w:r w:rsidRPr="00806586">
        <w:rPr>
          <w:rFonts w:cs="Arial"/>
          <w:color w:val="000000"/>
        </w:rPr>
        <w:t xml:space="preserve">The CCG regularly reviews reasons for absence and all sickness is managed in line with the organisation’s Attendance Management Policy which can be found at </w:t>
      </w:r>
      <w:hyperlink r:id="rId62" w:history="1">
        <w:r w:rsidRPr="00806586">
          <w:rPr>
            <w:rStyle w:val="Hyperlink"/>
            <w:rFonts w:cs="Arial"/>
          </w:rPr>
          <w:t>www.hullccg.nhs.uk</w:t>
        </w:r>
      </w:hyperlink>
      <w:r w:rsidRPr="00806586">
        <w:rPr>
          <w:rFonts w:cs="Arial"/>
        </w:rPr>
        <w:t xml:space="preserve">. The CCG have set a local target for reducing sickness absence and the ongoing work to improve staff health and wellbeing supports this aim.  </w:t>
      </w:r>
    </w:p>
    <w:p w14:paraId="4209135C" w14:textId="691607ED" w:rsidR="00946C44" w:rsidRPr="004F6950" w:rsidRDefault="004F6950" w:rsidP="00B66DE2">
      <w:pPr>
        <w:pStyle w:val="Heading3"/>
      </w:pPr>
      <w:bookmarkStart w:id="168" w:name="_Toc103695071"/>
      <w:r w:rsidRPr="004F6950">
        <w:t>Staff t</w:t>
      </w:r>
      <w:r w:rsidR="00946C44" w:rsidRPr="004F6950">
        <w:t>urnover</w:t>
      </w:r>
      <w:bookmarkEnd w:id="168"/>
      <w:r w:rsidRPr="004F6950">
        <w:t xml:space="preserve"> </w:t>
      </w:r>
    </w:p>
    <w:p w14:paraId="42172A6F" w14:textId="77777777" w:rsidR="00450FE0" w:rsidRPr="00806586" w:rsidRDefault="00450FE0" w:rsidP="00450FE0">
      <w:pPr>
        <w:spacing w:after="0"/>
        <w:rPr>
          <w:rFonts w:cs="Arial"/>
        </w:rPr>
      </w:pPr>
      <w:r w:rsidRPr="00806586">
        <w:rPr>
          <w:rFonts w:cs="Arial"/>
        </w:rPr>
        <w:t>The average staff turnover for NHS Hull CCG between 1 April 2021 and 31 March 2022 is below:</w:t>
      </w:r>
    </w:p>
    <w:tbl>
      <w:tblPr>
        <w:tblW w:w="9150" w:type="dxa"/>
        <w:tblInd w:w="-5" w:type="dxa"/>
        <w:tblLook w:val="04A0" w:firstRow="1" w:lastRow="0" w:firstColumn="1" w:lastColumn="0" w:noHBand="0" w:noVBand="1"/>
      </w:tblPr>
      <w:tblGrid>
        <w:gridCol w:w="7559"/>
        <w:gridCol w:w="1591"/>
      </w:tblGrid>
      <w:tr w:rsidR="00450FE0" w:rsidRPr="00806586" w14:paraId="558B31A8" w14:textId="77777777" w:rsidTr="00450FE0">
        <w:trPr>
          <w:trHeight w:val="316"/>
        </w:trPr>
        <w:tc>
          <w:tcPr>
            <w:tcW w:w="7559" w:type="dxa"/>
            <w:tcBorders>
              <w:top w:val="single" w:sz="4" w:space="0" w:color="auto"/>
              <w:left w:val="single" w:sz="4" w:space="0" w:color="auto"/>
              <w:bottom w:val="single" w:sz="4" w:space="0" w:color="auto"/>
              <w:right w:val="single" w:sz="4" w:space="0" w:color="auto"/>
            </w:tcBorders>
            <w:shd w:val="clear" w:color="auto" w:fill="8DB3E2"/>
            <w:noWrap/>
            <w:vAlign w:val="bottom"/>
            <w:hideMark/>
          </w:tcPr>
          <w:p w14:paraId="0DC3B613" w14:textId="77777777" w:rsidR="00450FE0" w:rsidRPr="00806586" w:rsidRDefault="00450FE0" w:rsidP="00EA1031">
            <w:pPr>
              <w:spacing w:after="0"/>
              <w:rPr>
                <w:rFonts w:eastAsia="Times New Roman" w:cs="Arial"/>
                <w:bCs/>
                <w:color w:val="000000"/>
              </w:rPr>
            </w:pPr>
            <w:r w:rsidRPr="00806586">
              <w:rPr>
                <w:rFonts w:eastAsia="Times New Roman" w:cs="Arial"/>
                <w:bCs/>
                <w:color w:val="000000"/>
              </w:rPr>
              <w:t>Turnover</w:t>
            </w:r>
          </w:p>
        </w:tc>
        <w:tc>
          <w:tcPr>
            <w:tcW w:w="1591" w:type="dxa"/>
            <w:tcBorders>
              <w:top w:val="single" w:sz="4" w:space="0" w:color="auto"/>
              <w:left w:val="nil"/>
              <w:bottom w:val="single" w:sz="4" w:space="0" w:color="auto"/>
              <w:right w:val="single" w:sz="4" w:space="0" w:color="auto"/>
            </w:tcBorders>
            <w:shd w:val="clear" w:color="auto" w:fill="8DB3E2"/>
            <w:noWrap/>
            <w:vAlign w:val="bottom"/>
            <w:hideMark/>
          </w:tcPr>
          <w:p w14:paraId="282CB0E6" w14:textId="77777777" w:rsidR="00450FE0" w:rsidRPr="00806586" w:rsidRDefault="00450FE0" w:rsidP="00EA1031">
            <w:pPr>
              <w:spacing w:after="0"/>
              <w:rPr>
                <w:rFonts w:eastAsia="Times New Roman" w:cs="Arial"/>
                <w:color w:val="000000"/>
              </w:rPr>
            </w:pPr>
            <w:r w:rsidRPr="00806586">
              <w:rPr>
                <w:rFonts w:eastAsia="Times New Roman" w:cs="Arial"/>
                <w:color w:val="000000"/>
              </w:rPr>
              <w:t>Total</w:t>
            </w:r>
          </w:p>
        </w:tc>
      </w:tr>
      <w:tr w:rsidR="00450FE0" w:rsidRPr="00806586" w14:paraId="3AA19FFE" w14:textId="77777777" w:rsidTr="00450FE0">
        <w:trPr>
          <w:trHeight w:val="316"/>
        </w:trPr>
        <w:tc>
          <w:tcPr>
            <w:tcW w:w="7559" w:type="dxa"/>
            <w:tcBorders>
              <w:top w:val="nil"/>
              <w:left w:val="single" w:sz="4" w:space="0" w:color="auto"/>
              <w:bottom w:val="single" w:sz="4" w:space="0" w:color="auto"/>
              <w:right w:val="single" w:sz="4" w:space="0" w:color="auto"/>
            </w:tcBorders>
            <w:shd w:val="clear" w:color="000000" w:fill="FFFFFF"/>
            <w:noWrap/>
            <w:vAlign w:val="bottom"/>
            <w:hideMark/>
          </w:tcPr>
          <w:p w14:paraId="57FCEC85" w14:textId="77777777" w:rsidR="00450FE0" w:rsidRPr="00806586" w:rsidRDefault="00450FE0" w:rsidP="00EA1031">
            <w:pPr>
              <w:spacing w:after="0"/>
              <w:rPr>
                <w:rFonts w:eastAsia="Times New Roman" w:cs="Arial"/>
                <w:color w:val="000000"/>
              </w:rPr>
            </w:pPr>
            <w:r w:rsidRPr="00806586">
              <w:rPr>
                <w:rFonts w:eastAsia="Times New Roman" w:cs="Arial"/>
                <w:color w:val="000000"/>
              </w:rPr>
              <w:t> </w:t>
            </w:r>
          </w:p>
        </w:tc>
        <w:tc>
          <w:tcPr>
            <w:tcW w:w="1591" w:type="dxa"/>
            <w:tcBorders>
              <w:top w:val="nil"/>
              <w:left w:val="nil"/>
              <w:bottom w:val="single" w:sz="4" w:space="0" w:color="auto"/>
              <w:right w:val="single" w:sz="4" w:space="0" w:color="auto"/>
            </w:tcBorders>
            <w:shd w:val="clear" w:color="000000" w:fill="FFFFFF"/>
            <w:noWrap/>
            <w:vAlign w:val="bottom"/>
            <w:hideMark/>
          </w:tcPr>
          <w:p w14:paraId="1D0A9923" w14:textId="77777777" w:rsidR="00450FE0" w:rsidRPr="00806586" w:rsidRDefault="00450FE0" w:rsidP="00EA1031">
            <w:pPr>
              <w:spacing w:after="0"/>
              <w:rPr>
                <w:rFonts w:eastAsia="Times New Roman" w:cs="Arial"/>
                <w:color w:val="000000"/>
              </w:rPr>
            </w:pPr>
            <w:r w:rsidRPr="00806586">
              <w:rPr>
                <w:rFonts w:eastAsia="Times New Roman" w:cs="Arial"/>
                <w:color w:val="000000"/>
              </w:rPr>
              <w:t>1.16%</w:t>
            </w:r>
          </w:p>
        </w:tc>
      </w:tr>
    </w:tbl>
    <w:p w14:paraId="0710C929" w14:textId="77777777" w:rsidR="00450FE0" w:rsidRPr="00806586" w:rsidRDefault="00450FE0" w:rsidP="00450FE0">
      <w:pPr>
        <w:rPr>
          <w:rFonts w:cs="Arial"/>
        </w:rPr>
      </w:pPr>
      <w:r w:rsidRPr="00806586">
        <w:rPr>
          <w:rFonts w:cs="Arial"/>
        </w:rPr>
        <w:t>Average turnover rates within NHS Hull CCG are low, therefore not giving any cause for concern. Ongoing work to improve staff engagement, health and wellbeing and organisational culture support the key commitments in the NHS People Plan in respect of staff retention.</w:t>
      </w:r>
    </w:p>
    <w:p w14:paraId="43DD6263" w14:textId="77777777" w:rsidR="006C4B5F" w:rsidRDefault="006C4B5F" w:rsidP="006C4B5F">
      <w:pPr>
        <w:pStyle w:val="NoSpacing"/>
      </w:pPr>
    </w:p>
    <w:p w14:paraId="2B0542B9" w14:textId="77777777" w:rsidR="006C4B5F" w:rsidRDefault="006C4B5F" w:rsidP="00B66DE2">
      <w:pPr>
        <w:spacing w:line="240" w:lineRule="auto"/>
        <w:rPr>
          <w:rFonts w:cs="Arial"/>
        </w:rPr>
      </w:pPr>
    </w:p>
    <w:p w14:paraId="74863977" w14:textId="15564E44" w:rsidR="006C4B5F" w:rsidRPr="00A558A4" w:rsidRDefault="006C4B5F" w:rsidP="00B66DE2">
      <w:pPr>
        <w:spacing w:line="240" w:lineRule="auto"/>
        <w:rPr>
          <w:rFonts w:cs="Arial"/>
        </w:rPr>
        <w:sectPr w:rsidR="006C4B5F" w:rsidRPr="00A558A4" w:rsidSect="00EA054E">
          <w:footnotePr>
            <w:pos w:val="beneathText"/>
          </w:footnotePr>
          <w:pgSz w:w="11906" w:h="16838"/>
          <w:pgMar w:top="1134" w:right="1134" w:bottom="363" w:left="1134" w:header="680" w:footer="170" w:gutter="0"/>
          <w:cols w:space="708"/>
          <w:docGrid w:linePitch="360"/>
        </w:sectPr>
      </w:pPr>
    </w:p>
    <w:tbl>
      <w:tblPr>
        <w:tblW w:w="15071" w:type="dxa"/>
        <w:tblInd w:w="-814" w:type="dxa"/>
        <w:tblLook w:val="04A0" w:firstRow="1" w:lastRow="0" w:firstColumn="1" w:lastColumn="0" w:noHBand="0" w:noVBand="1"/>
      </w:tblPr>
      <w:tblGrid>
        <w:gridCol w:w="5203"/>
        <w:gridCol w:w="1966"/>
        <w:gridCol w:w="717"/>
        <w:gridCol w:w="717"/>
        <w:gridCol w:w="1966"/>
        <w:gridCol w:w="717"/>
        <w:gridCol w:w="717"/>
        <w:gridCol w:w="1966"/>
        <w:gridCol w:w="717"/>
        <w:gridCol w:w="717"/>
      </w:tblGrid>
      <w:tr w:rsidR="004E2014" w:rsidRPr="004E2014" w14:paraId="53B97EBF" w14:textId="77777777" w:rsidTr="005765AD">
        <w:trPr>
          <w:trHeight w:val="284"/>
        </w:trPr>
        <w:tc>
          <w:tcPr>
            <w:tcW w:w="5203" w:type="dxa"/>
            <w:tcBorders>
              <w:top w:val="nil"/>
              <w:left w:val="nil"/>
              <w:bottom w:val="nil"/>
              <w:right w:val="nil"/>
            </w:tcBorders>
            <w:shd w:val="clear" w:color="auto" w:fill="auto"/>
            <w:noWrap/>
            <w:vAlign w:val="bottom"/>
            <w:hideMark/>
          </w:tcPr>
          <w:p w14:paraId="0263B234" w14:textId="77777777" w:rsidR="004E2014" w:rsidRPr="004E2014" w:rsidRDefault="004E2014" w:rsidP="004E2014">
            <w:pPr>
              <w:tabs>
                <w:tab w:val="clear" w:pos="2835"/>
                <w:tab w:val="clear" w:pos="5670"/>
                <w:tab w:val="clear" w:pos="9016"/>
              </w:tabs>
              <w:spacing w:before="0" w:after="0" w:line="240" w:lineRule="auto"/>
              <w:rPr>
                <w:rFonts w:ascii="Times New Roman" w:eastAsia="Times New Roman" w:hAnsi="Times New Roman" w:cs="Times New Roman"/>
                <w:noProof w:val="0"/>
                <w:sz w:val="24"/>
                <w:szCs w:val="24"/>
              </w:rPr>
            </w:pPr>
          </w:p>
        </w:tc>
        <w:tc>
          <w:tcPr>
            <w:tcW w:w="3298" w:type="dxa"/>
            <w:gridSpan w:val="3"/>
            <w:tcBorders>
              <w:top w:val="nil"/>
              <w:left w:val="nil"/>
              <w:bottom w:val="nil"/>
              <w:right w:val="nil"/>
            </w:tcBorders>
            <w:shd w:val="clear" w:color="auto" w:fill="auto"/>
            <w:noWrap/>
            <w:vAlign w:val="bottom"/>
            <w:hideMark/>
          </w:tcPr>
          <w:p w14:paraId="45B828BE" w14:textId="77777777" w:rsidR="004E2014" w:rsidRPr="004E2014" w:rsidRDefault="004E2014" w:rsidP="004E2014">
            <w:pPr>
              <w:tabs>
                <w:tab w:val="clear" w:pos="2835"/>
                <w:tab w:val="clear" w:pos="5670"/>
                <w:tab w:val="clear" w:pos="9016"/>
              </w:tabs>
              <w:spacing w:before="0" w:after="0" w:line="240" w:lineRule="auto"/>
              <w:jc w:val="center"/>
              <w:rPr>
                <w:rFonts w:ascii="Calibri" w:eastAsia="Times New Roman" w:hAnsi="Calibri" w:cs="Calibri"/>
                <w:b/>
                <w:bCs/>
                <w:noProof w:val="0"/>
                <w:color w:val="000000"/>
                <w:sz w:val="20"/>
                <w:szCs w:val="20"/>
              </w:rPr>
            </w:pPr>
            <w:r w:rsidRPr="004E2014">
              <w:rPr>
                <w:rFonts w:ascii="Calibri" w:eastAsia="Times New Roman" w:hAnsi="Calibri" w:cs="Calibri"/>
                <w:b/>
                <w:bCs/>
                <w:noProof w:val="0"/>
                <w:color w:val="000000"/>
                <w:sz w:val="20"/>
                <w:szCs w:val="20"/>
              </w:rPr>
              <w:t>ADMIN</w:t>
            </w:r>
          </w:p>
        </w:tc>
        <w:tc>
          <w:tcPr>
            <w:tcW w:w="3285" w:type="dxa"/>
            <w:gridSpan w:val="3"/>
            <w:tcBorders>
              <w:top w:val="nil"/>
              <w:left w:val="nil"/>
              <w:bottom w:val="nil"/>
              <w:right w:val="nil"/>
            </w:tcBorders>
            <w:shd w:val="clear" w:color="auto" w:fill="auto"/>
            <w:noWrap/>
            <w:vAlign w:val="bottom"/>
            <w:hideMark/>
          </w:tcPr>
          <w:p w14:paraId="44FFCF2D" w14:textId="77777777" w:rsidR="004E2014" w:rsidRPr="004E2014" w:rsidRDefault="004E2014" w:rsidP="004E2014">
            <w:pPr>
              <w:tabs>
                <w:tab w:val="clear" w:pos="2835"/>
                <w:tab w:val="clear" w:pos="5670"/>
                <w:tab w:val="clear" w:pos="9016"/>
              </w:tabs>
              <w:spacing w:before="0" w:after="0" w:line="240" w:lineRule="auto"/>
              <w:jc w:val="center"/>
              <w:rPr>
                <w:rFonts w:ascii="Calibri" w:eastAsia="Times New Roman" w:hAnsi="Calibri" w:cs="Calibri"/>
                <w:b/>
                <w:bCs/>
                <w:noProof w:val="0"/>
                <w:color w:val="000000"/>
                <w:sz w:val="20"/>
                <w:szCs w:val="20"/>
              </w:rPr>
            </w:pPr>
            <w:r w:rsidRPr="004E2014">
              <w:rPr>
                <w:rFonts w:ascii="Calibri" w:eastAsia="Times New Roman" w:hAnsi="Calibri" w:cs="Calibri"/>
                <w:b/>
                <w:bCs/>
                <w:noProof w:val="0"/>
                <w:color w:val="000000"/>
                <w:sz w:val="20"/>
                <w:szCs w:val="20"/>
              </w:rPr>
              <w:t>PROGRAMME</w:t>
            </w:r>
          </w:p>
        </w:tc>
        <w:tc>
          <w:tcPr>
            <w:tcW w:w="3285" w:type="dxa"/>
            <w:gridSpan w:val="3"/>
            <w:tcBorders>
              <w:top w:val="nil"/>
              <w:left w:val="nil"/>
              <w:bottom w:val="nil"/>
              <w:right w:val="nil"/>
            </w:tcBorders>
            <w:shd w:val="clear" w:color="auto" w:fill="auto"/>
            <w:noWrap/>
            <w:vAlign w:val="bottom"/>
            <w:hideMark/>
          </w:tcPr>
          <w:p w14:paraId="24BBCD23" w14:textId="77777777" w:rsidR="004E2014" w:rsidRPr="004E2014" w:rsidRDefault="004E2014" w:rsidP="004E2014">
            <w:pPr>
              <w:tabs>
                <w:tab w:val="clear" w:pos="2835"/>
                <w:tab w:val="clear" w:pos="5670"/>
                <w:tab w:val="clear" w:pos="9016"/>
              </w:tabs>
              <w:spacing w:before="0" w:after="0" w:line="240" w:lineRule="auto"/>
              <w:jc w:val="center"/>
              <w:rPr>
                <w:rFonts w:ascii="Calibri" w:eastAsia="Times New Roman" w:hAnsi="Calibri" w:cs="Calibri"/>
                <w:b/>
                <w:bCs/>
                <w:noProof w:val="0"/>
                <w:color w:val="000000"/>
                <w:sz w:val="20"/>
                <w:szCs w:val="20"/>
              </w:rPr>
            </w:pPr>
            <w:r w:rsidRPr="004E2014">
              <w:rPr>
                <w:rFonts w:ascii="Calibri" w:eastAsia="Times New Roman" w:hAnsi="Calibri" w:cs="Calibri"/>
                <w:b/>
                <w:bCs/>
                <w:noProof w:val="0"/>
                <w:color w:val="000000"/>
                <w:sz w:val="20"/>
                <w:szCs w:val="20"/>
              </w:rPr>
              <w:t>TOTAL</w:t>
            </w:r>
          </w:p>
        </w:tc>
      </w:tr>
      <w:tr w:rsidR="004E2014" w:rsidRPr="004E2014" w14:paraId="49E65D88" w14:textId="77777777" w:rsidTr="004E2014">
        <w:trPr>
          <w:trHeight w:val="284"/>
        </w:trPr>
        <w:tc>
          <w:tcPr>
            <w:tcW w:w="5203" w:type="dxa"/>
            <w:tcBorders>
              <w:top w:val="nil"/>
              <w:left w:val="nil"/>
              <w:bottom w:val="nil"/>
              <w:right w:val="nil"/>
            </w:tcBorders>
            <w:shd w:val="clear" w:color="auto" w:fill="auto"/>
            <w:noWrap/>
            <w:vAlign w:val="bottom"/>
            <w:hideMark/>
          </w:tcPr>
          <w:p w14:paraId="0E4046B9" w14:textId="2505832A" w:rsidR="004E2014" w:rsidRPr="004E2014" w:rsidRDefault="00E36609" w:rsidP="004E2014">
            <w:pPr>
              <w:tabs>
                <w:tab w:val="clear" w:pos="2835"/>
                <w:tab w:val="clear" w:pos="5670"/>
                <w:tab w:val="clear" w:pos="9016"/>
              </w:tabs>
              <w:spacing w:before="0" w:after="0" w:line="240" w:lineRule="auto"/>
              <w:jc w:val="center"/>
              <w:rPr>
                <w:rFonts w:ascii="Calibri" w:eastAsia="Times New Roman" w:hAnsi="Calibri" w:cs="Calibri"/>
                <w:b/>
                <w:bCs/>
                <w:noProof w:val="0"/>
                <w:color w:val="000000"/>
                <w:sz w:val="20"/>
                <w:szCs w:val="20"/>
              </w:rPr>
            </w:pPr>
            <w:r>
              <w:rPr>
                <w:rFonts w:eastAsia="Times New Roman"/>
                <w:b/>
                <w:bCs/>
              </w:rPr>
              <mc:AlternateContent>
                <mc:Choice Requires="wps">
                  <w:drawing>
                    <wp:anchor distT="0" distB="0" distL="114300" distR="114300" simplePos="0" relativeHeight="251701248" behindDoc="0" locked="0" layoutInCell="1" allowOverlap="1" wp14:anchorId="4C03C4CD" wp14:editId="6A449949">
                      <wp:simplePos x="0" y="0"/>
                      <wp:positionH relativeFrom="column">
                        <wp:posOffset>-30480</wp:posOffset>
                      </wp:positionH>
                      <wp:positionV relativeFrom="paragraph">
                        <wp:posOffset>43180</wp:posOffset>
                      </wp:positionV>
                      <wp:extent cx="3028950" cy="7143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028950" cy="714375"/>
                              </a:xfrm>
                              <a:prstGeom prst="rect">
                                <a:avLst/>
                              </a:prstGeom>
                              <a:solidFill>
                                <a:schemeClr val="lt1"/>
                              </a:solidFill>
                              <a:ln w="6350">
                                <a:noFill/>
                              </a:ln>
                            </wps:spPr>
                            <wps:txbx>
                              <w:txbxContent>
                                <w:p w14:paraId="580FCBEA" w14:textId="19218557" w:rsidR="004E2014" w:rsidRDefault="004E2014" w:rsidP="00B71FAD">
                                  <w:pPr>
                                    <w:pStyle w:val="Heading2"/>
                                  </w:pPr>
                                  <w:bookmarkStart w:id="169" w:name="_Toc103695072"/>
                                  <w:r>
                                    <w:t>Staff costs table 2021-22</w:t>
                                  </w:r>
                                  <w:r w:rsidR="00933CE1">
                                    <w:t xml:space="preserve"> (subject to audit)</w:t>
                                  </w:r>
                                  <w:bookmarkEnd w:id="1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3C4CD" id="Text Box 7" o:spid="_x0000_s1028" type="#_x0000_t202" style="position:absolute;left:0;text-align:left;margin-left:-2.4pt;margin-top:3.4pt;width:238.5pt;height:5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" fillcolor="white [3201]" stroked="f" strokeweight=".5pt">
                      <v:textbox>
                        <w:txbxContent>
                          <w:p w14:paraId="580FCBEA" w14:textId="19218557" w:rsidR="004E2014" w:rsidRDefault="004E2014" w:rsidP="00B71FAD">
                            <w:pPr>
                              <w:pStyle w:val="Heading2"/>
                            </w:pPr>
                            <w:bookmarkStart w:id="170" w:name="_Toc103695072"/>
                            <w:r>
                              <w:t>Staff costs table 2021-22</w:t>
                            </w:r>
                            <w:r w:rsidR="00933CE1">
                              <w:t xml:space="preserve"> (subject to audit)</w:t>
                            </w:r>
                            <w:bookmarkEnd w:id="170"/>
                          </w:p>
                        </w:txbxContent>
                      </v:textbox>
                    </v:shape>
                  </w:pict>
                </mc:Fallback>
              </mc:AlternateContent>
            </w:r>
          </w:p>
        </w:tc>
        <w:tc>
          <w:tcPr>
            <w:tcW w:w="1966" w:type="dxa"/>
            <w:tcBorders>
              <w:top w:val="single" w:sz="4" w:space="0" w:color="auto"/>
              <w:left w:val="single" w:sz="4" w:space="0" w:color="auto"/>
              <w:bottom w:val="nil"/>
              <w:right w:val="single" w:sz="4" w:space="0" w:color="auto"/>
            </w:tcBorders>
            <w:shd w:val="clear" w:color="auto" w:fill="B8CCE4" w:themeFill="accent1" w:themeFillTint="66"/>
            <w:noWrap/>
            <w:vAlign w:val="bottom"/>
            <w:hideMark/>
          </w:tcPr>
          <w:p w14:paraId="52E5D8CF" w14:textId="77777777" w:rsidR="004E2014" w:rsidRPr="004E2014" w:rsidRDefault="004E2014" w:rsidP="004E2014">
            <w:pPr>
              <w:tabs>
                <w:tab w:val="clear" w:pos="2835"/>
                <w:tab w:val="clear" w:pos="5670"/>
                <w:tab w:val="clear" w:pos="9016"/>
              </w:tabs>
              <w:spacing w:before="0" w:after="0" w:line="240" w:lineRule="auto"/>
              <w:jc w:val="center"/>
              <w:rPr>
                <w:rFonts w:eastAsia="Times New Roman" w:cs="Arial"/>
                <w:noProof w:val="0"/>
                <w:color w:val="000000"/>
                <w:sz w:val="20"/>
                <w:szCs w:val="20"/>
              </w:rPr>
            </w:pPr>
            <w:r w:rsidRPr="004E2014">
              <w:rPr>
                <w:rFonts w:eastAsia="Times New Roman" w:cs="Arial"/>
                <w:noProof w:val="0"/>
                <w:color w:val="000000"/>
                <w:sz w:val="20"/>
                <w:szCs w:val="20"/>
              </w:rPr>
              <w:t>Perm</w:t>
            </w:r>
          </w:p>
        </w:tc>
        <w:tc>
          <w:tcPr>
            <w:tcW w:w="667" w:type="dxa"/>
            <w:tcBorders>
              <w:top w:val="single" w:sz="4" w:space="0" w:color="auto"/>
              <w:left w:val="nil"/>
              <w:bottom w:val="nil"/>
              <w:right w:val="single" w:sz="4" w:space="0" w:color="auto"/>
            </w:tcBorders>
            <w:shd w:val="clear" w:color="auto" w:fill="B8CCE4" w:themeFill="accent1" w:themeFillTint="66"/>
            <w:noWrap/>
            <w:vAlign w:val="bottom"/>
            <w:hideMark/>
          </w:tcPr>
          <w:p w14:paraId="56BB607A"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Other</w:t>
            </w:r>
          </w:p>
        </w:tc>
        <w:tc>
          <w:tcPr>
            <w:tcW w:w="664" w:type="dxa"/>
            <w:tcBorders>
              <w:top w:val="single" w:sz="4" w:space="0" w:color="auto"/>
              <w:left w:val="nil"/>
              <w:bottom w:val="nil"/>
              <w:right w:val="single" w:sz="4" w:space="0" w:color="auto"/>
            </w:tcBorders>
            <w:shd w:val="clear" w:color="auto" w:fill="B8CCE4" w:themeFill="accent1" w:themeFillTint="66"/>
            <w:noWrap/>
            <w:vAlign w:val="bottom"/>
            <w:hideMark/>
          </w:tcPr>
          <w:p w14:paraId="6D711C02"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 </w:t>
            </w:r>
          </w:p>
        </w:tc>
        <w:tc>
          <w:tcPr>
            <w:tcW w:w="1966" w:type="dxa"/>
            <w:tcBorders>
              <w:top w:val="single" w:sz="4" w:space="0" w:color="auto"/>
              <w:left w:val="nil"/>
              <w:bottom w:val="nil"/>
              <w:right w:val="single" w:sz="4" w:space="0" w:color="auto"/>
            </w:tcBorders>
            <w:shd w:val="clear" w:color="auto" w:fill="B8CCE4" w:themeFill="accent1" w:themeFillTint="66"/>
            <w:noWrap/>
            <w:vAlign w:val="bottom"/>
            <w:hideMark/>
          </w:tcPr>
          <w:p w14:paraId="274C63F3"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Perm</w:t>
            </w:r>
          </w:p>
        </w:tc>
        <w:tc>
          <w:tcPr>
            <w:tcW w:w="667" w:type="dxa"/>
            <w:tcBorders>
              <w:top w:val="single" w:sz="4" w:space="0" w:color="auto"/>
              <w:left w:val="nil"/>
              <w:bottom w:val="nil"/>
              <w:right w:val="single" w:sz="4" w:space="0" w:color="auto"/>
            </w:tcBorders>
            <w:shd w:val="clear" w:color="auto" w:fill="B8CCE4" w:themeFill="accent1" w:themeFillTint="66"/>
            <w:noWrap/>
            <w:vAlign w:val="bottom"/>
            <w:hideMark/>
          </w:tcPr>
          <w:p w14:paraId="38A3386B"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Other</w:t>
            </w:r>
          </w:p>
        </w:tc>
        <w:tc>
          <w:tcPr>
            <w:tcW w:w="651" w:type="dxa"/>
            <w:tcBorders>
              <w:top w:val="single" w:sz="4" w:space="0" w:color="auto"/>
              <w:left w:val="nil"/>
              <w:bottom w:val="nil"/>
              <w:right w:val="single" w:sz="4" w:space="0" w:color="auto"/>
            </w:tcBorders>
            <w:shd w:val="clear" w:color="auto" w:fill="B8CCE4" w:themeFill="accent1" w:themeFillTint="66"/>
            <w:noWrap/>
            <w:vAlign w:val="bottom"/>
            <w:hideMark/>
          </w:tcPr>
          <w:p w14:paraId="68B84439"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 </w:t>
            </w:r>
          </w:p>
        </w:tc>
        <w:tc>
          <w:tcPr>
            <w:tcW w:w="1966" w:type="dxa"/>
            <w:tcBorders>
              <w:top w:val="single" w:sz="4" w:space="0" w:color="auto"/>
              <w:left w:val="nil"/>
              <w:bottom w:val="nil"/>
              <w:right w:val="single" w:sz="4" w:space="0" w:color="auto"/>
            </w:tcBorders>
            <w:shd w:val="clear" w:color="auto" w:fill="B8CCE4" w:themeFill="accent1" w:themeFillTint="66"/>
            <w:noWrap/>
            <w:vAlign w:val="bottom"/>
            <w:hideMark/>
          </w:tcPr>
          <w:p w14:paraId="001E395E"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Perm</w:t>
            </w:r>
          </w:p>
        </w:tc>
        <w:tc>
          <w:tcPr>
            <w:tcW w:w="667" w:type="dxa"/>
            <w:tcBorders>
              <w:top w:val="single" w:sz="4" w:space="0" w:color="auto"/>
              <w:left w:val="nil"/>
              <w:bottom w:val="nil"/>
              <w:right w:val="single" w:sz="4" w:space="0" w:color="auto"/>
            </w:tcBorders>
            <w:shd w:val="clear" w:color="auto" w:fill="B8CCE4" w:themeFill="accent1" w:themeFillTint="66"/>
            <w:noWrap/>
            <w:vAlign w:val="bottom"/>
            <w:hideMark/>
          </w:tcPr>
          <w:p w14:paraId="228B8BE3"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Other</w:t>
            </w:r>
          </w:p>
        </w:tc>
        <w:tc>
          <w:tcPr>
            <w:tcW w:w="651" w:type="dxa"/>
            <w:tcBorders>
              <w:top w:val="single" w:sz="4" w:space="0" w:color="auto"/>
              <w:left w:val="nil"/>
              <w:bottom w:val="nil"/>
              <w:right w:val="single" w:sz="4" w:space="0" w:color="auto"/>
            </w:tcBorders>
            <w:shd w:val="clear" w:color="auto" w:fill="B8CCE4" w:themeFill="accent1" w:themeFillTint="66"/>
            <w:noWrap/>
            <w:vAlign w:val="bottom"/>
            <w:hideMark/>
          </w:tcPr>
          <w:p w14:paraId="5E825AE8"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 </w:t>
            </w:r>
          </w:p>
        </w:tc>
      </w:tr>
      <w:tr w:rsidR="004E2014" w:rsidRPr="004E2014" w14:paraId="35441559" w14:textId="77777777" w:rsidTr="004E2014">
        <w:trPr>
          <w:trHeight w:val="284"/>
        </w:trPr>
        <w:tc>
          <w:tcPr>
            <w:tcW w:w="5203" w:type="dxa"/>
            <w:tcBorders>
              <w:top w:val="nil"/>
              <w:left w:val="nil"/>
              <w:bottom w:val="nil"/>
              <w:right w:val="nil"/>
            </w:tcBorders>
            <w:shd w:val="clear" w:color="auto" w:fill="auto"/>
            <w:noWrap/>
            <w:vAlign w:val="bottom"/>
            <w:hideMark/>
          </w:tcPr>
          <w:p w14:paraId="259F0FC9" w14:textId="77777777" w:rsidR="004E2014" w:rsidRPr="004E2014" w:rsidRDefault="004E2014" w:rsidP="004E2014">
            <w:pPr>
              <w:tabs>
                <w:tab w:val="clear" w:pos="2835"/>
                <w:tab w:val="clear" w:pos="5670"/>
                <w:tab w:val="clear" w:pos="9016"/>
              </w:tabs>
              <w:spacing w:before="0" w:after="0" w:line="240" w:lineRule="auto"/>
              <w:rPr>
                <w:rFonts w:ascii="Calibri" w:eastAsia="Times New Roman" w:hAnsi="Calibri" w:cs="Calibri"/>
                <w:noProof w:val="0"/>
                <w:color w:val="000000"/>
                <w:sz w:val="20"/>
                <w:szCs w:val="20"/>
              </w:rPr>
            </w:pPr>
          </w:p>
        </w:tc>
        <w:tc>
          <w:tcPr>
            <w:tcW w:w="1966" w:type="dxa"/>
            <w:tcBorders>
              <w:top w:val="nil"/>
              <w:left w:val="single" w:sz="4" w:space="0" w:color="auto"/>
              <w:bottom w:val="nil"/>
              <w:right w:val="single" w:sz="4" w:space="0" w:color="auto"/>
            </w:tcBorders>
            <w:shd w:val="clear" w:color="auto" w:fill="B8CCE4" w:themeFill="accent1" w:themeFillTint="66"/>
            <w:noWrap/>
            <w:vAlign w:val="bottom"/>
            <w:hideMark/>
          </w:tcPr>
          <w:p w14:paraId="622D62A4" w14:textId="77777777" w:rsidR="004E2014" w:rsidRPr="004E2014" w:rsidRDefault="004E2014" w:rsidP="004E2014">
            <w:pPr>
              <w:tabs>
                <w:tab w:val="clear" w:pos="2835"/>
                <w:tab w:val="clear" w:pos="5670"/>
                <w:tab w:val="clear" w:pos="9016"/>
              </w:tabs>
              <w:spacing w:before="0" w:after="0" w:line="240" w:lineRule="auto"/>
              <w:jc w:val="center"/>
              <w:rPr>
                <w:rFonts w:eastAsia="Times New Roman" w:cs="Arial"/>
                <w:noProof w:val="0"/>
                <w:color w:val="000000"/>
                <w:sz w:val="20"/>
                <w:szCs w:val="20"/>
              </w:rPr>
            </w:pPr>
            <w:r w:rsidRPr="004E2014">
              <w:rPr>
                <w:rFonts w:eastAsia="Times New Roman" w:cs="Arial"/>
                <w:noProof w:val="0"/>
                <w:color w:val="000000"/>
                <w:sz w:val="20"/>
                <w:szCs w:val="20"/>
              </w:rPr>
              <w:t>Permanent Employees</w:t>
            </w:r>
          </w:p>
        </w:tc>
        <w:tc>
          <w:tcPr>
            <w:tcW w:w="667" w:type="dxa"/>
            <w:tcBorders>
              <w:top w:val="nil"/>
              <w:left w:val="nil"/>
              <w:bottom w:val="nil"/>
              <w:right w:val="single" w:sz="4" w:space="0" w:color="auto"/>
            </w:tcBorders>
            <w:shd w:val="clear" w:color="auto" w:fill="B8CCE4" w:themeFill="accent1" w:themeFillTint="66"/>
            <w:noWrap/>
            <w:vAlign w:val="bottom"/>
            <w:hideMark/>
          </w:tcPr>
          <w:p w14:paraId="022E1881"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Other</w:t>
            </w:r>
          </w:p>
        </w:tc>
        <w:tc>
          <w:tcPr>
            <w:tcW w:w="664" w:type="dxa"/>
            <w:tcBorders>
              <w:top w:val="nil"/>
              <w:left w:val="nil"/>
              <w:bottom w:val="nil"/>
              <w:right w:val="single" w:sz="4" w:space="0" w:color="auto"/>
            </w:tcBorders>
            <w:shd w:val="clear" w:color="auto" w:fill="B8CCE4" w:themeFill="accent1" w:themeFillTint="66"/>
            <w:noWrap/>
            <w:vAlign w:val="bottom"/>
            <w:hideMark/>
          </w:tcPr>
          <w:p w14:paraId="3D6EC80F"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Total</w:t>
            </w:r>
          </w:p>
        </w:tc>
        <w:tc>
          <w:tcPr>
            <w:tcW w:w="1966" w:type="dxa"/>
            <w:tcBorders>
              <w:top w:val="nil"/>
              <w:left w:val="nil"/>
              <w:bottom w:val="nil"/>
              <w:right w:val="single" w:sz="4" w:space="0" w:color="auto"/>
            </w:tcBorders>
            <w:shd w:val="clear" w:color="auto" w:fill="B8CCE4" w:themeFill="accent1" w:themeFillTint="66"/>
            <w:noWrap/>
            <w:vAlign w:val="bottom"/>
            <w:hideMark/>
          </w:tcPr>
          <w:p w14:paraId="5DFDADF5"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Permanent Employees</w:t>
            </w:r>
          </w:p>
        </w:tc>
        <w:tc>
          <w:tcPr>
            <w:tcW w:w="667" w:type="dxa"/>
            <w:tcBorders>
              <w:top w:val="nil"/>
              <w:left w:val="nil"/>
              <w:bottom w:val="nil"/>
              <w:right w:val="single" w:sz="4" w:space="0" w:color="auto"/>
            </w:tcBorders>
            <w:shd w:val="clear" w:color="auto" w:fill="B8CCE4" w:themeFill="accent1" w:themeFillTint="66"/>
            <w:noWrap/>
            <w:vAlign w:val="bottom"/>
            <w:hideMark/>
          </w:tcPr>
          <w:p w14:paraId="68077DEC"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Other</w:t>
            </w:r>
          </w:p>
        </w:tc>
        <w:tc>
          <w:tcPr>
            <w:tcW w:w="651" w:type="dxa"/>
            <w:tcBorders>
              <w:top w:val="nil"/>
              <w:left w:val="nil"/>
              <w:bottom w:val="nil"/>
              <w:right w:val="single" w:sz="4" w:space="0" w:color="auto"/>
            </w:tcBorders>
            <w:shd w:val="clear" w:color="auto" w:fill="B8CCE4" w:themeFill="accent1" w:themeFillTint="66"/>
            <w:noWrap/>
            <w:vAlign w:val="bottom"/>
            <w:hideMark/>
          </w:tcPr>
          <w:p w14:paraId="0276B27C"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Total</w:t>
            </w:r>
          </w:p>
        </w:tc>
        <w:tc>
          <w:tcPr>
            <w:tcW w:w="1966" w:type="dxa"/>
            <w:tcBorders>
              <w:top w:val="nil"/>
              <w:left w:val="nil"/>
              <w:bottom w:val="nil"/>
              <w:right w:val="single" w:sz="4" w:space="0" w:color="auto"/>
            </w:tcBorders>
            <w:shd w:val="clear" w:color="auto" w:fill="B8CCE4" w:themeFill="accent1" w:themeFillTint="66"/>
            <w:noWrap/>
            <w:vAlign w:val="bottom"/>
            <w:hideMark/>
          </w:tcPr>
          <w:p w14:paraId="1EA9FA2B"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Permanent Employees</w:t>
            </w:r>
          </w:p>
        </w:tc>
        <w:tc>
          <w:tcPr>
            <w:tcW w:w="667" w:type="dxa"/>
            <w:tcBorders>
              <w:top w:val="nil"/>
              <w:left w:val="nil"/>
              <w:bottom w:val="nil"/>
              <w:right w:val="single" w:sz="4" w:space="0" w:color="auto"/>
            </w:tcBorders>
            <w:shd w:val="clear" w:color="auto" w:fill="B8CCE4" w:themeFill="accent1" w:themeFillTint="66"/>
            <w:noWrap/>
            <w:vAlign w:val="bottom"/>
            <w:hideMark/>
          </w:tcPr>
          <w:p w14:paraId="79EF0329"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Other</w:t>
            </w:r>
          </w:p>
        </w:tc>
        <w:tc>
          <w:tcPr>
            <w:tcW w:w="651" w:type="dxa"/>
            <w:tcBorders>
              <w:top w:val="nil"/>
              <w:left w:val="nil"/>
              <w:bottom w:val="nil"/>
              <w:right w:val="single" w:sz="4" w:space="0" w:color="auto"/>
            </w:tcBorders>
            <w:shd w:val="clear" w:color="auto" w:fill="B8CCE4" w:themeFill="accent1" w:themeFillTint="66"/>
            <w:noWrap/>
            <w:vAlign w:val="bottom"/>
            <w:hideMark/>
          </w:tcPr>
          <w:p w14:paraId="61592DEF"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Total</w:t>
            </w:r>
          </w:p>
        </w:tc>
      </w:tr>
      <w:tr w:rsidR="004E2014" w:rsidRPr="004E2014" w14:paraId="5116B9B0" w14:textId="77777777" w:rsidTr="004E2014">
        <w:trPr>
          <w:trHeight w:val="284"/>
        </w:trPr>
        <w:tc>
          <w:tcPr>
            <w:tcW w:w="5203" w:type="dxa"/>
            <w:tcBorders>
              <w:top w:val="nil"/>
              <w:left w:val="nil"/>
              <w:bottom w:val="nil"/>
              <w:right w:val="nil"/>
            </w:tcBorders>
            <w:shd w:val="clear" w:color="auto" w:fill="auto"/>
            <w:noWrap/>
            <w:vAlign w:val="bottom"/>
            <w:hideMark/>
          </w:tcPr>
          <w:p w14:paraId="0FF3C3E9" w14:textId="77777777" w:rsidR="004E2014" w:rsidRPr="004E2014" w:rsidRDefault="004E2014" w:rsidP="004E2014">
            <w:pPr>
              <w:tabs>
                <w:tab w:val="clear" w:pos="2835"/>
                <w:tab w:val="clear" w:pos="5670"/>
                <w:tab w:val="clear" w:pos="9016"/>
              </w:tabs>
              <w:spacing w:before="0" w:after="0" w:line="240" w:lineRule="auto"/>
              <w:rPr>
                <w:rFonts w:ascii="Calibri" w:eastAsia="Times New Roman" w:hAnsi="Calibri" w:cs="Calibri"/>
                <w:noProof w:val="0"/>
                <w:color w:val="000000"/>
                <w:sz w:val="20"/>
                <w:szCs w:val="20"/>
              </w:rPr>
            </w:pPr>
          </w:p>
        </w:tc>
        <w:tc>
          <w:tcPr>
            <w:tcW w:w="1966"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14:paraId="15AF8D8D" w14:textId="77777777" w:rsidR="004E2014" w:rsidRPr="004E2014" w:rsidRDefault="004E2014" w:rsidP="004E2014">
            <w:pPr>
              <w:tabs>
                <w:tab w:val="clear" w:pos="2835"/>
                <w:tab w:val="clear" w:pos="5670"/>
                <w:tab w:val="clear" w:pos="9016"/>
              </w:tabs>
              <w:spacing w:before="0" w:after="0" w:line="240" w:lineRule="auto"/>
              <w:jc w:val="center"/>
              <w:rPr>
                <w:rFonts w:eastAsia="Times New Roman" w:cs="Arial"/>
                <w:noProof w:val="0"/>
                <w:color w:val="000000"/>
                <w:sz w:val="20"/>
                <w:szCs w:val="20"/>
              </w:rPr>
            </w:pPr>
            <w:r w:rsidRPr="004E2014">
              <w:rPr>
                <w:rFonts w:eastAsia="Times New Roman" w:cs="Arial"/>
                <w:noProof w:val="0"/>
                <w:color w:val="000000"/>
                <w:sz w:val="20"/>
                <w:szCs w:val="20"/>
              </w:rPr>
              <w:t>£'000</w:t>
            </w:r>
          </w:p>
        </w:tc>
        <w:tc>
          <w:tcPr>
            <w:tcW w:w="667" w:type="dxa"/>
            <w:tcBorders>
              <w:top w:val="nil"/>
              <w:left w:val="nil"/>
              <w:bottom w:val="single" w:sz="4" w:space="0" w:color="auto"/>
              <w:right w:val="single" w:sz="4" w:space="0" w:color="auto"/>
            </w:tcBorders>
            <w:shd w:val="clear" w:color="auto" w:fill="B8CCE4" w:themeFill="accent1" w:themeFillTint="66"/>
            <w:noWrap/>
            <w:vAlign w:val="bottom"/>
            <w:hideMark/>
          </w:tcPr>
          <w:p w14:paraId="0AD60DC7"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£'000</w:t>
            </w:r>
          </w:p>
        </w:tc>
        <w:tc>
          <w:tcPr>
            <w:tcW w:w="664" w:type="dxa"/>
            <w:tcBorders>
              <w:top w:val="nil"/>
              <w:left w:val="nil"/>
              <w:bottom w:val="single" w:sz="4" w:space="0" w:color="auto"/>
              <w:right w:val="single" w:sz="4" w:space="0" w:color="auto"/>
            </w:tcBorders>
            <w:shd w:val="clear" w:color="auto" w:fill="B8CCE4" w:themeFill="accent1" w:themeFillTint="66"/>
            <w:noWrap/>
            <w:vAlign w:val="bottom"/>
            <w:hideMark/>
          </w:tcPr>
          <w:p w14:paraId="50DB3D92"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£'000</w:t>
            </w:r>
          </w:p>
        </w:tc>
        <w:tc>
          <w:tcPr>
            <w:tcW w:w="1966" w:type="dxa"/>
            <w:tcBorders>
              <w:top w:val="nil"/>
              <w:left w:val="nil"/>
              <w:bottom w:val="single" w:sz="4" w:space="0" w:color="auto"/>
              <w:right w:val="single" w:sz="4" w:space="0" w:color="auto"/>
            </w:tcBorders>
            <w:shd w:val="clear" w:color="auto" w:fill="B8CCE4" w:themeFill="accent1" w:themeFillTint="66"/>
            <w:noWrap/>
            <w:vAlign w:val="bottom"/>
            <w:hideMark/>
          </w:tcPr>
          <w:p w14:paraId="05D5DF50"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£'000</w:t>
            </w:r>
          </w:p>
        </w:tc>
        <w:tc>
          <w:tcPr>
            <w:tcW w:w="667" w:type="dxa"/>
            <w:tcBorders>
              <w:top w:val="nil"/>
              <w:left w:val="nil"/>
              <w:bottom w:val="single" w:sz="4" w:space="0" w:color="auto"/>
              <w:right w:val="single" w:sz="4" w:space="0" w:color="auto"/>
            </w:tcBorders>
            <w:shd w:val="clear" w:color="auto" w:fill="B8CCE4" w:themeFill="accent1" w:themeFillTint="66"/>
            <w:noWrap/>
            <w:vAlign w:val="bottom"/>
            <w:hideMark/>
          </w:tcPr>
          <w:p w14:paraId="78E4A84C"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£'000</w:t>
            </w:r>
          </w:p>
        </w:tc>
        <w:tc>
          <w:tcPr>
            <w:tcW w:w="651" w:type="dxa"/>
            <w:tcBorders>
              <w:top w:val="nil"/>
              <w:left w:val="nil"/>
              <w:bottom w:val="single" w:sz="4" w:space="0" w:color="auto"/>
              <w:right w:val="single" w:sz="4" w:space="0" w:color="auto"/>
            </w:tcBorders>
            <w:shd w:val="clear" w:color="auto" w:fill="B8CCE4" w:themeFill="accent1" w:themeFillTint="66"/>
            <w:noWrap/>
            <w:vAlign w:val="bottom"/>
            <w:hideMark/>
          </w:tcPr>
          <w:p w14:paraId="77195A33"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£'000</w:t>
            </w:r>
          </w:p>
        </w:tc>
        <w:tc>
          <w:tcPr>
            <w:tcW w:w="1966" w:type="dxa"/>
            <w:tcBorders>
              <w:top w:val="nil"/>
              <w:left w:val="nil"/>
              <w:bottom w:val="single" w:sz="4" w:space="0" w:color="auto"/>
              <w:right w:val="single" w:sz="4" w:space="0" w:color="auto"/>
            </w:tcBorders>
            <w:shd w:val="clear" w:color="auto" w:fill="B8CCE4" w:themeFill="accent1" w:themeFillTint="66"/>
            <w:noWrap/>
            <w:vAlign w:val="bottom"/>
            <w:hideMark/>
          </w:tcPr>
          <w:p w14:paraId="22A65AA1"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£'000</w:t>
            </w:r>
          </w:p>
        </w:tc>
        <w:tc>
          <w:tcPr>
            <w:tcW w:w="667" w:type="dxa"/>
            <w:tcBorders>
              <w:top w:val="nil"/>
              <w:left w:val="nil"/>
              <w:bottom w:val="single" w:sz="4" w:space="0" w:color="auto"/>
              <w:right w:val="single" w:sz="4" w:space="0" w:color="auto"/>
            </w:tcBorders>
            <w:shd w:val="clear" w:color="auto" w:fill="B8CCE4" w:themeFill="accent1" w:themeFillTint="66"/>
            <w:noWrap/>
            <w:vAlign w:val="bottom"/>
            <w:hideMark/>
          </w:tcPr>
          <w:p w14:paraId="62EF8EF4"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£'000</w:t>
            </w:r>
          </w:p>
        </w:tc>
        <w:tc>
          <w:tcPr>
            <w:tcW w:w="651" w:type="dxa"/>
            <w:tcBorders>
              <w:top w:val="nil"/>
              <w:left w:val="nil"/>
              <w:bottom w:val="single" w:sz="4" w:space="0" w:color="auto"/>
              <w:right w:val="single" w:sz="4" w:space="0" w:color="auto"/>
            </w:tcBorders>
            <w:shd w:val="clear" w:color="auto" w:fill="B8CCE4" w:themeFill="accent1" w:themeFillTint="66"/>
            <w:noWrap/>
            <w:vAlign w:val="bottom"/>
            <w:hideMark/>
          </w:tcPr>
          <w:p w14:paraId="1B4C16E3"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£'000</w:t>
            </w:r>
          </w:p>
        </w:tc>
      </w:tr>
      <w:tr w:rsidR="004E2014" w:rsidRPr="004E2014" w14:paraId="3F1A39D8" w14:textId="77777777" w:rsidTr="005765AD">
        <w:trPr>
          <w:trHeight w:val="284"/>
        </w:trPr>
        <w:tc>
          <w:tcPr>
            <w:tcW w:w="5203" w:type="dxa"/>
            <w:tcBorders>
              <w:top w:val="nil"/>
              <w:left w:val="nil"/>
              <w:bottom w:val="nil"/>
              <w:right w:val="nil"/>
            </w:tcBorders>
            <w:shd w:val="clear" w:color="auto" w:fill="auto"/>
            <w:noWrap/>
            <w:vAlign w:val="bottom"/>
            <w:hideMark/>
          </w:tcPr>
          <w:p w14:paraId="6FDE69C1" w14:textId="77777777" w:rsidR="004E2014" w:rsidRPr="004E2014" w:rsidRDefault="004E2014" w:rsidP="004E2014">
            <w:pPr>
              <w:tabs>
                <w:tab w:val="clear" w:pos="2835"/>
                <w:tab w:val="clear" w:pos="5670"/>
                <w:tab w:val="clear" w:pos="9016"/>
              </w:tabs>
              <w:spacing w:before="0" w:after="0" w:line="240" w:lineRule="auto"/>
              <w:rPr>
                <w:rFonts w:ascii="Calibri" w:eastAsia="Times New Roman" w:hAnsi="Calibri" w:cs="Calibri"/>
                <w:noProof w:val="0"/>
                <w:color w:val="000000"/>
                <w:sz w:val="20"/>
                <w:szCs w:val="20"/>
              </w:rPr>
            </w:pPr>
          </w:p>
        </w:tc>
        <w:tc>
          <w:tcPr>
            <w:tcW w:w="1966" w:type="dxa"/>
            <w:tcBorders>
              <w:top w:val="single" w:sz="4" w:space="0" w:color="auto"/>
              <w:left w:val="single" w:sz="4" w:space="0" w:color="auto"/>
              <w:bottom w:val="single" w:sz="4" w:space="0" w:color="auto"/>
              <w:right w:val="nil"/>
            </w:tcBorders>
            <w:shd w:val="clear" w:color="auto" w:fill="auto"/>
            <w:noWrap/>
            <w:vAlign w:val="bottom"/>
            <w:hideMark/>
          </w:tcPr>
          <w:p w14:paraId="428C02A1"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N4A</w:t>
            </w:r>
          </w:p>
        </w:tc>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104DBB86"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N4B</w:t>
            </w:r>
          </w:p>
        </w:tc>
        <w:tc>
          <w:tcPr>
            <w:tcW w:w="664" w:type="dxa"/>
            <w:tcBorders>
              <w:top w:val="nil"/>
              <w:left w:val="nil"/>
              <w:bottom w:val="single" w:sz="4" w:space="0" w:color="auto"/>
              <w:right w:val="single" w:sz="4" w:space="0" w:color="auto"/>
            </w:tcBorders>
            <w:shd w:val="clear" w:color="auto" w:fill="auto"/>
            <w:noWrap/>
            <w:vAlign w:val="bottom"/>
            <w:hideMark/>
          </w:tcPr>
          <w:p w14:paraId="111FBFC6"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N4C</w:t>
            </w:r>
          </w:p>
        </w:tc>
        <w:tc>
          <w:tcPr>
            <w:tcW w:w="1966" w:type="dxa"/>
            <w:tcBorders>
              <w:top w:val="nil"/>
              <w:left w:val="nil"/>
              <w:bottom w:val="single" w:sz="4" w:space="0" w:color="auto"/>
              <w:right w:val="single" w:sz="4" w:space="0" w:color="auto"/>
            </w:tcBorders>
            <w:shd w:val="clear" w:color="auto" w:fill="auto"/>
            <w:noWrap/>
            <w:vAlign w:val="bottom"/>
            <w:hideMark/>
          </w:tcPr>
          <w:p w14:paraId="0A0CDC56"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N4D</w:t>
            </w:r>
          </w:p>
        </w:tc>
        <w:tc>
          <w:tcPr>
            <w:tcW w:w="667" w:type="dxa"/>
            <w:tcBorders>
              <w:top w:val="nil"/>
              <w:left w:val="nil"/>
              <w:bottom w:val="single" w:sz="4" w:space="0" w:color="auto"/>
              <w:right w:val="single" w:sz="4" w:space="0" w:color="auto"/>
            </w:tcBorders>
            <w:shd w:val="clear" w:color="auto" w:fill="auto"/>
            <w:noWrap/>
            <w:vAlign w:val="bottom"/>
            <w:hideMark/>
          </w:tcPr>
          <w:p w14:paraId="2A6D74B5"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N4E</w:t>
            </w:r>
          </w:p>
        </w:tc>
        <w:tc>
          <w:tcPr>
            <w:tcW w:w="651" w:type="dxa"/>
            <w:tcBorders>
              <w:top w:val="nil"/>
              <w:left w:val="nil"/>
              <w:bottom w:val="single" w:sz="4" w:space="0" w:color="auto"/>
              <w:right w:val="single" w:sz="4" w:space="0" w:color="auto"/>
            </w:tcBorders>
            <w:shd w:val="clear" w:color="auto" w:fill="auto"/>
            <w:noWrap/>
            <w:vAlign w:val="bottom"/>
            <w:hideMark/>
          </w:tcPr>
          <w:p w14:paraId="442316B3"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N4F</w:t>
            </w:r>
          </w:p>
        </w:tc>
        <w:tc>
          <w:tcPr>
            <w:tcW w:w="1966" w:type="dxa"/>
            <w:tcBorders>
              <w:top w:val="nil"/>
              <w:left w:val="nil"/>
              <w:bottom w:val="single" w:sz="4" w:space="0" w:color="auto"/>
              <w:right w:val="single" w:sz="4" w:space="0" w:color="auto"/>
            </w:tcBorders>
            <w:shd w:val="clear" w:color="auto" w:fill="auto"/>
            <w:noWrap/>
            <w:vAlign w:val="bottom"/>
            <w:hideMark/>
          </w:tcPr>
          <w:p w14:paraId="112AADCB"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N4G</w:t>
            </w:r>
          </w:p>
        </w:tc>
        <w:tc>
          <w:tcPr>
            <w:tcW w:w="667" w:type="dxa"/>
            <w:tcBorders>
              <w:top w:val="nil"/>
              <w:left w:val="nil"/>
              <w:bottom w:val="single" w:sz="4" w:space="0" w:color="auto"/>
              <w:right w:val="single" w:sz="4" w:space="0" w:color="auto"/>
            </w:tcBorders>
            <w:shd w:val="clear" w:color="auto" w:fill="auto"/>
            <w:noWrap/>
            <w:vAlign w:val="bottom"/>
            <w:hideMark/>
          </w:tcPr>
          <w:p w14:paraId="2D59F347"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N4H</w:t>
            </w:r>
          </w:p>
        </w:tc>
        <w:tc>
          <w:tcPr>
            <w:tcW w:w="651" w:type="dxa"/>
            <w:tcBorders>
              <w:top w:val="nil"/>
              <w:left w:val="nil"/>
              <w:bottom w:val="single" w:sz="4" w:space="0" w:color="auto"/>
              <w:right w:val="single" w:sz="4" w:space="0" w:color="auto"/>
            </w:tcBorders>
            <w:shd w:val="clear" w:color="auto" w:fill="auto"/>
            <w:noWrap/>
            <w:vAlign w:val="bottom"/>
            <w:hideMark/>
          </w:tcPr>
          <w:p w14:paraId="6ED6BCE9"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N4I</w:t>
            </w:r>
          </w:p>
        </w:tc>
      </w:tr>
      <w:tr w:rsidR="004E2014" w:rsidRPr="004E2014" w14:paraId="60572501" w14:textId="77777777" w:rsidTr="005765AD">
        <w:trPr>
          <w:trHeight w:val="284"/>
        </w:trPr>
        <w:tc>
          <w:tcPr>
            <w:tcW w:w="5203" w:type="dxa"/>
            <w:tcBorders>
              <w:top w:val="single" w:sz="4" w:space="0" w:color="auto"/>
              <w:left w:val="single" w:sz="4" w:space="0" w:color="auto"/>
              <w:bottom w:val="nil"/>
              <w:right w:val="single" w:sz="4" w:space="0" w:color="auto"/>
            </w:tcBorders>
            <w:shd w:val="clear" w:color="auto" w:fill="auto"/>
            <w:noWrap/>
            <w:vAlign w:val="bottom"/>
            <w:hideMark/>
          </w:tcPr>
          <w:p w14:paraId="6C29EF67" w14:textId="77777777" w:rsidR="004E2014" w:rsidRPr="004E2014" w:rsidRDefault="004E2014" w:rsidP="004E2014">
            <w:pPr>
              <w:tabs>
                <w:tab w:val="clear" w:pos="2835"/>
                <w:tab w:val="clear" w:pos="5670"/>
                <w:tab w:val="clear" w:pos="9016"/>
              </w:tabs>
              <w:spacing w:before="0" w:after="0" w:line="240" w:lineRule="auto"/>
              <w:rPr>
                <w:rFonts w:ascii="Calibri" w:eastAsia="Times New Roman" w:hAnsi="Calibri" w:cs="Calibri"/>
                <w:noProof w:val="0"/>
                <w:color w:val="000000"/>
                <w:sz w:val="20"/>
                <w:szCs w:val="20"/>
              </w:rPr>
            </w:pPr>
            <w:r w:rsidRPr="004E2014">
              <w:rPr>
                <w:rFonts w:ascii="Calibri" w:eastAsia="Times New Roman" w:hAnsi="Calibri" w:cs="Calibri"/>
                <w:noProof w:val="0"/>
                <w:color w:val="000000"/>
                <w:sz w:val="20"/>
                <w:szCs w:val="20"/>
              </w:rPr>
              <w:t> </w:t>
            </w:r>
          </w:p>
        </w:tc>
        <w:tc>
          <w:tcPr>
            <w:tcW w:w="1966" w:type="dxa"/>
            <w:tcBorders>
              <w:top w:val="nil"/>
              <w:left w:val="single" w:sz="4" w:space="0" w:color="auto"/>
              <w:bottom w:val="nil"/>
              <w:right w:val="nil"/>
            </w:tcBorders>
            <w:shd w:val="clear" w:color="auto" w:fill="auto"/>
            <w:noWrap/>
            <w:vAlign w:val="bottom"/>
            <w:hideMark/>
          </w:tcPr>
          <w:p w14:paraId="1FD23DC1"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 </w:t>
            </w:r>
          </w:p>
        </w:tc>
        <w:tc>
          <w:tcPr>
            <w:tcW w:w="667" w:type="dxa"/>
            <w:tcBorders>
              <w:top w:val="single" w:sz="4" w:space="0" w:color="auto"/>
              <w:left w:val="nil"/>
              <w:bottom w:val="nil"/>
              <w:right w:val="nil"/>
            </w:tcBorders>
            <w:shd w:val="clear" w:color="auto" w:fill="auto"/>
            <w:noWrap/>
            <w:vAlign w:val="bottom"/>
            <w:hideMark/>
          </w:tcPr>
          <w:p w14:paraId="5F97C7FD"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 </w:t>
            </w:r>
          </w:p>
        </w:tc>
        <w:tc>
          <w:tcPr>
            <w:tcW w:w="664" w:type="dxa"/>
            <w:tcBorders>
              <w:top w:val="single" w:sz="4" w:space="0" w:color="auto"/>
              <w:left w:val="nil"/>
              <w:bottom w:val="nil"/>
              <w:right w:val="single" w:sz="4" w:space="0" w:color="auto"/>
            </w:tcBorders>
            <w:shd w:val="clear" w:color="auto" w:fill="auto"/>
            <w:noWrap/>
            <w:vAlign w:val="bottom"/>
            <w:hideMark/>
          </w:tcPr>
          <w:p w14:paraId="5CE01B8F"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 </w:t>
            </w:r>
          </w:p>
        </w:tc>
        <w:tc>
          <w:tcPr>
            <w:tcW w:w="1966" w:type="dxa"/>
            <w:tcBorders>
              <w:top w:val="single" w:sz="4" w:space="0" w:color="auto"/>
              <w:left w:val="nil"/>
              <w:bottom w:val="nil"/>
              <w:right w:val="nil"/>
            </w:tcBorders>
            <w:shd w:val="clear" w:color="auto" w:fill="auto"/>
            <w:noWrap/>
            <w:vAlign w:val="bottom"/>
            <w:hideMark/>
          </w:tcPr>
          <w:p w14:paraId="1C8E374F"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 </w:t>
            </w:r>
          </w:p>
        </w:tc>
        <w:tc>
          <w:tcPr>
            <w:tcW w:w="667" w:type="dxa"/>
            <w:tcBorders>
              <w:top w:val="single" w:sz="4" w:space="0" w:color="auto"/>
              <w:left w:val="nil"/>
              <w:bottom w:val="nil"/>
              <w:right w:val="nil"/>
            </w:tcBorders>
            <w:shd w:val="clear" w:color="auto" w:fill="auto"/>
            <w:noWrap/>
            <w:vAlign w:val="bottom"/>
            <w:hideMark/>
          </w:tcPr>
          <w:p w14:paraId="16EC9CEE"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 </w:t>
            </w:r>
          </w:p>
        </w:tc>
        <w:tc>
          <w:tcPr>
            <w:tcW w:w="651" w:type="dxa"/>
            <w:tcBorders>
              <w:top w:val="single" w:sz="4" w:space="0" w:color="auto"/>
              <w:left w:val="nil"/>
              <w:bottom w:val="nil"/>
              <w:right w:val="single" w:sz="4" w:space="0" w:color="auto"/>
            </w:tcBorders>
            <w:shd w:val="clear" w:color="auto" w:fill="auto"/>
            <w:noWrap/>
            <w:vAlign w:val="bottom"/>
            <w:hideMark/>
          </w:tcPr>
          <w:p w14:paraId="0E4D1807"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 </w:t>
            </w:r>
          </w:p>
        </w:tc>
        <w:tc>
          <w:tcPr>
            <w:tcW w:w="1966" w:type="dxa"/>
            <w:tcBorders>
              <w:top w:val="single" w:sz="4" w:space="0" w:color="auto"/>
              <w:left w:val="nil"/>
              <w:bottom w:val="nil"/>
              <w:right w:val="nil"/>
            </w:tcBorders>
            <w:shd w:val="clear" w:color="auto" w:fill="auto"/>
            <w:noWrap/>
            <w:vAlign w:val="bottom"/>
            <w:hideMark/>
          </w:tcPr>
          <w:p w14:paraId="3E9F758C"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 </w:t>
            </w:r>
          </w:p>
        </w:tc>
        <w:tc>
          <w:tcPr>
            <w:tcW w:w="667" w:type="dxa"/>
            <w:tcBorders>
              <w:top w:val="single" w:sz="4" w:space="0" w:color="auto"/>
              <w:left w:val="nil"/>
              <w:bottom w:val="nil"/>
              <w:right w:val="nil"/>
            </w:tcBorders>
            <w:shd w:val="clear" w:color="auto" w:fill="auto"/>
            <w:noWrap/>
            <w:vAlign w:val="bottom"/>
            <w:hideMark/>
          </w:tcPr>
          <w:p w14:paraId="066D4DC3"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 </w:t>
            </w:r>
          </w:p>
        </w:tc>
        <w:tc>
          <w:tcPr>
            <w:tcW w:w="651" w:type="dxa"/>
            <w:tcBorders>
              <w:top w:val="single" w:sz="4" w:space="0" w:color="auto"/>
              <w:left w:val="nil"/>
              <w:bottom w:val="nil"/>
              <w:right w:val="single" w:sz="4" w:space="0" w:color="auto"/>
            </w:tcBorders>
            <w:shd w:val="clear" w:color="auto" w:fill="auto"/>
            <w:noWrap/>
            <w:vAlign w:val="bottom"/>
            <w:hideMark/>
          </w:tcPr>
          <w:p w14:paraId="2A4CD369"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 </w:t>
            </w:r>
          </w:p>
        </w:tc>
      </w:tr>
      <w:tr w:rsidR="004E2014" w:rsidRPr="004E2014" w14:paraId="2C0FF240" w14:textId="77777777" w:rsidTr="005765AD">
        <w:trPr>
          <w:trHeight w:val="284"/>
        </w:trPr>
        <w:tc>
          <w:tcPr>
            <w:tcW w:w="5203" w:type="dxa"/>
            <w:tcBorders>
              <w:top w:val="nil"/>
              <w:left w:val="single" w:sz="4" w:space="0" w:color="auto"/>
              <w:bottom w:val="nil"/>
              <w:right w:val="single" w:sz="4" w:space="0" w:color="auto"/>
            </w:tcBorders>
            <w:shd w:val="clear" w:color="auto" w:fill="auto"/>
            <w:noWrap/>
            <w:vAlign w:val="bottom"/>
            <w:hideMark/>
          </w:tcPr>
          <w:p w14:paraId="0A338A9B"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Salaries and wages</w:t>
            </w:r>
          </w:p>
        </w:tc>
        <w:tc>
          <w:tcPr>
            <w:tcW w:w="1966" w:type="dxa"/>
            <w:tcBorders>
              <w:top w:val="nil"/>
              <w:left w:val="nil"/>
              <w:bottom w:val="nil"/>
              <w:right w:val="nil"/>
            </w:tcBorders>
            <w:shd w:val="clear" w:color="auto" w:fill="auto"/>
            <w:noWrap/>
            <w:vAlign w:val="bottom"/>
            <w:hideMark/>
          </w:tcPr>
          <w:p w14:paraId="76591DB8"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2,242 </w:t>
            </w:r>
          </w:p>
        </w:tc>
        <w:tc>
          <w:tcPr>
            <w:tcW w:w="667" w:type="dxa"/>
            <w:tcBorders>
              <w:top w:val="nil"/>
              <w:left w:val="nil"/>
              <w:bottom w:val="nil"/>
              <w:right w:val="nil"/>
            </w:tcBorders>
            <w:shd w:val="clear" w:color="auto" w:fill="auto"/>
            <w:noWrap/>
            <w:vAlign w:val="bottom"/>
            <w:hideMark/>
          </w:tcPr>
          <w:p w14:paraId="53D60BA3"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50 </w:t>
            </w:r>
          </w:p>
        </w:tc>
        <w:tc>
          <w:tcPr>
            <w:tcW w:w="664" w:type="dxa"/>
            <w:tcBorders>
              <w:top w:val="nil"/>
              <w:left w:val="nil"/>
              <w:bottom w:val="nil"/>
              <w:right w:val="single" w:sz="4" w:space="0" w:color="auto"/>
            </w:tcBorders>
            <w:shd w:val="clear" w:color="auto" w:fill="auto"/>
            <w:noWrap/>
            <w:vAlign w:val="bottom"/>
            <w:hideMark/>
          </w:tcPr>
          <w:p w14:paraId="5589465A"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2,292 </w:t>
            </w:r>
          </w:p>
        </w:tc>
        <w:tc>
          <w:tcPr>
            <w:tcW w:w="1966" w:type="dxa"/>
            <w:tcBorders>
              <w:top w:val="nil"/>
              <w:left w:val="nil"/>
              <w:bottom w:val="nil"/>
              <w:right w:val="nil"/>
            </w:tcBorders>
            <w:shd w:val="clear" w:color="auto" w:fill="auto"/>
            <w:noWrap/>
            <w:vAlign w:val="bottom"/>
            <w:hideMark/>
          </w:tcPr>
          <w:p w14:paraId="0E5CD83E"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1,865 </w:t>
            </w:r>
          </w:p>
        </w:tc>
        <w:tc>
          <w:tcPr>
            <w:tcW w:w="667" w:type="dxa"/>
            <w:tcBorders>
              <w:top w:val="nil"/>
              <w:left w:val="nil"/>
              <w:bottom w:val="nil"/>
              <w:right w:val="nil"/>
            </w:tcBorders>
            <w:shd w:val="clear" w:color="auto" w:fill="auto"/>
            <w:noWrap/>
            <w:vAlign w:val="bottom"/>
            <w:hideMark/>
          </w:tcPr>
          <w:p w14:paraId="1AE08B6E"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140 </w:t>
            </w:r>
          </w:p>
        </w:tc>
        <w:tc>
          <w:tcPr>
            <w:tcW w:w="651" w:type="dxa"/>
            <w:tcBorders>
              <w:top w:val="nil"/>
              <w:left w:val="nil"/>
              <w:bottom w:val="nil"/>
              <w:right w:val="single" w:sz="4" w:space="0" w:color="auto"/>
            </w:tcBorders>
            <w:shd w:val="clear" w:color="auto" w:fill="auto"/>
            <w:noWrap/>
            <w:vAlign w:val="bottom"/>
            <w:hideMark/>
          </w:tcPr>
          <w:p w14:paraId="3351CAB0"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2,005 </w:t>
            </w:r>
          </w:p>
        </w:tc>
        <w:tc>
          <w:tcPr>
            <w:tcW w:w="1966" w:type="dxa"/>
            <w:tcBorders>
              <w:top w:val="nil"/>
              <w:left w:val="nil"/>
              <w:bottom w:val="nil"/>
              <w:right w:val="nil"/>
            </w:tcBorders>
            <w:shd w:val="clear" w:color="auto" w:fill="auto"/>
            <w:noWrap/>
            <w:vAlign w:val="bottom"/>
            <w:hideMark/>
          </w:tcPr>
          <w:p w14:paraId="63D97F9A"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4,107 </w:t>
            </w:r>
          </w:p>
        </w:tc>
        <w:tc>
          <w:tcPr>
            <w:tcW w:w="667" w:type="dxa"/>
            <w:tcBorders>
              <w:top w:val="nil"/>
              <w:left w:val="nil"/>
              <w:bottom w:val="nil"/>
              <w:right w:val="nil"/>
            </w:tcBorders>
            <w:shd w:val="clear" w:color="auto" w:fill="auto"/>
            <w:noWrap/>
            <w:vAlign w:val="bottom"/>
            <w:hideMark/>
          </w:tcPr>
          <w:p w14:paraId="2A012398"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190 </w:t>
            </w:r>
          </w:p>
        </w:tc>
        <w:tc>
          <w:tcPr>
            <w:tcW w:w="651" w:type="dxa"/>
            <w:tcBorders>
              <w:top w:val="nil"/>
              <w:left w:val="nil"/>
              <w:bottom w:val="nil"/>
              <w:right w:val="single" w:sz="4" w:space="0" w:color="auto"/>
            </w:tcBorders>
            <w:shd w:val="clear" w:color="auto" w:fill="auto"/>
            <w:noWrap/>
            <w:vAlign w:val="bottom"/>
            <w:hideMark/>
          </w:tcPr>
          <w:p w14:paraId="08BF403C"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4,297 </w:t>
            </w:r>
          </w:p>
        </w:tc>
      </w:tr>
      <w:tr w:rsidR="004E2014" w:rsidRPr="004E2014" w14:paraId="126C3180" w14:textId="77777777" w:rsidTr="005765AD">
        <w:trPr>
          <w:trHeight w:val="284"/>
        </w:trPr>
        <w:tc>
          <w:tcPr>
            <w:tcW w:w="5203" w:type="dxa"/>
            <w:tcBorders>
              <w:top w:val="nil"/>
              <w:left w:val="single" w:sz="4" w:space="0" w:color="auto"/>
              <w:bottom w:val="nil"/>
              <w:right w:val="single" w:sz="4" w:space="0" w:color="auto"/>
            </w:tcBorders>
            <w:shd w:val="clear" w:color="auto" w:fill="auto"/>
            <w:noWrap/>
            <w:vAlign w:val="bottom"/>
            <w:hideMark/>
          </w:tcPr>
          <w:p w14:paraId="7ACD3A6B"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Social security costs</w:t>
            </w:r>
          </w:p>
        </w:tc>
        <w:tc>
          <w:tcPr>
            <w:tcW w:w="1966" w:type="dxa"/>
            <w:tcBorders>
              <w:top w:val="nil"/>
              <w:left w:val="nil"/>
              <w:bottom w:val="nil"/>
              <w:right w:val="nil"/>
            </w:tcBorders>
            <w:shd w:val="clear" w:color="auto" w:fill="auto"/>
            <w:noWrap/>
            <w:vAlign w:val="bottom"/>
            <w:hideMark/>
          </w:tcPr>
          <w:p w14:paraId="2E470B6A"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249 </w:t>
            </w:r>
          </w:p>
        </w:tc>
        <w:tc>
          <w:tcPr>
            <w:tcW w:w="667" w:type="dxa"/>
            <w:tcBorders>
              <w:top w:val="nil"/>
              <w:left w:val="nil"/>
              <w:bottom w:val="nil"/>
              <w:right w:val="nil"/>
            </w:tcBorders>
            <w:shd w:val="clear" w:color="auto" w:fill="auto"/>
            <w:noWrap/>
            <w:vAlign w:val="bottom"/>
            <w:hideMark/>
          </w:tcPr>
          <w:p w14:paraId="768DB4C0"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1 </w:t>
            </w:r>
          </w:p>
        </w:tc>
        <w:tc>
          <w:tcPr>
            <w:tcW w:w="664" w:type="dxa"/>
            <w:tcBorders>
              <w:top w:val="nil"/>
              <w:left w:val="nil"/>
              <w:bottom w:val="nil"/>
              <w:right w:val="single" w:sz="4" w:space="0" w:color="auto"/>
            </w:tcBorders>
            <w:shd w:val="clear" w:color="auto" w:fill="auto"/>
            <w:noWrap/>
            <w:vAlign w:val="bottom"/>
            <w:hideMark/>
          </w:tcPr>
          <w:p w14:paraId="355C2263"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250 </w:t>
            </w:r>
          </w:p>
        </w:tc>
        <w:tc>
          <w:tcPr>
            <w:tcW w:w="1966" w:type="dxa"/>
            <w:tcBorders>
              <w:top w:val="nil"/>
              <w:left w:val="nil"/>
              <w:bottom w:val="nil"/>
              <w:right w:val="nil"/>
            </w:tcBorders>
            <w:shd w:val="clear" w:color="auto" w:fill="auto"/>
            <w:noWrap/>
            <w:vAlign w:val="bottom"/>
            <w:hideMark/>
          </w:tcPr>
          <w:p w14:paraId="2A9FF487"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202 </w:t>
            </w:r>
          </w:p>
        </w:tc>
        <w:tc>
          <w:tcPr>
            <w:tcW w:w="667" w:type="dxa"/>
            <w:tcBorders>
              <w:top w:val="nil"/>
              <w:left w:val="nil"/>
              <w:bottom w:val="nil"/>
              <w:right w:val="nil"/>
            </w:tcBorders>
            <w:shd w:val="clear" w:color="auto" w:fill="auto"/>
            <w:noWrap/>
            <w:vAlign w:val="bottom"/>
            <w:hideMark/>
          </w:tcPr>
          <w:p w14:paraId="55749A3C"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15 </w:t>
            </w:r>
          </w:p>
        </w:tc>
        <w:tc>
          <w:tcPr>
            <w:tcW w:w="651" w:type="dxa"/>
            <w:tcBorders>
              <w:top w:val="nil"/>
              <w:left w:val="nil"/>
              <w:bottom w:val="nil"/>
              <w:right w:val="single" w:sz="4" w:space="0" w:color="auto"/>
            </w:tcBorders>
            <w:shd w:val="clear" w:color="auto" w:fill="auto"/>
            <w:noWrap/>
            <w:vAlign w:val="bottom"/>
            <w:hideMark/>
          </w:tcPr>
          <w:p w14:paraId="754DDCAA"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216 </w:t>
            </w:r>
          </w:p>
        </w:tc>
        <w:tc>
          <w:tcPr>
            <w:tcW w:w="1966" w:type="dxa"/>
            <w:tcBorders>
              <w:top w:val="nil"/>
              <w:left w:val="nil"/>
              <w:bottom w:val="nil"/>
              <w:right w:val="nil"/>
            </w:tcBorders>
            <w:shd w:val="clear" w:color="auto" w:fill="auto"/>
            <w:noWrap/>
            <w:vAlign w:val="bottom"/>
            <w:hideMark/>
          </w:tcPr>
          <w:p w14:paraId="4717630A"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451 </w:t>
            </w:r>
          </w:p>
        </w:tc>
        <w:tc>
          <w:tcPr>
            <w:tcW w:w="667" w:type="dxa"/>
            <w:tcBorders>
              <w:top w:val="nil"/>
              <w:left w:val="nil"/>
              <w:bottom w:val="nil"/>
              <w:right w:val="nil"/>
            </w:tcBorders>
            <w:shd w:val="clear" w:color="auto" w:fill="auto"/>
            <w:noWrap/>
            <w:vAlign w:val="bottom"/>
            <w:hideMark/>
          </w:tcPr>
          <w:p w14:paraId="673F4515"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15 </w:t>
            </w:r>
          </w:p>
        </w:tc>
        <w:tc>
          <w:tcPr>
            <w:tcW w:w="651" w:type="dxa"/>
            <w:tcBorders>
              <w:top w:val="nil"/>
              <w:left w:val="nil"/>
              <w:bottom w:val="nil"/>
              <w:right w:val="single" w:sz="4" w:space="0" w:color="auto"/>
            </w:tcBorders>
            <w:shd w:val="clear" w:color="auto" w:fill="auto"/>
            <w:noWrap/>
            <w:vAlign w:val="bottom"/>
            <w:hideMark/>
          </w:tcPr>
          <w:p w14:paraId="014A174A"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467 </w:t>
            </w:r>
          </w:p>
        </w:tc>
      </w:tr>
      <w:tr w:rsidR="004E2014" w:rsidRPr="004E2014" w14:paraId="2033D0EC" w14:textId="77777777" w:rsidTr="005765AD">
        <w:trPr>
          <w:trHeight w:val="284"/>
        </w:trPr>
        <w:tc>
          <w:tcPr>
            <w:tcW w:w="5203" w:type="dxa"/>
            <w:tcBorders>
              <w:top w:val="nil"/>
              <w:left w:val="single" w:sz="4" w:space="0" w:color="auto"/>
              <w:bottom w:val="nil"/>
              <w:right w:val="single" w:sz="4" w:space="0" w:color="auto"/>
            </w:tcBorders>
            <w:shd w:val="clear" w:color="auto" w:fill="auto"/>
            <w:noWrap/>
            <w:vAlign w:val="bottom"/>
            <w:hideMark/>
          </w:tcPr>
          <w:p w14:paraId="5BB3B725"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Employer contributions to the NHS Pension Scheme</w:t>
            </w:r>
          </w:p>
        </w:tc>
        <w:tc>
          <w:tcPr>
            <w:tcW w:w="1966" w:type="dxa"/>
            <w:tcBorders>
              <w:top w:val="nil"/>
              <w:left w:val="nil"/>
              <w:bottom w:val="nil"/>
              <w:right w:val="nil"/>
            </w:tcBorders>
            <w:shd w:val="clear" w:color="auto" w:fill="auto"/>
            <w:noWrap/>
            <w:vAlign w:val="bottom"/>
            <w:hideMark/>
          </w:tcPr>
          <w:p w14:paraId="1885DBE6"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485 </w:t>
            </w:r>
          </w:p>
        </w:tc>
        <w:tc>
          <w:tcPr>
            <w:tcW w:w="667" w:type="dxa"/>
            <w:tcBorders>
              <w:top w:val="nil"/>
              <w:left w:val="nil"/>
              <w:bottom w:val="nil"/>
              <w:right w:val="nil"/>
            </w:tcBorders>
            <w:shd w:val="clear" w:color="auto" w:fill="auto"/>
            <w:noWrap/>
            <w:vAlign w:val="bottom"/>
            <w:hideMark/>
          </w:tcPr>
          <w:p w14:paraId="6251D36E"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1 </w:t>
            </w:r>
          </w:p>
        </w:tc>
        <w:tc>
          <w:tcPr>
            <w:tcW w:w="664" w:type="dxa"/>
            <w:tcBorders>
              <w:top w:val="nil"/>
              <w:left w:val="nil"/>
              <w:bottom w:val="nil"/>
              <w:right w:val="single" w:sz="4" w:space="0" w:color="auto"/>
            </w:tcBorders>
            <w:shd w:val="clear" w:color="auto" w:fill="auto"/>
            <w:noWrap/>
            <w:vAlign w:val="bottom"/>
            <w:hideMark/>
          </w:tcPr>
          <w:p w14:paraId="78290ABC"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486 </w:t>
            </w:r>
          </w:p>
        </w:tc>
        <w:tc>
          <w:tcPr>
            <w:tcW w:w="1966" w:type="dxa"/>
            <w:tcBorders>
              <w:top w:val="nil"/>
              <w:left w:val="nil"/>
              <w:bottom w:val="nil"/>
              <w:right w:val="nil"/>
            </w:tcBorders>
            <w:shd w:val="clear" w:color="auto" w:fill="auto"/>
            <w:noWrap/>
            <w:vAlign w:val="bottom"/>
            <w:hideMark/>
          </w:tcPr>
          <w:p w14:paraId="598DBE17"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209 </w:t>
            </w:r>
          </w:p>
        </w:tc>
        <w:tc>
          <w:tcPr>
            <w:tcW w:w="667" w:type="dxa"/>
            <w:tcBorders>
              <w:top w:val="nil"/>
              <w:left w:val="nil"/>
              <w:bottom w:val="nil"/>
              <w:right w:val="nil"/>
            </w:tcBorders>
            <w:shd w:val="clear" w:color="auto" w:fill="auto"/>
            <w:noWrap/>
            <w:vAlign w:val="bottom"/>
            <w:hideMark/>
          </w:tcPr>
          <w:p w14:paraId="2DC2527F"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18 </w:t>
            </w:r>
          </w:p>
        </w:tc>
        <w:tc>
          <w:tcPr>
            <w:tcW w:w="651" w:type="dxa"/>
            <w:tcBorders>
              <w:top w:val="nil"/>
              <w:left w:val="nil"/>
              <w:bottom w:val="nil"/>
              <w:right w:val="single" w:sz="4" w:space="0" w:color="auto"/>
            </w:tcBorders>
            <w:shd w:val="clear" w:color="auto" w:fill="auto"/>
            <w:noWrap/>
            <w:vAlign w:val="bottom"/>
            <w:hideMark/>
          </w:tcPr>
          <w:p w14:paraId="12E39952"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227 </w:t>
            </w:r>
          </w:p>
        </w:tc>
        <w:tc>
          <w:tcPr>
            <w:tcW w:w="1966" w:type="dxa"/>
            <w:tcBorders>
              <w:top w:val="nil"/>
              <w:left w:val="nil"/>
              <w:bottom w:val="nil"/>
              <w:right w:val="nil"/>
            </w:tcBorders>
            <w:shd w:val="clear" w:color="auto" w:fill="auto"/>
            <w:noWrap/>
            <w:vAlign w:val="bottom"/>
            <w:hideMark/>
          </w:tcPr>
          <w:p w14:paraId="407DA7B2"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694 </w:t>
            </w:r>
          </w:p>
        </w:tc>
        <w:tc>
          <w:tcPr>
            <w:tcW w:w="667" w:type="dxa"/>
            <w:tcBorders>
              <w:top w:val="nil"/>
              <w:left w:val="nil"/>
              <w:bottom w:val="nil"/>
              <w:right w:val="nil"/>
            </w:tcBorders>
            <w:shd w:val="clear" w:color="auto" w:fill="auto"/>
            <w:noWrap/>
            <w:vAlign w:val="bottom"/>
            <w:hideMark/>
          </w:tcPr>
          <w:p w14:paraId="2F972764"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19 </w:t>
            </w:r>
          </w:p>
        </w:tc>
        <w:tc>
          <w:tcPr>
            <w:tcW w:w="651" w:type="dxa"/>
            <w:tcBorders>
              <w:top w:val="nil"/>
              <w:left w:val="nil"/>
              <w:bottom w:val="nil"/>
              <w:right w:val="single" w:sz="4" w:space="0" w:color="auto"/>
            </w:tcBorders>
            <w:shd w:val="clear" w:color="auto" w:fill="auto"/>
            <w:noWrap/>
            <w:vAlign w:val="bottom"/>
            <w:hideMark/>
          </w:tcPr>
          <w:p w14:paraId="54CEE4FE"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712 </w:t>
            </w:r>
          </w:p>
        </w:tc>
      </w:tr>
      <w:tr w:rsidR="004E2014" w:rsidRPr="004E2014" w14:paraId="0D971F2E" w14:textId="77777777" w:rsidTr="005765AD">
        <w:trPr>
          <w:trHeight w:val="284"/>
        </w:trPr>
        <w:tc>
          <w:tcPr>
            <w:tcW w:w="5203" w:type="dxa"/>
            <w:tcBorders>
              <w:top w:val="nil"/>
              <w:left w:val="single" w:sz="4" w:space="0" w:color="auto"/>
              <w:bottom w:val="nil"/>
              <w:right w:val="single" w:sz="4" w:space="0" w:color="auto"/>
            </w:tcBorders>
            <w:shd w:val="clear" w:color="auto" w:fill="auto"/>
            <w:noWrap/>
            <w:vAlign w:val="bottom"/>
            <w:hideMark/>
          </w:tcPr>
          <w:p w14:paraId="7EE2AFBE"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Other pension costs</w:t>
            </w:r>
          </w:p>
        </w:tc>
        <w:tc>
          <w:tcPr>
            <w:tcW w:w="1966" w:type="dxa"/>
            <w:tcBorders>
              <w:top w:val="nil"/>
              <w:left w:val="nil"/>
              <w:bottom w:val="nil"/>
              <w:right w:val="nil"/>
            </w:tcBorders>
            <w:shd w:val="clear" w:color="auto" w:fill="auto"/>
            <w:noWrap/>
            <w:vAlign w:val="bottom"/>
            <w:hideMark/>
          </w:tcPr>
          <w:p w14:paraId="597D0D33"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1 </w:t>
            </w:r>
          </w:p>
        </w:tc>
        <w:tc>
          <w:tcPr>
            <w:tcW w:w="667" w:type="dxa"/>
            <w:tcBorders>
              <w:top w:val="nil"/>
              <w:left w:val="nil"/>
              <w:bottom w:val="nil"/>
              <w:right w:val="nil"/>
            </w:tcBorders>
            <w:shd w:val="clear" w:color="auto" w:fill="auto"/>
            <w:noWrap/>
            <w:vAlign w:val="bottom"/>
            <w:hideMark/>
          </w:tcPr>
          <w:p w14:paraId="2D703D10"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4" w:type="dxa"/>
            <w:tcBorders>
              <w:top w:val="nil"/>
              <w:left w:val="nil"/>
              <w:bottom w:val="nil"/>
              <w:right w:val="single" w:sz="4" w:space="0" w:color="auto"/>
            </w:tcBorders>
            <w:shd w:val="clear" w:color="auto" w:fill="auto"/>
            <w:noWrap/>
            <w:vAlign w:val="bottom"/>
            <w:hideMark/>
          </w:tcPr>
          <w:p w14:paraId="45E358FE"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1 </w:t>
            </w:r>
          </w:p>
        </w:tc>
        <w:tc>
          <w:tcPr>
            <w:tcW w:w="1966" w:type="dxa"/>
            <w:tcBorders>
              <w:top w:val="nil"/>
              <w:left w:val="nil"/>
              <w:bottom w:val="nil"/>
              <w:right w:val="nil"/>
            </w:tcBorders>
            <w:shd w:val="clear" w:color="auto" w:fill="auto"/>
            <w:noWrap/>
            <w:vAlign w:val="bottom"/>
            <w:hideMark/>
          </w:tcPr>
          <w:p w14:paraId="3DD9DB5F"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1 </w:t>
            </w:r>
          </w:p>
        </w:tc>
        <w:tc>
          <w:tcPr>
            <w:tcW w:w="667" w:type="dxa"/>
            <w:tcBorders>
              <w:top w:val="nil"/>
              <w:left w:val="nil"/>
              <w:bottom w:val="nil"/>
              <w:right w:val="nil"/>
            </w:tcBorders>
            <w:shd w:val="clear" w:color="auto" w:fill="auto"/>
            <w:noWrap/>
            <w:vAlign w:val="bottom"/>
            <w:hideMark/>
          </w:tcPr>
          <w:p w14:paraId="69C18FD8"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51" w:type="dxa"/>
            <w:tcBorders>
              <w:top w:val="nil"/>
              <w:left w:val="nil"/>
              <w:bottom w:val="nil"/>
              <w:right w:val="single" w:sz="4" w:space="0" w:color="auto"/>
            </w:tcBorders>
            <w:shd w:val="clear" w:color="auto" w:fill="auto"/>
            <w:noWrap/>
            <w:vAlign w:val="bottom"/>
            <w:hideMark/>
          </w:tcPr>
          <w:p w14:paraId="41B8447C"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1 </w:t>
            </w:r>
          </w:p>
        </w:tc>
        <w:tc>
          <w:tcPr>
            <w:tcW w:w="1966" w:type="dxa"/>
            <w:tcBorders>
              <w:top w:val="nil"/>
              <w:left w:val="nil"/>
              <w:bottom w:val="nil"/>
              <w:right w:val="nil"/>
            </w:tcBorders>
            <w:shd w:val="clear" w:color="auto" w:fill="auto"/>
            <w:noWrap/>
            <w:vAlign w:val="bottom"/>
            <w:hideMark/>
          </w:tcPr>
          <w:p w14:paraId="55281BEB"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2 </w:t>
            </w:r>
          </w:p>
        </w:tc>
        <w:tc>
          <w:tcPr>
            <w:tcW w:w="667" w:type="dxa"/>
            <w:tcBorders>
              <w:top w:val="nil"/>
              <w:left w:val="nil"/>
              <w:bottom w:val="nil"/>
              <w:right w:val="nil"/>
            </w:tcBorders>
            <w:shd w:val="clear" w:color="auto" w:fill="auto"/>
            <w:noWrap/>
            <w:vAlign w:val="bottom"/>
            <w:hideMark/>
          </w:tcPr>
          <w:p w14:paraId="7EC3DC29"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51" w:type="dxa"/>
            <w:tcBorders>
              <w:top w:val="nil"/>
              <w:left w:val="nil"/>
              <w:bottom w:val="nil"/>
              <w:right w:val="single" w:sz="4" w:space="0" w:color="auto"/>
            </w:tcBorders>
            <w:shd w:val="clear" w:color="auto" w:fill="auto"/>
            <w:noWrap/>
            <w:vAlign w:val="bottom"/>
            <w:hideMark/>
          </w:tcPr>
          <w:p w14:paraId="3AE21046"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2 </w:t>
            </w:r>
          </w:p>
        </w:tc>
      </w:tr>
      <w:tr w:rsidR="004E2014" w:rsidRPr="004E2014" w14:paraId="72A6E701" w14:textId="77777777" w:rsidTr="005765AD">
        <w:trPr>
          <w:trHeight w:val="284"/>
        </w:trPr>
        <w:tc>
          <w:tcPr>
            <w:tcW w:w="5203" w:type="dxa"/>
            <w:tcBorders>
              <w:top w:val="nil"/>
              <w:left w:val="single" w:sz="4" w:space="0" w:color="auto"/>
              <w:bottom w:val="nil"/>
              <w:right w:val="single" w:sz="4" w:space="0" w:color="auto"/>
            </w:tcBorders>
            <w:shd w:val="clear" w:color="auto" w:fill="auto"/>
            <w:noWrap/>
            <w:vAlign w:val="bottom"/>
            <w:hideMark/>
          </w:tcPr>
          <w:p w14:paraId="7993E1B4"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Apprenticeship Levy</w:t>
            </w:r>
          </w:p>
        </w:tc>
        <w:tc>
          <w:tcPr>
            <w:tcW w:w="1966" w:type="dxa"/>
            <w:tcBorders>
              <w:top w:val="nil"/>
              <w:left w:val="nil"/>
              <w:bottom w:val="nil"/>
              <w:right w:val="nil"/>
            </w:tcBorders>
            <w:shd w:val="clear" w:color="auto" w:fill="auto"/>
            <w:noWrap/>
            <w:vAlign w:val="bottom"/>
            <w:hideMark/>
          </w:tcPr>
          <w:p w14:paraId="3946A6DC"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8 </w:t>
            </w:r>
          </w:p>
        </w:tc>
        <w:tc>
          <w:tcPr>
            <w:tcW w:w="667" w:type="dxa"/>
            <w:tcBorders>
              <w:top w:val="nil"/>
              <w:left w:val="nil"/>
              <w:bottom w:val="nil"/>
              <w:right w:val="nil"/>
            </w:tcBorders>
            <w:shd w:val="clear" w:color="auto" w:fill="auto"/>
            <w:noWrap/>
            <w:vAlign w:val="bottom"/>
            <w:hideMark/>
          </w:tcPr>
          <w:p w14:paraId="667C121F"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4" w:type="dxa"/>
            <w:tcBorders>
              <w:top w:val="nil"/>
              <w:left w:val="nil"/>
              <w:bottom w:val="nil"/>
              <w:right w:val="single" w:sz="4" w:space="0" w:color="auto"/>
            </w:tcBorders>
            <w:shd w:val="clear" w:color="auto" w:fill="auto"/>
            <w:noWrap/>
            <w:vAlign w:val="bottom"/>
            <w:hideMark/>
          </w:tcPr>
          <w:p w14:paraId="40D0250D"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8 </w:t>
            </w:r>
          </w:p>
        </w:tc>
        <w:tc>
          <w:tcPr>
            <w:tcW w:w="1966" w:type="dxa"/>
            <w:tcBorders>
              <w:top w:val="nil"/>
              <w:left w:val="nil"/>
              <w:bottom w:val="nil"/>
              <w:right w:val="nil"/>
            </w:tcBorders>
            <w:shd w:val="clear" w:color="auto" w:fill="auto"/>
            <w:noWrap/>
            <w:vAlign w:val="bottom"/>
            <w:hideMark/>
          </w:tcPr>
          <w:p w14:paraId="0C2A2BE2"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7" w:type="dxa"/>
            <w:tcBorders>
              <w:top w:val="nil"/>
              <w:left w:val="nil"/>
              <w:bottom w:val="nil"/>
              <w:right w:val="nil"/>
            </w:tcBorders>
            <w:shd w:val="clear" w:color="auto" w:fill="auto"/>
            <w:noWrap/>
            <w:vAlign w:val="bottom"/>
            <w:hideMark/>
          </w:tcPr>
          <w:p w14:paraId="48E22D81"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51" w:type="dxa"/>
            <w:tcBorders>
              <w:top w:val="nil"/>
              <w:left w:val="nil"/>
              <w:bottom w:val="nil"/>
              <w:right w:val="single" w:sz="4" w:space="0" w:color="auto"/>
            </w:tcBorders>
            <w:shd w:val="clear" w:color="auto" w:fill="auto"/>
            <w:noWrap/>
            <w:vAlign w:val="bottom"/>
            <w:hideMark/>
          </w:tcPr>
          <w:p w14:paraId="27F894BE"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1966" w:type="dxa"/>
            <w:tcBorders>
              <w:top w:val="nil"/>
              <w:left w:val="nil"/>
              <w:bottom w:val="nil"/>
              <w:right w:val="nil"/>
            </w:tcBorders>
            <w:shd w:val="clear" w:color="auto" w:fill="auto"/>
            <w:noWrap/>
            <w:vAlign w:val="bottom"/>
            <w:hideMark/>
          </w:tcPr>
          <w:p w14:paraId="066EFF90"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8 </w:t>
            </w:r>
          </w:p>
        </w:tc>
        <w:tc>
          <w:tcPr>
            <w:tcW w:w="667" w:type="dxa"/>
            <w:tcBorders>
              <w:top w:val="nil"/>
              <w:left w:val="nil"/>
              <w:bottom w:val="nil"/>
              <w:right w:val="nil"/>
            </w:tcBorders>
            <w:shd w:val="clear" w:color="auto" w:fill="auto"/>
            <w:noWrap/>
            <w:vAlign w:val="bottom"/>
            <w:hideMark/>
          </w:tcPr>
          <w:p w14:paraId="6B4EF62D"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51" w:type="dxa"/>
            <w:tcBorders>
              <w:top w:val="nil"/>
              <w:left w:val="nil"/>
              <w:bottom w:val="nil"/>
              <w:right w:val="single" w:sz="4" w:space="0" w:color="auto"/>
            </w:tcBorders>
            <w:shd w:val="clear" w:color="auto" w:fill="auto"/>
            <w:noWrap/>
            <w:vAlign w:val="bottom"/>
            <w:hideMark/>
          </w:tcPr>
          <w:p w14:paraId="4F470566"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8 </w:t>
            </w:r>
          </w:p>
        </w:tc>
      </w:tr>
      <w:tr w:rsidR="004E2014" w:rsidRPr="004E2014" w14:paraId="52AB12AD" w14:textId="77777777" w:rsidTr="005765AD">
        <w:trPr>
          <w:trHeight w:val="284"/>
        </w:trPr>
        <w:tc>
          <w:tcPr>
            <w:tcW w:w="5203" w:type="dxa"/>
            <w:tcBorders>
              <w:top w:val="nil"/>
              <w:left w:val="single" w:sz="4" w:space="0" w:color="auto"/>
              <w:bottom w:val="nil"/>
              <w:right w:val="single" w:sz="4" w:space="0" w:color="auto"/>
            </w:tcBorders>
            <w:shd w:val="clear" w:color="auto" w:fill="auto"/>
            <w:noWrap/>
            <w:vAlign w:val="bottom"/>
            <w:hideMark/>
          </w:tcPr>
          <w:p w14:paraId="07F9001C"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Other post-employment benefits</w:t>
            </w:r>
          </w:p>
        </w:tc>
        <w:tc>
          <w:tcPr>
            <w:tcW w:w="1966" w:type="dxa"/>
            <w:tcBorders>
              <w:top w:val="nil"/>
              <w:left w:val="nil"/>
              <w:bottom w:val="nil"/>
              <w:right w:val="nil"/>
            </w:tcBorders>
            <w:shd w:val="clear" w:color="auto" w:fill="auto"/>
            <w:noWrap/>
            <w:vAlign w:val="bottom"/>
            <w:hideMark/>
          </w:tcPr>
          <w:p w14:paraId="7685F7A1"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7" w:type="dxa"/>
            <w:tcBorders>
              <w:top w:val="nil"/>
              <w:left w:val="nil"/>
              <w:bottom w:val="nil"/>
              <w:right w:val="nil"/>
            </w:tcBorders>
            <w:shd w:val="clear" w:color="auto" w:fill="auto"/>
            <w:noWrap/>
            <w:vAlign w:val="bottom"/>
            <w:hideMark/>
          </w:tcPr>
          <w:p w14:paraId="0C79C3F1"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4" w:type="dxa"/>
            <w:tcBorders>
              <w:top w:val="nil"/>
              <w:left w:val="nil"/>
              <w:bottom w:val="nil"/>
              <w:right w:val="single" w:sz="4" w:space="0" w:color="auto"/>
            </w:tcBorders>
            <w:shd w:val="clear" w:color="auto" w:fill="auto"/>
            <w:noWrap/>
            <w:vAlign w:val="bottom"/>
            <w:hideMark/>
          </w:tcPr>
          <w:p w14:paraId="365EB01F"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1966" w:type="dxa"/>
            <w:tcBorders>
              <w:top w:val="nil"/>
              <w:left w:val="nil"/>
              <w:bottom w:val="nil"/>
              <w:right w:val="nil"/>
            </w:tcBorders>
            <w:shd w:val="clear" w:color="auto" w:fill="auto"/>
            <w:noWrap/>
            <w:vAlign w:val="bottom"/>
            <w:hideMark/>
          </w:tcPr>
          <w:p w14:paraId="6997583F"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7" w:type="dxa"/>
            <w:tcBorders>
              <w:top w:val="nil"/>
              <w:left w:val="nil"/>
              <w:bottom w:val="nil"/>
              <w:right w:val="nil"/>
            </w:tcBorders>
            <w:shd w:val="clear" w:color="auto" w:fill="auto"/>
            <w:noWrap/>
            <w:vAlign w:val="bottom"/>
            <w:hideMark/>
          </w:tcPr>
          <w:p w14:paraId="6E21518F"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51" w:type="dxa"/>
            <w:tcBorders>
              <w:top w:val="nil"/>
              <w:left w:val="nil"/>
              <w:bottom w:val="nil"/>
              <w:right w:val="single" w:sz="4" w:space="0" w:color="auto"/>
            </w:tcBorders>
            <w:shd w:val="clear" w:color="auto" w:fill="auto"/>
            <w:noWrap/>
            <w:vAlign w:val="bottom"/>
            <w:hideMark/>
          </w:tcPr>
          <w:p w14:paraId="0F42D1A4"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1966" w:type="dxa"/>
            <w:tcBorders>
              <w:top w:val="nil"/>
              <w:left w:val="nil"/>
              <w:bottom w:val="nil"/>
              <w:right w:val="nil"/>
            </w:tcBorders>
            <w:shd w:val="clear" w:color="auto" w:fill="auto"/>
            <w:noWrap/>
            <w:vAlign w:val="bottom"/>
            <w:hideMark/>
          </w:tcPr>
          <w:p w14:paraId="11712944"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7" w:type="dxa"/>
            <w:tcBorders>
              <w:top w:val="nil"/>
              <w:left w:val="nil"/>
              <w:bottom w:val="nil"/>
              <w:right w:val="nil"/>
            </w:tcBorders>
            <w:shd w:val="clear" w:color="auto" w:fill="auto"/>
            <w:noWrap/>
            <w:vAlign w:val="bottom"/>
            <w:hideMark/>
          </w:tcPr>
          <w:p w14:paraId="3D48E162"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51" w:type="dxa"/>
            <w:tcBorders>
              <w:top w:val="nil"/>
              <w:left w:val="nil"/>
              <w:bottom w:val="nil"/>
              <w:right w:val="single" w:sz="4" w:space="0" w:color="auto"/>
            </w:tcBorders>
            <w:shd w:val="clear" w:color="auto" w:fill="auto"/>
            <w:noWrap/>
            <w:vAlign w:val="bottom"/>
            <w:hideMark/>
          </w:tcPr>
          <w:p w14:paraId="2FFB319D"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r>
      <w:tr w:rsidR="004E2014" w:rsidRPr="004E2014" w14:paraId="6E73E8BC" w14:textId="77777777" w:rsidTr="005765AD">
        <w:trPr>
          <w:trHeight w:val="284"/>
        </w:trPr>
        <w:tc>
          <w:tcPr>
            <w:tcW w:w="5203" w:type="dxa"/>
            <w:tcBorders>
              <w:top w:val="nil"/>
              <w:left w:val="single" w:sz="4" w:space="0" w:color="auto"/>
              <w:bottom w:val="nil"/>
              <w:right w:val="single" w:sz="4" w:space="0" w:color="auto"/>
            </w:tcBorders>
            <w:shd w:val="clear" w:color="auto" w:fill="auto"/>
            <w:noWrap/>
            <w:vAlign w:val="bottom"/>
            <w:hideMark/>
          </w:tcPr>
          <w:p w14:paraId="07F84AFF"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Other employment benefits</w:t>
            </w:r>
          </w:p>
        </w:tc>
        <w:tc>
          <w:tcPr>
            <w:tcW w:w="1966" w:type="dxa"/>
            <w:tcBorders>
              <w:top w:val="nil"/>
              <w:left w:val="nil"/>
              <w:bottom w:val="nil"/>
              <w:right w:val="nil"/>
            </w:tcBorders>
            <w:shd w:val="clear" w:color="auto" w:fill="auto"/>
            <w:noWrap/>
            <w:vAlign w:val="bottom"/>
            <w:hideMark/>
          </w:tcPr>
          <w:p w14:paraId="5B61CB70"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7" w:type="dxa"/>
            <w:tcBorders>
              <w:top w:val="nil"/>
              <w:left w:val="nil"/>
              <w:bottom w:val="nil"/>
              <w:right w:val="nil"/>
            </w:tcBorders>
            <w:shd w:val="clear" w:color="auto" w:fill="auto"/>
            <w:noWrap/>
            <w:vAlign w:val="bottom"/>
            <w:hideMark/>
          </w:tcPr>
          <w:p w14:paraId="51C6675F"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4" w:type="dxa"/>
            <w:tcBorders>
              <w:top w:val="nil"/>
              <w:left w:val="nil"/>
              <w:bottom w:val="nil"/>
              <w:right w:val="single" w:sz="4" w:space="0" w:color="auto"/>
            </w:tcBorders>
            <w:shd w:val="clear" w:color="auto" w:fill="auto"/>
            <w:noWrap/>
            <w:vAlign w:val="bottom"/>
            <w:hideMark/>
          </w:tcPr>
          <w:p w14:paraId="43787FA1"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1966" w:type="dxa"/>
            <w:tcBorders>
              <w:top w:val="nil"/>
              <w:left w:val="nil"/>
              <w:bottom w:val="nil"/>
              <w:right w:val="nil"/>
            </w:tcBorders>
            <w:shd w:val="clear" w:color="auto" w:fill="auto"/>
            <w:noWrap/>
            <w:vAlign w:val="bottom"/>
            <w:hideMark/>
          </w:tcPr>
          <w:p w14:paraId="00C50E59"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7" w:type="dxa"/>
            <w:tcBorders>
              <w:top w:val="nil"/>
              <w:left w:val="nil"/>
              <w:bottom w:val="nil"/>
              <w:right w:val="nil"/>
            </w:tcBorders>
            <w:shd w:val="clear" w:color="auto" w:fill="auto"/>
            <w:noWrap/>
            <w:vAlign w:val="bottom"/>
            <w:hideMark/>
          </w:tcPr>
          <w:p w14:paraId="22C40B0E"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51" w:type="dxa"/>
            <w:tcBorders>
              <w:top w:val="nil"/>
              <w:left w:val="nil"/>
              <w:bottom w:val="nil"/>
              <w:right w:val="single" w:sz="4" w:space="0" w:color="auto"/>
            </w:tcBorders>
            <w:shd w:val="clear" w:color="auto" w:fill="auto"/>
            <w:noWrap/>
            <w:vAlign w:val="bottom"/>
            <w:hideMark/>
          </w:tcPr>
          <w:p w14:paraId="55E8DDB2"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1966" w:type="dxa"/>
            <w:tcBorders>
              <w:top w:val="nil"/>
              <w:left w:val="nil"/>
              <w:bottom w:val="nil"/>
              <w:right w:val="nil"/>
            </w:tcBorders>
            <w:shd w:val="clear" w:color="auto" w:fill="auto"/>
            <w:noWrap/>
            <w:vAlign w:val="bottom"/>
            <w:hideMark/>
          </w:tcPr>
          <w:p w14:paraId="618DD130"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7" w:type="dxa"/>
            <w:tcBorders>
              <w:top w:val="nil"/>
              <w:left w:val="nil"/>
              <w:bottom w:val="nil"/>
              <w:right w:val="nil"/>
            </w:tcBorders>
            <w:shd w:val="clear" w:color="auto" w:fill="auto"/>
            <w:noWrap/>
            <w:vAlign w:val="bottom"/>
            <w:hideMark/>
          </w:tcPr>
          <w:p w14:paraId="189F0697"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51" w:type="dxa"/>
            <w:tcBorders>
              <w:top w:val="nil"/>
              <w:left w:val="nil"/>
              <w:bottom w:val="nil"/>
              <w:right w:val="single" w:sz="4" w:space="0" w:color="auto"/>
            </w:tcBorders>
            <w:shd w:val="clear" w:color="auto" w:fill="auto"/>
            <w:noWrap/>
            <w:vAlign w:val="bottom"/>
            <w:hideMark/>
          </w:tcPr>
          <w:p w14:paraId="27CC94C4"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r>
      <w:tr w:rsidR="004E2014" w:rsidRPr="004E2014" w14:paraId="5E971128" w14:textId="77777777" w:rsidTr="005765AD">
        <w:trPr>
          <w:trHeight w:val="284"/>
        </w:trPr>
        <w:tc>
          <w:tcPr>
            <w:tcW w:w="5203" w:type="dxa"/>
            <w:tcBorders>
              <w:top w:val="nil"/>
              <w:left w:val="single" w:sz="4" w:space="0" w:color="auto"/>
              <w:bottom w:val="nil"/>
              <w:right w:val="single" w:sz="4" w:space="0" w:color="auto"/>
            </w:tcBorders>
            <w:shd w:val="clear" w:color="auto" w:fill="auto"/>
            <w:noWrap/>
            <w:vAlign w:val="bottom"/>
            <w:hideMark/>
          </w:tcPr>
          <w:p w14:paraId="6FB463B6"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Termination benefits</w:t>
            </w:r>
          </w:p>
        </w:tc>
        <w:tc>
          <w:tcPr>
            <w:tcW w:w="1966" w:type="dxa"/>
            <w:tcBorders>
              <w:top w:val="nil"/>
              <w:left w:val="nil"/>
              <w:bottom w:val="single" w:sz="4" w:space="0" w:color="auto"/>
              <w:right w:val="nil"/>
            </w:tcBorders>
            <w:shd w:val="clear" w:color="auto" w:fill="auto"/>
            <w:noWrap/>
            <w:vAlign w:val="bottom"/>
            <w:hideMark/>
          </w:tcPr>
          <w:p w14:paraId="76624136"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7" w:type="dxa"/>
            <w:tcBorders>
              <w:top w:val="nil"/>
              <w:left w:val="nil"/>
              <w:bottom w:val="single" w:sz="4" w:space="0" w:color="auto"/>
              <w:right w:val="nil"/>
            </w:tcBorders>
            <w:shd w:val="clear" w:color="auto" w:fill="auto"/>
            <w:noWrap/>
            <w:vAlign w:val="bottom"/>
            <w:hideMark/>
          </w:tcPr>
          <w:p w14:paraId="326CBDD0"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4" w:type="dxa"/>
            <w:tcBorders>
              <w:top w:val="nil"/>
              <w:left w:val="nil"/>
              <w:bottom w:val="single" w:sz="4" w:space="0" w:color="auto"/>
              <w:right w:val="single" w:sz="4" w:space="0" w:color="auto"/>
            </w:tcBorders>
            <w:shd w:val="clear" w:color="auto" w:fill="auto"/>
            <w:noWrap/>
            <w:vAlign w:val="bottom"/>
            <w:hideMark/>
          </w:tcPr>
          <w:p w14:paraId="10BA9E85"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1966" w:type="dxa"/>
            <w:tcBorders>
              <w:top w:val="nil"/>
              <w:left w:val="nil"/>
              <w:bottom w:val="single" w:sz="4" w:space="0" w:color="auto"/>
              <w:right w:val="nil"/>
            </w:tcBorders>
            <w:shd w:val="clear" w:color="auto" w:fill="auto"/>
            <w:noWrap/>
            <w:vAlign w:val="bottom"/>
            <w:hideMark/>
          </w:tcPr>
          <w:p w14:paraId="62601281"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7" w:type="dxa"/>
            <w:tcBorders>
              <w:top w:val="nil"/>
              <w:left w:val="nil"/>
              <w:bottom w:val="single" w:sz="4" w:space="0" w:color="auto"/>
              <w:right w:val="nil"/>
            </w:tcBorders>
            <w:shd w:val="clear" w:color="auto" w:fill="auto"/>
            <w:noWrap/>
            <w:vAlign w:val="bottom"/>
            <w:hideMark/>
          </w:tcPr>
          <w:p w14:paraId="1AB2D5ED"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51" w:type="dxa"/>
            <w:tcBorders>
              <w:top w:val="nil"/>
              <w:left w:val="nil"/>
              <w:bottom w:val="single" w:sz="4" w:space="0" w:color="auto"/>
              <w:right w:val="single" w:sz="4" w:space="0" w:color="auto"/>
            </w:tcBorders>
            <w:shd w:val="clear" w:color="auto" w:fill="auto"/>
            <w:noWrap/>
            <w:vAlign w:val="bottom"/>
            <w:hideMark/>
          </w:tcPr>
          <w:p w14:paraId="59C5B0A0"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1966" w:type="dxa"/>
            <w:tcBorders>
              <w:top w:val="nil"/>
              <w:left w:val="nil"/>
              <w:bottom w:val="single" w:sz="4" w:space="0" w:color="auto"/>
              <w:right w:val="nil"/>
            </w:tcBorders>
            <w:shd w:val="clear" w:color="auto" w:fill="auto"/>
            <w:noWrap/>
            <w:vAlign w:val="bottom"/>
            <w:hideMark/>
          </w:tcPr>
          <w:p w14:paraId="1015C790"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7" w:type="dxa"/>
            <w:tcBorders>
              <w:top w:val="nil"/>
              <w:left w:val="nil"/>
              <w:bottom w:val="single" w:sz="4" w:space="0" w:color="auto"/>
              <w:right w:val="nil"/>
            </w:tcBorders>
            <w:shd w:val="clear" w:color="auto" w:fill="auto"/>
            <w:noWrap/>
            <w:vAlign w:val="bottom"/>
            <w:hideMark/>
          </w:tcPr>
          <w:p w14:paraId="2E95A632"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51" w:type="dxa"/>
            <w:tcBorders>
              <w:top w:val="nil"/>
              <w:left w:val="nil"/>
              <w:bottom w:val="single" w:sz="4" w:space="0" w:color="auto"/>
              <w:right w:val="single" w:sz="4" w:space="0" w:color="auto"/>
            </w:tcBorders>
            <w:shd w:val="clear" w:color="auto" w:fill="auto"/>
            <w:noWrap/>
            <w:vAlign w:val="bottom"/>
            <w:hideMark/>
          </w:tcPr>
          <w:p w14:paraId="3E159F8F"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r>
      <w:tr w:rsidR="004E2014" w:rsidRPr="004E2014" w14:paraId="0F4275AF" w14:textId="77777777" w:rsidTr="005765AD">
        <w:trPr>
          <w:trHeight w:val="284"/>
        </w:trPr>
        <w:tc>
          <w:tcPr>
            <w:tcW w:w="5203" w:type="dxa"/>
            <w:tcBorders>
              <w:top w:val="nil"/>
              <w:left w:val="single" w:sz="4" w:space="0" w:color="auto"/>
              <w:bottom w:val="nil"/>
              <w:right w:val="nil"/>
            </w:tcBorders>
            <w:shd w:val="clear" w:color="auto" w:fill="auto"/>
            <w:noWrap/>
            <w:vAlign w:val="bottom"/>
            <w:hideMark/>
          </w:tcPr>
          <w:p w14:paraId="647A0E0F" w14:textId="77777777" w:rsidR="004E2014" w:rsidRPr="004E2014" w:rsidRDefault="004E2014" w:rsidP="004E2014">
            <w:pPr>
              <w:tabs>
                <w:tab w:val="clear" w:pos="2835"/>
                <w:tab w:val="clear" w:pos="5670"/>
                <w:tab w:val="clear" w:pos="9016"/>
              </w:tabs>
              <w:spacing w:before="0" w:after="0" w:line="240" w:lineRule="auto"/>
              <w:rPr>
                <w:rFonts w:eastAsia="Times New Roman" w:cs="Arial"/>
                <w:b/>
                <w:bCs/>
                <w:noProof w:val="0"/>
                <w:color w:val="000000"/>
                <w:sz w:val="20"/>
                <w:szCs w:val="20"/>
              </w:rPr>
            </w:pPr>
            <w:r w:rsidRPr="004E2014">
              <w:rPr>
                <w:rFonts w:eastAsia="Times New Roman" w:cs="Arial"/>
                <w:b/>
                <w:bCs/>
                <w:noProof w:val="0"/>
                <w:color w:val="000000"/>
                <w:sz w:val="20"/>
                <w:szCs w:val="20"/>
              </w:rPr>
              <w:t>Gross Employee Benefits Expenditure</w:t>
            </w:r>
          </w:p>
        </w:tc>
        <w:tc>
          <w:tcPr>
            <w:tcW w:w="1966" w:type="dxa"/>
            <w:tcBorders>
              <w:top w:val="nil"/>
              <w:left w:val="single" w:sz="4" w:space="0" w:color="auto"/>
              <w:bottom w:val="single" w:sz="4" w:space="0" w:color="auto"/>
              <w:right w:val="nil"/>
            </w:tcBorders>
            <w:shd w:val="clear" w:color="auto" w:fill="auto"/>
            <w:noWrap/>
            <w:vAlign w:val="bottom"/>
            <w:hideMark/>
          </w:tcPr>
          <w:p w14:paraId="397A502F"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2,985 </w:t>
            </w:r>
          </w:p>
        </w:tc>
        <w:tc>
          <w:tcPr>
            <w:tcW w:w="667" w:type="dxa"/>
            <w:tcBorders>
              <w:top w:val="nil"/>
              <w:left w:val="nil"/>
              <w:bottom w:val="single" w:sz="4" w:space="0" w:color="auto"/>
              <w:right w:val="nil"/>
            </w:tcBorders>
            <w:shd w:val="clear" w:color="auto" w:fill="auto"/>
            <w:noWrap/>
            <w:vAlign w:val="bottom"/>
            <w:hideMark/>
          </w:tcPr>
          <w:p w14:paraId="2462E2C8"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52 </w:t>
            </w:r>
          </w:p>
        </w:tc>
        <w:tc>
          <w:tcPr>
            <w:tcW w:w="664" w:type="dxa"/>
            <w:tcBorders>
              <w:top w:val="nil"/>
              <w:left w:val="nil"/>
              <w:bottom w:val="single" w:sz="4" w:space="0" w:color="auto"/>
              <w:right w:val="single" w:sz="4" w:space="0" w:color="auto"/>
            </w:tcBorders>
            <w:shd w:val="clear" w:color="auto" w:fill="auto"/>
            <w:noWrap/>
            <w:vAlign w:val="bottom"/>
            <w:hideMark/>
          </w:tcPr>
          <w:p w14:paraId="00A2E5FB"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3,037 </w:t>
            </w:r>
          </w:p>
        </w:tc>
        <w:tc>
          <w:tcPr>
            <w:tcW w:w="1966" w:type="dxa"/>
            <w:tcBorders>
              <w:top w:val="nil"/>
              <w:left w:val="nil"/>
              <w:bottom w:val="single" w:sz="4" w:space="0" w:color="auto"/>
              <w:right w:val="nil"/>
            </w:tcBorders>
            <w:shd w:val="clear" w:color="auto" w:fill="auto"/>
            <w:noWrap/>
            <w:vAlign w:val="bottom"/>
            <w:hideMark/>
          </w:tcPr>
          <w:p w14:paraId="045D8110"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2,277 </w:t>
            </w:r>
          </w:p>
        </w:tc>
        <w:tc>
          <w:tcPr>
            <w:tcW w:w="667" w:type="dxa"/>
            <w:tcBorders>
              <w:top w:val="nil"/>
              <w:left w:val="nil"/>
              <w:bottom w:val="single" w:sz="4" w:space="0" w:color="auto"/>
              <w:right w:val="nil"/>
            </w:tcBorders>
            <w:shd w:val="clear" w:color="auto" w:fill="auto"/>
            <w:noWrap/>
            <w:vAlign w:val="bottom"/>
            <w:hideMark/>
          </w:tcPr>
          <w:p w14:paraId="122D031B"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172 </w:t>
            </w:r>
          </w:p>
        </w:tc>
        <w:tc>
          <w:tcPr>
            <w:tcW w:w="651" w:type="dxa"/>
            <w:tcBorders>
              <w:top w:val="nil"/>
              <w:left w:val="nil"/>
              <w:bottom w:val="single" w:sz="4" w:space="0" w:color="auto"/>
              <w:right w:val="single" w:sz="4" w:space="0" w:color="auto"/>
            </w:tcBorders>
            <w:shd w:val="clear" w:color="auto" w:fill="auto"/>
            <w:noWrap/>
            <w:vAlign w:val="bottom"/>
            <w:hideMark/>
          </w:tcPr>
          <w:p w14:paraId="63DCDBEF"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2,449 </w:t>
            </w:r>
          </w:p>
        </w:tc>
        <w:tc>
          <w:tcPr>
            <w:tcW w:w="1966" w:type="dxa"/>
            <w:tcBorders>
              <w:top w:val="nil"/>
              <w:left w:val="nil"/>
              <w:bottom w:val="single" w:sz="4" w:space="0" w:color="auto"/>
              <w:right w:val="nil"/>
            </w:tcBorders>
            <w:shd w:val="clear" w:color="auto" w:fill="auto"/>
            <w:noWrap/>
            <w:vAlign w:val="bottom"/>
            <w:hideMark/>
          </w:tcPr>
          <w:p w14:paraId="2AEE5871"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5,262 </w:t>
            </w:r>
          </w:p>
        </w:tc>
        <w:tc>
          <w:tcPr>
            <w:tcW w:w="667" w:type="dxa"/>
            <w:tcBorders>
              <w:top w:val="nil"/>
              <w:left w:val="nil"/>
              <w:bottom w:val="single" w:sz="4" w:space="0" w:color="auto"/>
              <w:right w:val="nil"/>
            </w:tcBorders>
            <w:shd w:val="clear" w:color="auto" w:fill="auto"/>
            <w:noWrap/>
            <w:vAlign w:val="bottom"/>
            <w:hideMark/>
          </w:tcPr>
          <w:p w14:paraId="14C3B355"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224 </w:t>
            </w:r>
          </w:p>
        </w:tc>
        <w:tc>
          <w:tcPr>
            <w:tcW w:w="651" w:type="dxa"/>
            <w:tcBorders>
              <w:top w:val="nil"/>
              <w:left w:val="nil"/>
              <w:bottom w:val="single" w:sz="4" w:space="0" w:color="auto"/>
              <w:right w:val="single" w:sz="4" w:space="0" w:color="auto"/>
            </w:tcBorders>
            <w:shd w:val="clear" w:color="auto" w:fill="auto"/>
            <w:noWrap/>
            <w:vAlign w:val="bottom"/>
            <w:hideMark/>
          </w:tcPr>
          <w:p w14:paraId="32C373E9"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5,486 </w:t>
            </w:r>
          </w:p>
        </w:tc>
      </w:tr>
      <w:tr w:rsidR="004E2014" w:rsidRPr="004E2014" w14:paraId="501A20D1" w14:textId="77777777" w:rsidTr="005765AD">
        <w:trPr>
          <w:trHeight w:val="284"/>
        </w:trPr>
        <w:tc>
          <w:tcPr>
            <w:tcW w:w="5203" w:type="dxa"/>
            <w:tcBorders>
              <w:top w:val="nil"/>
              <w:left w:val="single" w:sz="4" w:space="0" w:color="auto"/>
              <w:bottom w:val="nil"/>
              <w:right w:val="nil"/>
            </w:tcBorders>
            <w:shd w:val="clear" w:color="auto" w:fill="auto"/>
            <w:noWrap/>
            <w:vAlign w:val="bottom"/>
            <w:hideMark/>
          </w:tcPr>
          <w:p w14:paraId="03A96B5B"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 </w:t>
            </w:r>
          </w:p>
        </w:tc>
        <w:tc>
          <w:tcPr>
            <w:tcW w:w="1966" w:type="dxa"/>
            <w:tcBorders>
              <w:top w:val="nil"/>
              <w:left w:val="single" w:sz="4" w:space="0" w:color="auto"/>
              <w:bottom w:val="nil"/>
              <w:right w:val="nil"/>
            </w:tcBorders>
            <w:shd w:val="clear" w:color="auto" w:fill="auto"/>
            <w:noWrap/>
            <w:vAlign w:val="bottom"/>
            <w:hideMark/>
          </w:tcPr>
          <w:p w14:paraId="15883F0E"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w:t>
            </w:r>
          </w:p>
        </w:tc>
        <w:tc>
          <w:tcPr>
            <w:tcW w:w="667" w:type="dxa"/>
            <w:tcBorders>
              <w:top w:val="nil"/>
              <w:left w:val="nil"/>
              <w:bottom w:val="nil"/>
              <w:right w:val="nil"/>
            </w:tcBorders>
            <w:shd w:val="clear" w:color="auto" w:fill="auto"/>
            <w:noWrap/>
            <w:vAlign w:val="bottom"/>
            <w:hideMark/>
          </w:tcPr>
          <w:p w14:paraId="26E7AA05"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p>
        </w:tc>
        <w:tc>
          <w:tcPr>
            <w:tcW w:w="664" w:type="dxa"/>
            <w:tcBorders>
              <w:top w:val="nil"/>
              <w:left w:val="nil"/>
              <w:bottom w:val="nil"/>
              <w:right w:val="single" w:sz="4" w:space="0" w:color="auto"/>
            </w:tcBorders>
            <w:shd w:val="clear" w:color="auto" w:fill="auto"/>
            <w:noWrap/>
            <w:vAlign w:val="bottom"/>
            <w:hideMark/>
          </w:tcPr>
          <w:p w14:paraId="2072428F"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w:t>
            </w:r>
          </w:p>
        </w:tc>
        <w:tc>
          <w:tcPr>
            <w:tcW w:w="1966" w:type="dxa"/>
            <w:tcBorders>
              <w:top w:val="nil"/>
              <w:left w:val="nil"/>
              <w:bottom w:val="nil"/>
              <w:right w:val="nil"/>
            </w:tcBorders>
            <w:shd w:val="clear" w:color="auto" w:fill="auto"/>
            <w:noWrap/>
            <w:vAlign w:val="bottom"/>
            <w:hideMark/>
          </w:tcPr>
          <w:p w14:paraId="5A701907"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w:t>
            </w:r>
          </w:p>
        </w:tc>
        <w:tc>
          <w:tcPr>
            <w:tcW w:w="667" w:type="dxa"/>
            <w:tcBorders>
              <w:top w:val="nil"/>
              <w:left w:val="nil"/>
              <w:bottom w:val="nil"/>
              <w:right w:val="nil"/>
            </w:tcBorders>
            <w:shd w:val="clear" w:color="auto" w:fill="auto"/>
            <w:noWrap/>
            <w:vAlign w:val="bottom"/>
            <w:hideMark/>
          </w:tcPr>
          <w:p w14:paraId="197CFA69"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p>
        </w:tc>
        <w:tc>
          <w:tcPr>
            <w:tcW w:w="651" w:type="dxa"/>
            <w:tcBorders>
              <w:top w:val="nil"/>
              <w:left w:val="nil"/>
              <w:bottom w:val="nil"/>
              <w:right w:val="single" w:sz="4" w:space="0" w:color="auto"/>
            </w:tcBorders>
            <w:shd w:val="clear" w:color="auto" w:fill="auto"/>
            <w:noWrap/>
            <w:vAlign w:val="bottom"/>
            <w:hideMark/>
          </w:tcPr>
          <w:p w14:paraId="6A9F51F4"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w:t>
            </w:r>
          </w:p>
        </w:tc>
        <w:tc>
          <w:tcPr>
            <w:tcW w:w="1966" w:type="dxa"/>
            <w:tcBorders>
              <w:top w:val="nil"/>
              <w:left w:val="nil"/>
              <w:bottom w:val="nil"/>
              <w:right w:val="nil"/>
            </w:tcBorders>
            <w:shd w:val="clear" w:color="auto" w:fill="auto"/>
            <w:noWrap/>
            <w:vAlign w:val="bottom"/>
            <w:hideMark/>
          </w:tcPr>
          <w:p w14:paraId="7D17E63D"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w:t>
            </w:r>
          </w:p>
        </w:tc>
        <w:tc>
          <w:tcPr>
            <w:tcW w:w="667" w:type="dxa"/>
            <w:tcBorders>
              <w:top w:val="nil"/>
              <w:left w:val="nil"/>
              <w:bottom w:val="nil"/>
              <w:right w:val="nil"/>
            </w:tcBorders>
            <w:shd w:val="clear" w:color="auto" w:fill="auto"/>
            <w:noWrap/>
            <w:vAlign w:val="bottom"/>
            <w:hideMark/>
          </w:tcPr>
          <w:p w14:paraId="18E8A1E2"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p>
        </w:tc>
        <w:tc>
          <w:tcPr>
            <w:tcW w:w="651" w:type="dxa"/>
            <w:tcBorders>
              <w:top w:val="nil"/>
              <w:left w:val="nil"/>
              <w:bottom w:val="nil"/>
              <w:right w:val="single" w:sz="4" w:space="0" w:color="auto"/>
            </w:tcBorders>
            <w:shd w:val="clear" w:color="auto" w:fill="auto"/>
            <w:noWrap/>
            <w:vAlign w:val="bottom"/>
            <w:hideMark/>
          </w:tcPr>
          <w:p w14:paraId="2F9707FC"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w:t>
            </w:r>
          </w:p>
        </w:tc>
      </w:tr>
      <w:tr w:rsidR="004E2014" w:rsidRPr="004E2014" w14:paraId="03B740D6" w14:textId="77777777" w:rsidTr="005765AD">
        <w:trPr>
          <w:trHeight w:val="284"/>
        </w:trPr>
        <w:tc>
          <w:tcPr>
            <w:tcW w:w="5203" w:type="dxa"/>
            <w:tcBorders>
              <w:top w:val="nil"/>
              <w:left w:val="single" w:sz="4" w:space="0" w:color="auto"/>
              <w:bottom w:val="nil"/>
              <w:right w:val="nil"/>
            </w:tcBorders>
            <w:shd w:val="clear" w:color="auto" w:fill="auto"/>
            <w:noWrap/>
            <w:vAlign w:val="bottom"/>
            <w:hideMark/>
          </w:tcPr>
          <w:p w14:paraId="1569DCB4"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Less: Recoveries in respect of employee benefits (note 4.1.2)</w:t>
            </w:r>
          </w:p>
        </w:tc>
        <w:tc>
          <w:tcPr>
            <w:tcW w:w="1966" w:type="dxa"/>
            <w:tcBorders>
              <w:top w:val="nil"/>
              <w:left w:val="single" w:sz="4" w:space="0" w:color="auto"/>
              <w:bottom w:val="single" w:sz="4" w:space="0" w:color="auto"/>
              <w:right w:val="nil"/>
            </w:tcBorders>
            <w:shd w:val="clear" w:color="auto" w:fill="auto"/>
            <w:noWrap/>
            <w:vAlign w:val="bottom"/>
            <w:hideMark/>
          </w:tcPr>
          <w:p w14:paraId="194492A6"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(90)</w:t>
            </w:r>
          </w:p>
        </w:tc>
        <w:tc>
          <w:tcPr>
            <w:tcW w:w="667" w:type="dxa"/>
            <w:tcBorders>
              <w:top w:val="nil"/>
              <w:left w:val="nil"/>
              <w:bottom w:val="single" w:sz="4" w:space="0" w:color="auto"/>
              <w:right w:val="nil"/>
            </w:tcBorders>
            <w:shd w:val="clear" w:color="auto" w:fill="auto"/>
            <w:noWrap/>
            <w:vAlign w:val="bottom"/>
            <w:hideMark/>
          </w:tcPr>
          <w:p w14:paraId="76BAB90D"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4" w:type="dxa"/>
            <w:tcBorders>
              <w:top w:val="nil"/>
              <w:left w:val="nil"/>
              <w:bottom w:val="single" w:sz="4" w:space="0" w:color="auto"/>
              <w:right w:val="single" w:sz="4" w:space="0" w:color="auto"/>
            </w:tcBorders>
            <w:shd w:val="clear" w:color="auto" w:fill="auto"/>
            <w:noWrap/>
            <w:vAlign w:val="bottom"/>
            <w:hideMark/>
          </w:tcPr>
          <w:p w14:paraId="745A2440"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(90)</w:t>
            </w:r>
          </w:p>
        </w:tc>
        <w:tc>
          <w:tcPr>
            <w:tcW w:w="1966" w:type="dxa"/>
            <w:tcBorders>
              <w:top w:val="nil"/>
              <w:left w:val="nil"/>
              <w:bottom w:val="single" w:sz="4" w:space="0" w:color="auto"/>
              <w:right w:val="nil"/>
            </w:tcBorders>
            <w:shd w:val="clear" w:color="auto" w:fill="auto"/>
            <w:noWrap/>
            <w:vAlign w:val="bottom"/>
            <w:hideMark/>
          </w:tcPr>
          <w:p w14:paraId="412DA742"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(127)</w:t>
            </w:r>
          </w:p>
        </w:tc>
        <w:tc>
          <w:tcPr>
            <w:tcW w:w="667" w:type="dxa"/>
            <w:tcBorders>
              <w:top w:val="nil"/>
              <w:left w:val="nil"/>
              <w:bottom w:val="single" w:sz="4" w:space="0" w:color="auto"/>
              <w:right w:val="nil"/>
            </w:tcBorders>
            <w:shd w:val="clear" w:color="auto" w:fill="auto"/>
            <w:noWrap/>
            <w:vAlign w:val="bottom"/>
            <w:hideMark/>
          </w:tcPr>
          <w:p w14:paraId="0F765A22"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51" w:type="dxa"/>
            <w:tcBorders>
              <w:top w:val="nil"/>
              <w:left w:val="nil"/>
              <w:bottom w:val="single" w:sz="4" w:space="0" w:color="auto"/>
              <w:right w:val="single" w:sz="4" w:space="0" w:color="auto"/>
            </w:tcBorders>
            <w:shd w:val="clear" w:color="auto" w:fill="auto"/>
            <w:noWrap/>
            <w:vAlign w:val="bottom"/>
            <w:hideMark/>
          </w:tcPr>
          <w:p w14:paraId="4A6C84F2"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(127)</w:t>
            </w:r>
          </w:p>
        </w:tc>
        <w:tc>
          <w:tcPr>
            <w:tcW w:w="1966" w:type="dxa"/>
            <w:tcBorders>
              <w:top w:val="nil"/>
              <w:left w:val="nil"/>
              <w:bottom w:val="single" w:sz="4" w:space="0" w:color="auto"/>
              <w:right w:val="nil"/>
            </w:tcBorders>
            <w:shd w:val="clear" w:color="auto" w:fill="auto"/>
            <w:noWrap/>
            <w:vAlign w:val="bottom"/>
            <w:hideMark/>
          </w:tcPr>
          <w:p w14:paraId="40351367"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(217)</w:t>
            </w:r>
          </w:p>
        </w:tc>
        <w:tc>
          <w:tcPr>
            <w:tcW w:w="667" w:type="dxa"/>
            <w:tcBorders>
              <w:top w:val="nil"/>
              <w:left w:val="nil"/>
              <w:bottom w:val="single" w:sz="4" w:space="0" w:color="auto"/>
              <w:right w:val="nil"/>
            </w:tcBorders>
            <w:shd w:val="clear" w:color="auto" w:fill="auto"/>
            <w:noWrap/>
            <w:vAlign w:val="bottom"/>
            <w:hideMark/>
          </w:tcPr>
          <w:p w14:paraId="4F3627F0"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51" w:type="dxa"/>
            <w:tcBorders>
              <w:top w:val="nil"/>
              <w:left w:val="nil"/>
              <w:bottom w:val="single" w:sz="4" w:space="0" w:color="auto"/>
              <w:right w:val="single" w:sz="4" w:space="0" w:color="auto"/>
            </w:tcBorders>
            <w:shd w:val="clear" w:color="auto" w:fill="auto"/>
            <w:noWrap/>
            <w:vAlign w:val="bottom"/>
            <w:hideMark/>
          </w:tcPr>
          <w:p w14:paraId="6BA71400"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(217)</w:t>
            </w:r>
          </w:p>
        </w:tc>
      </w:tr>
      <w:tr w:rsidR="004E2014" w:rsidRPr="004E2014" w14:paraId="4E60719A" w14:textId="77777777" w:rsidTr="005765AD">
        <w:trPr>
          <w:trHeight w:val="284"/>
        </w:trPr>
        <w:tc>
          <w:tcPr>
            <w:tcW w:w="5203" w:type="dxa"/>
            <w:tcBorders>
              <w:top w:val="nil"/>
              <w:left w:val="single" w:sz="4" w:space="0" w:color="auto"/>
              <w:bottom w:val="nil"/>
              <w:right w:val="single" w:sz="4" w:space="0" w:color="auto"/>
            </w:tcBorders>
            <w:shd w:val="clear" w:color="auto" w:fill="auto"/>
            <w:noWrap/>
            <w:vAlign w:val="bottom"/>
            <w:hideMark/>
          </w:tcPr>
          <w:p w14:paraId="283EF689" w14:textId="77777777" w:rsidR="004E2014" w:rsidRPr="004E2014" w:rsidRDefault="004E2014" w:rsidP="004E2014">
            <w:pPr>
              <w:tabs>
                <w:tab w:val="clear" w:pos="2835"/>
                <w:tab w:val="clear" w:pos="5670"/>
                <w:tab w:val="clear" w:pos="9016"/>
              </w:tabs>
              <w:spacing w:before="0" w:after="0" w:line="240" w:lineRule="auto"/>
              <w:rPr>
                <w:rFonts w:eastAsia="Times New Roman" w:cs="Arial"/>
                <w:b/>
                <w:bCs/>
                <w:noProof w:val="0"/>
                <w:color w:val="000000"/>
                <w:sz w:val="20"/>
                <w:szCs w:val="20"/>
              </w:rPr>
            </w:pPr>
            <w:r w:rsidRPr="004E2014">
              <w:rPr>
                <w:rFonts w:eastAsia="Times New Roman" w:cs="Arial"/>
                <w:b/>
                <w:bCs/>
                <w:noProof w:val="0"/>
                <w:color w:val="000000"/>
                <w:sz w:val="20"/>
                <w:szCs w:val="20"/>
              </w:rPr>
              <w:t>Net employee benefits expenditure including capitalised costs</w:t>
            </w:r>
          </w:p>
        </w:tc>
        <w:tc>
          <w:tcPr>
            <w:tcW w:w="1966" w:type="dxa"/>
            <w:tcBorders>
              <w:top w:val="nil"/>
              <w:left w:val="nil"/>
              <w:bottom w:val="single" w:sz="4" w:space="0" w:color="auto"/>
              <w:right w:val="nil"/>
            </w:tcBorders>
            <w:shd w:val="clear" w:color="auto" w:fill="auto"/>
            <w:noWrap/>
            <w:vAlign w:val="bottom"/>
            <w:hideMark/>
          </w:tcPr>
          <w:p w14:paraId="1284A05E"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2,895 </w:t>
            </w:r>
          </w:p>
        </w:tc>
        <w:tc>
          <w:tcPr>
            <w:tcW w:w="667" w:type="dxa"/>
            <w:tcBorders>
              <w:top w:val="nil"/>
              <w:left w:val="nil"/>
              <w:bottom w:val="single" w:sz="4" w:space="0" w:color="auto"/>
              <w:right w:val="nil"/>
            </w:tcBorders>
            <w:shd w:val="clear" w:color="auto" w:fill="auto"/>
            <w:noWrap/>
            <w:vAlign w:val="bottom"/>
            <w:hideMark/>
          </w:tcPr>
          <w:p w14:paraId="0508EB47"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52 </w:t>
            </w:r>
          </w:p>
        </w:tc>
        <w:tc>
          <w:tcPr>
            <w:tcW w:w="664" w:type="dxa"/>
            <w:tcBorders>
              <w:top w:val="nil"/>
              <w:left w:val="nil"/>
              <w:bottom w:val="single" w:sz="4" w:space="0" w:color="auto"/>
              <w:right w:val="single" w:sz="4" w:space="0" w:color="auto"/>
            </w:tcBorders>
            <w:shd w:val="clear" w:color="auto" w:fill="auto"/>
            <w:noWrap/>
            <w:vAlign w:val="bottom"/>
            <w:hideMark/>
          </w:tcPr>
          <w:p w14:paraId="4236ADF4"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2,947 </w:t>
            </w:r>
          </w:p>
        </w:tc>
        <w:tc>
          <w:tcPr>
            <w:tcW w:w="1966" w:type="dxa"/>
            <w:tcBorders>
              <w:top w:val="nil"/>
              <w:left w:val="nil"/>
              <w:bottom w:val="single" w:sz="4" w:space="0" w:color="auto"/>
              <w:right w:val="nil"/>
            </w:tcBorders>
            <w:shd w:val="clear" w:color="auto" w:fill="auto"/>
            <w:noWrap/>
            <w:vAlign w:val="bottom"/>
            <w:hideMark/>
          </w:tcPr>
          <w:p w14:paraId="46BC3518"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2,150 </w:t>
            </w:r>
          </w:p>
        </w:tc>
        <w:tc>
          <w:tcPr>
            <w:tcW w:w="667" w:type="dxa"/>
            <w:tcBorders>
              <w:top w:val="nil"/>
              <w:left w:val="nil"/>
              <w:bottom w:val="single" w:sz="4" w:space="0" w:color="auto"/>
              <w:right w:val="nil"/>
            </w:tcBorders>
            <w:shd w:val="clear" w:color="auto" w:fill="auto"/>
            <w:noWrap/>
            <w:vAlign w:val="bottom"/>
            <w:hideMark/>
          </w:tcPr>
          <w:p w14:paraId="3D4DB030"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172 </w:t>
            </w:r>
          </w:p>
        </w:tc>
        <w:tc>
          <w:tcPr>
            <w:tcW w:w="651" w:type="dxa"/>
            <w:tcBorders>
              <w:top w:val="nil"/>
              <w:left w:val="nil"/>
              <w:bottom w:val="single" w:sz="4" w:space="0" w:color="auto"/>
              <w:right w:val="nil"/>
            </w:tcBorders>
            <w:shd w:val="clear" w:color="auto" w:fill="auto"/>
            <w:noWrap/>
            <w:vAlign w:val="bottom"/>
            <w:hideMark/>
          </w:tcPr>
          <w:p w14:paraId="686CEC70"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2,322 </w:t>
            </w:r>
          </w:p>
        </w:tc>
        <w:tc>
          <w:tcPr>
            <w:tcW w:w="1966" w:type="dxa"/>
            <w:tcBorders>
              <w:top w:val="nil"/>
              <w:left w:val="single" w:sz="4" w:space="0" w:color="auto"/>
              <w:bottom w:val="single" w:sz="4" w:space="0" w:color="auto"/>
              <w:right w:val="nil"/>
            </w:tcBorders>
            <w:shd w:val="clear" w:color="auto" w:fill="auto"/>
            <w:noWrap/>
            <w:vAlign w:val="bottom"/>
            <w:hideMark/>
          </w:tcPr>
          <w:p w14:paraId="35B77E13"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5,045 </w:t>
            </w:r>
          </w:p>
        </w:tc>
        <w:tc>
          <w:tcPr>
            <w:tcW w:w="667" w:type="dxa"/>
            <w:tcBorders>
              <w:top w:val="nil"/>
              <w:left w:val="nil"/>
              <w:bottom w:val="single" w:sz="4" w:space="0" w:color="auto"/>
              <w:right w:val="nil"/>
            </w:tcBorders>
            <w:shd w:val="clear" w:color="auto" w:fill="auto"/>
            <w:noWrap/>
            <w:vAlign w:val="bottom"/>
            <w:hideMark/>
          </w:tcPr>
          <w:p w14:paraId="5B6C5C44"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224 </w:t>
            </w:r>
          </w:p>
        </w:tc>
        <w:tc>
          <w:tcPr>
            <w:tcW w:w="651" w:type="dxa"/>
            <w:tcBorders>
              <w:top w:val="nil"/>
              <w:left w:val="nil"/>
              <w:bottom w:val="single" w:sz="4" w:space="0" w:color="auto"/>
              <w:right w:val="single" w:sz="4" w:space="0" w:color="auto"/>
            </w:tcBorders>
            <w:shd w:val="clear" w:color="auto" w:fill="auto"/>
            <w:noWrap/>
            <w:vAlign w:val="bottom"/>
            <w:hideMark/>
          </w:tcPr>
          <w:p w14:paraId="671C93D6"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5,269 </w:t>
            </w:r>
          </w:p>
        </w:tc>
      </w:tr>
      <w:tr w:rsidR="004E2014" w:rsidRPr="004E2014" w14:paraId="13F47946" w14:textId="77777777" w:rsidTr="005765AD">
        <w:trPr>
          <w:trHeight w:val="284"/>
        </w:trPr>
        <w:tc>
          <w:tcPr>
            <w:tcW w:w="5203" w:type="dxa"/>
            <w:tcBorders>
              <w:top w:val="nil"/>
              <w:left w:val="single" w:sz="4" w:space="0" w:color="auto"/>
              <w:bottom w:val="nil"/>
              <w:right w:val="single" w:sz="4" w:space="0" w:color="auto"/>
            </w:tcBorders>
            <w:shd w:val="clear" w:color="auto" w:fill="auto"/>
            <w:noWrap/>
            <w:vAlign w:val="bottom"/>
            <w:hideMark/>
          </w:tcPr>
          <w:p w14:paraId="64F2FA42"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 </w:t>
            </w:r>
          </w:p>
        </w:tc>
        <w:tc>
          <w:tcPr>
            <w:tcW w:w="1966" w:type="dxa"/>
            <w:tcBorders>
              <w:top w:val="nil"/>
              <w:left w:val="nil"/>
              <w:bottom w:val="nil"/>
              <w:right w:val="nil"/>
            </w:tcBorders>
            <w:shd w:val="clear" w:color="auto" w:fill="auto"/>
            <w:noWrap/>
            <w:vAlign w:val="bottom"/>
            <w:hideMark/>
          </w:tcPr>
          <w:p w14:paraId="5877A398"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w:t>
            </w:r>
          </w:p>
        </w:tc>
        <w:tc>
          <w:tcPr>
            <w:tcW w:w="667" w:type="dxa"/>
            <w:tcBorders>
              <w:top w:val="nil"/>
              <w:left w:val="nil"/>
              <w:bottom w:val="nil"/>
              <w:right w:val="nil"/>
            </w:tcBorders>
            <w:shd w:val="clear" w:color="auto" w:fill="auto"/>
            <w:noWrap/>
            <w:vAlign w:val="bottom"/>
            <w:hideMark/>
          </w:tcPr>
          <w:p w14:paraId="00CBF476"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w:t>
            </w:r>
          </w:p>
        </w:tc>
        <w:tc>
          <w:tcPr>
            <w:tcW w:w="664" w:type="dxa"/>
            <w:tcBorders>
              <w:top w:val="nil"/>
              <w:left w:val="nil"/>
              <w:bottom w:val="nil"/>
              <w:right w:val="single" w:sz="4" w:space="0" w:color="auto"/>
            </w:tcBorders>
            <w:shd w:val="clear" w:color="auto" w:fill="auto"/>
            <w:noWrap/>
            <w:vAlign w:val="bottom"/>
            <w:hideMark/>
          </w:tcPr>
          <w:p w14:paraId="2B6DF81C"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w:t>
            </w:r>
          </w:p>
        </w:tc>
        <w:tc>
          <w:tcPr>
            <w:tcW w:w="1966" w:type="dxa"/>
            <w:tcBorders>
              <w:top w:val="nil"/>
              <w:left w:val="nil"/>
              <w:bottom w:val="nil"/>
              <w:right w:val="nil"/>
            </w:tcBorders>
            <w:shd w:val="clear" w:color="auto" w:fill="auto"/>
            <w:noWrap/>
            <w:vAlign w:val="bottom"/>
            <w:hideMark/>
          </w:tcPr>
          <w:p w14:paraId="34D40837"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w:t>
            </w:r>
          </w:p>
        </w:tc>
        <w:tc>
          <w:tcPr>
            <w:tcW w:w="667" w:type="dxa"/>
            <w:tcBorders>
              <w:top w:val="nil"/>
              <w:left w:val="nil"/>
              <w:bottom w:val="nil"/>
              <w:right w:val="nil"/>
            </w:tcBorders>
            <w:shd w:val="clear" w:color="auto" w:fill="auto"/>
            <w:noWrap/>
            <w:vAlign w:val="bottom"/>
            <w:hideMark/>
          </w:tcPr>
          <w:p w14:paraId="454BF43E"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w:t>
            </w:r>
          </w:p>
        </w:tc>
        <w:tc>
          <w:tcPr>
            <w:tcW w:w="651" w:type="dxa"/>
            <w:tcBorders>
              <w:top w:val="nil"/>
              <w:left w:val="nil"/>
              <w:bottom w:val="nil"/>
              <w:right w:val="single" w:sz="4" w:space="0" w:color="auto"/>
            </w:tcBorders>
            <w:shd w:val="clear" w:color="auto" w:fill="auto"/>
            <w:noWrap/>
            <w:vAlign w:val="bottom"/>
            <w:hideMark/>
          </w:tcPr>
          <w:p w14:paraId="0DE5D0F2"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w:t>
            </w:r>
          </w:p>
        </w:tc>
        <w:tc>
          <w:tcPr>
            <w:tcW w:w="1966" w:type="dxa"/>
            <w:tcBorders>
              <w:top w:val="nil"/>
              <w:left w:val="nil"/>
              <w:bottom w:val="nil"/>
              <w:right w:val="nil"/>
            </w:tcBorders>
            <w:shd w:val="clear" w:color="auto" w:fill="auto"/>
            <w:noWrap/>
            <w:vAlign w:val="bottom"/>
            <w:hideMark/>
          </w:tcPr>
          <w:p w14:paraId="448D8A9D"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w:t>
            </w:r>
          </w:p>
        </w:tc>
        <w:tc>
          <w:tcPr>
            <w:tcW w:w="667" w:type="dxa"/>
            <w:tcBorders>
              <w:top w:val="nil"/>
              <w:left w:val="nil"/>
              <w:bottom w:val="nil"/>
              <w:right w:val="nil"/>
            </w:tcBorders>
            <w:shd w:val="clear" w:color="auto" w:fill="auto"/>
            <w:noWrap/>
            <w:vAlign w:val="bottom"/>
            <w:hideMark/>
          </w:tcPr>
          <w:p w14:paraId="050B7371"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w:t>
            </w:r>
          </w:p>
        </w:tc>
        <w:tc>
          <w:tcPr>
            <w:tcW w:w="651" w:type="dxa"/>
            <w:tcBorders>
              <w:top w:val="nil"/>
              <w:left w:val="nil"/>
              <w:bottom w:val="nil"/>
              <w:right w:val="single" w:sz="4" w:space="0" w:color="auto"/>
            </w:tcBorders>
            <w:shd w:val="clear" w:color="auto" w:fill="auto"/>
            <w:noWrap/>
            <w:vAlign w:val="bottom"/>
            <w:hideMark/>
          </w:tcPr>
          <w:p w14:paraId="235877B1"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w:t>
            </w:r>
          </w:p>
        </w:tc>
      </w:tr>
      <w:tr w:rsidR="004E2014" w:rsidRPr="004E2014" w14:paraId="1046B4F8" w14:textId="77777777" w:rsidTr="005765AD">
        <w:trPr>
          <w:trHeight w:val="284"/>
        </w:trPr>
        <w:tc>
          <w:tcPr>
            <w:tcW w:w="5203" w:type="dxa"/>
            <w:tcBorders>
              <w:top w:val="nil"/>
              <w:left w:val="single" w:sz="4" w:space="0" w:color="auto"/>
              <w:bottom w:val="nil"/>
              <w:right w:val="single" w:sz="4" w:space="0" w:color="auto"/>
            </w:tcBorders>
            <w:shd w:val="clear" w:color="auto" w:fill="auto"/>
            <w:noWrap/>
            <w:vAlign w:val="bottom"/>
            <w:hideMark/>
          </w:tcPr>
          <w:p w14:paraId="24DD4035" w14:textId="77777777" w:rsidR="004E2014" w:rsidRPr="004E2014" w:rsidRDefault="004E2014" w:rsidP="004E2014">
            <w:pPr>
              <w:tabs>
                <w:tab w:val="clear" w:pos="2835"/>
                <w:tab w:val="clear" w:pos="5670"/>
                <w:tab w:val="clear" w:pos="9016"/>
              </w:tabs>
              <w:spacing w:before="0" w:after="0" w:line="240" w:lineRule="auto"/>
              <w:rPr>
                <w:rFonts w:eastAsia="Times New Roman" w:cs="Arial"/>
                <w:noProof w:val="0"/>
                <w:color w:val="000000"/>
                <w:sz w:val="20"/>
                <w:szCs w:val="20"/>
              </w:rPr>
            </w:pPr>
            <w:r w:rsidRPr="004E2014">
              <w:rPr>
                <w:rFonts w:eastAsia="Times New Roman" w:cs="Arial"/>
                <w:noProof w:val="0"/>
                <w:color w:val="000000"/>
                <w:sz w:val="20"/>
                <w:szCs w:val="20"/>
              </w:rPr>
              <w:t>Less: Employee costs capitalised</w:t>
            </w:r>
          </w:p>
        </w:tc>
        <w:tc>
          <w:tcPr>
            <w:tcW w:w="1966" w:type="dxa"/>
            <w:tcBorders>
              <w:top w:val="nil"/>
              <w:left w:val="nil"/>
              <w:bottom w:val="single" w:sz="4" w:space="0" w:color="auto"/>
              <w:right w:val="nil"/>
            </w:tcBorders>
            <w:shd w:val="clear" w:color="auto" w:fill="auto"/>
            <w:noWrap/>
            <w:vAlign w:val="bottom"/>
            <w:hideMark/>
          </w:tcPr>
          <w:p w14:paraId="56F4F98F"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7" w:type="dxa"/>
            <w:tcBorders>
              <w:top w:val="nil"/>
              <w:left w:val="nil"/>
              <w:bottom w:val="single" w:sz="4" w:space="0" w:color="auto"/>
              <w:right w:val="nil"/>
            </w:tcBorders>
            <w:shd w:val="clear" w:color="auto" w:fill="auto"/>
            <w:noWrap/>
            <w:vAlign w:val="bottom"/>
            <w:hideMark/>
          </w:tcPr>
          <w:p w14:paraId="0F16C7A8"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4" w:type="dxa"/>
            <w:tcBorders>
              <w:top w:val="nil"/>
              <w:left w:val="nil"/>
              <w:bottom w:val="single" w:sz="4" w:space="0" w:color="auto"/>
              <w:right w:val="single" w:sz="4" w:space="0" w:color="auto"/>
            </w:tcBorders>
            <w:shd w:val="clear" w:color="auto" w:fill="auto"/>
            <w:noWrap/>
            <w:vAlign w:val="bottom"/>
            <w:hideMark/>
          </w:tcPr>
          <w:p w14:paraId="77F6304D"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1966" w:type="dxa"/>
            <w:tcBorders>
              <w:top w:val="nil"/>
              <w:left w:val="nil"/>
              <w:bottom w:val="single" w:sz="4" w:space="0" w:color="auto"/>
              <w:right w:val="nil"/>
            </w:tcBorders>
            <w:shd w:val="clear" w:color="auto" w:fill="auto"/>
            <w:noWrap/>
            <w:vAlign w:val="bottom"/>
            <w:hideMark/>
          </w:tcPr>
          <w:p w14:paraId="3AA7E39F"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7" w:type="dxa"/>
            <w:tcBorders>
              <w:top w:val="nil"/>
              <w:left w:val="nil"/>
              <w:bottom w:val="single" w:sz="4" w:space="0" w:color="auto"/>
              <w:right w:val="nil"/>
            </w:tcBorders>
            <w:shd w:val="clear" w:color="auto" w:fill="auto"/>
            <w:noWrap/>
            <w:vAlign w:val="bottom"/>
            <w:hideMark/>
          </w:tcPr>
          <w:p w14:paraId="55D42918"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51" w:type="dxa"/>
            <w:tcBorders>
              <w:top w:val="nil"/>
              <w:left w:val="nil"/>
              <w:bottom w:val="single" w:sz="4" w:space="0" w:color="auto"/>
              <w:right w:val="single" w:sz="4" w:space="0" w:color="auto"/>
            </w:tcBorders>
            <w:shd w:val="clear" w:color="auto" w:fill="auto"/>
            <w:noWrap/>
            <w:vAlign w:val="bottom"/>
            <w:hideMark/>
          </w:tcPr>
          <w:p w14:paraId="473971DC"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1966" w:type="dxa"/>
            <w:tcBorders>
              <w:top w:val="nil"/>
              <w:left w:val="nil"/>
              <w:bottom w:val="single" w:sz="4" w:space="0" w:color="auto"/>
              <w:right w:val="nil"/>
            </w:tcBorders>
            <w:shd w:val="clear" w:color="auto" w:fill="auto"/>
            <w:noWrap/>
            <w:vAlign w:val="bottom"/>
            <w:hideMark/>
          </w:tcPr>
          <w:p w14:paraId="01D1CD3B"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67" w:type="dxa"/>
            <w:tcBorders>
              <w:top w:val="nil"/>
              <w:left w:val="nil"/>
              <w:bottom w:val="single" w:sz="4" w:space="0" w:color="auto"/>
              <w:right w:val="nil"/>
            </w:tcBorders>
            <w:shd w:val="clear" w:color="auto" w:fill="auto"/>
            <w:noWrap/>
            <w:vAlign w:val="bottom"/>
            <w:hideMark/>
          </w:tcPr>
          <w:p w14:paraId="68BB0EC6"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c>
          <w:tcPr>
            <w:tcW w:w="651" w:type="dxa"/>
            <w:tcBorders>
              <w:top w:val="nil"/>
              <w:left w:val="nil"/>
              <w:bottom w:val="single" w:sz="4" w:space="0" w:color="auto"/>
              <w:right w:val="single" w:sz="4" w:space="0" w:color="auto"/>
            </w:tcBorders>
            <w:shd w:val="clear" w:color="auto" w:fill="auto"/>
            <w:noWrap/>
            <w:vAlign w:val="bottom"/>
            <w:hideMark/>
          </w:tcPr>
          <w:p w14:paraId="6B32A090"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noProof w:val="0"/>
                <w:color w:val="000000"/>
                <w:sz w:val="20"/>
                <w:szCs w:val="20"/>
              </w:rPr>
            </w:pPr>
            <w:r w:rsidRPr="004E2014">
              <w:rPr>
                <w:rFonts w:eastAsia="Times New Roman" w:cs="Arial"/>
                <w:noProof w:val="0"/>
                <w:color w:val="000000"/>
                <w:sz w:val="20"/>
                <w:szCs w:val="20"/>
              </w:rPr>
              <w:t xml:space="preserve">         -   </w:t>
            </w:r>
          </w:p>
        </w:tc>
      </w:tr>
      <w:tr w:rsidR="004E2014" w:rsidRPr="004E2014" w14:paraId="1E001736" w14:textId="77777777" w:rsidTr="005765AD">
        <w:trPr>
          <w:trHeight w:val="284"/>
        </w:trPr>
        <w:tc>
          <w:tcPr>
            <w:tcW w:w="5203" w:type="dxa"/>
            <w:tcBorders>
              <w:top w:val="nil"/>
              <w:left w:val="single" w:sz="4" w:space="0" w:color="auto"/>
              <w:bottom w:val="single" w:sz="4" w:space="0" w:color="auto"/>
              <w:right w:val="single" w:sz="4" w:space="0" w:color="auto"/>
            </w:tcBorders>
            <w:shd w:val="clear" w:color="auto" w:fill="auto"/>
            <w:noWrap/>
            <w:vAlign w:val="bottom"/>
            <w:hideMark/>
          </w:tcPr>
          <w:p w14:paraId="03993CEE" w14:textId="77777777" w:rsidR="004E2014" w:rsidRPr="004E2014" w:rsidRDefault="004E2014" w:rsidP="004E2014">
            <w:pPr>
              <w:tabs>
                <w:tab w:val="clear" w:pos="2835"/>
                <w:tab w:val="clear" w:pos="5670"/>
                <w:tab w:val="clear" w:pos="9016"/>
              </w:tabs>
              <w:spacing w:before="0" w:after="0" w:line="240" w:lineRule="auto"/>
              <w:rPr>
                <w:rFonts w:eastAsia="Times New Roman" w:cs="Arial"/>
                <w:b/>
                <w:bCs/>
                <w:noProof w:val="0"/>
                <w:color w:val="000000"/>
                <w:sz w:val="20"/>
                <w:szCs w:val="20"/>
              </w:rPr>
            </w:pPr>
            <w:r w:rsidRPr="004E2014">
              <w:rPr>
                <w:rFonts w:eastAsia="Times New Roman" w:cs="Arial"/>
                <w:b/>
                <w:bCs/>
                <w:noProof w:val="0"/>
                <w:color w:val="000000"/>
                <w:sz w:val="20"/>
                <w:szCs w:val="20"/>
              </w:rPr>
              <w:t>Net employee benefits expenditure excluding capitalised costs</w:t>
            </w:r>
          </w:p>
        </w:tc>
        <w:tc>
          <w:tcPr>
            <w:tcW w:w="1966" w:type="dxa"/>
            <w:tcBorders>
              <w:top w:val="nil"/>
              <w:left w:val="single" w:sz="4" w:space="0" w:color="auto"/>
              <w:bottom w:val="single" w:sz="4" w:space="0" w:color="auto"/>
              <w:right w:val="nil"/>
            </w:tcBorders>
            <w:shd w:val="clear" w:color="auto" w:fill="auto"/>
            <w:noWrap/>
            <w:vAlign w:val="bottom"/>
            <w:hideMark/>
          </w:tcPr>
          <w:p w14:paraId="28C317BB"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2,895 </w:t>
            </w:r>
          </w:p>
        </w:tc>
        <w:tc>
          <w:tcPr>
            <w:tcW w:w="667" w:type="dxa"/>
            <w:tcBorders>
              <w:top w:val="nil"/>
              <w:left w:val="nil"/>
              <w:bottom w:val="single" w:sz="4" w:space="0" w:color="auto"/>
              <w:right w:val="nil"/>
            </w:tcBorders>
            <w:shd w:val="clear" w:color="auto" w:fill="auto"/>
            <w:noWrap/>
            <w:vAlign w:val="bottom"/>
            <w:hideMark/>
          </w:tcPr>
          <w:p w14:paraId="5F722D49"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52 </w:t>
            </w:r>
          </w:p>
        </w:tc>
        <w:tc>
          <w:tcPr>
            <w:tcW w:w="664" w:type="dxa"/>
            <w:tcBorders>
              <w:top w:val="nil"/>
              <w:left w:val="nil"/>
              <w:bottom w:val="single" w:sz="4" w:space="0" w:color="auto"/>
              <w:right w:val="nil"/>
            </w:tcBorders>
            <w:shd w:val="clear" w:color="auto" w:fill="auto"/>
            <w:noWrap/>
            <w:vAlign w:val="bottom"/>
            <w:hideMark/>
          </w:tcPr>
          <w:p w14:paraId="3A4026E1"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2,947 </w:t>
            </w:r>
          </w:p>
        </w:tc>
        <w:tc>
          <w:tcPr>
            <w:tcW w:w="1966" w:type="dxa"/>
            <w:tcBorders>
              <w:top w:val="nil"/>
              <w:left w:val="single" w:sz="4" w:space="0" w:color="auto"/>
              <w:bottom w:val="single" w:sz="4" w:space="0" w:color="auto"/>
              <w:right w:val="nil"/>
            </w:tcBorders>
            <w:shd w:val="clear" w:color="auto" w:fill="auto"/>
            <w:noWrap/>
            <w:vAlign w:val="bottom"/>
            <w:hideMark/>
          </w:tcPr>
          <w:p w14:paraId="4A206C04"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2,150 </w:t>
            </w:r>
          </w:p>
        </w:tc>
        <w:tc>
          <w:tcPr>
            <w:tcW w:w="667" w:type="dxa"/>
            <w:tcBorders>
              <w:top w:val="nil"/>
              <w:left w:val="nil"/>
              <w:bottom w:val="single" w:sz="4" w:space="0" w:color="auto"/>
              <w:right w:val="nil"/>
            </w:tcBorders>
            <w:shd w:val="clear" w:color="auto" w:fill="auto"/>
            <w:noWrap/>
            <w:vAlign w:val="bottom"/>
            <w:hideMark/>
          </w:tcPr>
          <w:p w14:paraId="58DCACF8"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172 </w:t>
            </w:r>
          </w:p>
        </w:tc>
        <w:tc>
          <w:tcPr>
            <w:tcW w:w="651" w:type="dxa"/>
            <w:tcBorders>
              <w:top w:val="nil"/>
              <w:left w:val="nil"/>
              <w:bottom w:val="single" w:sz="4" w:space="0" w:color="auto"/>
              <w:right w:val="single" w:sz="4" w:space="0" w:color="auto"/>
            </w:tcBorders>
            <w:shd w:val="clear" w:color="auto" w:fill="auto"/>
            <w:noWrap/>
            <w:vAlign w:val="bottom"/>
            <w:hideMark/>
          </w:tcPr>
          <w:p w14:paraId="24E485EE"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2,322 </w:t>
            </w:r>
          </w:p>
        </w:tc>
        <w:tc>
          <w:tcPr>
            <w:tcW w:w="1966" w:type="dxa"/>
            <w:tcBorders>
              <w:top w:val="nil"/>
              <w:left w:val="nil"/>
              <w:bottom w:val="single" w:sz="4" w:space="0" w:color="auto"/>
              <w:right w:val="nil"/>
            </w:tcBorders>
            <w:shd w:val="clear" w:color="auto" w:fill="auto"/>
            <w:noWrap/>
            <w:vAlign w:val="bottom"/>
            <w:hideMark/>
          </w:tcPr>
          <w:p w14:paraId="6DF2BB26"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5,045 </w:t>
            </w:r>
          </w:p>
        </w:tc>
        <w:tc>
          <w:tcPr>
            <w:tcW w:w="667" w:type="dxa"/>
            <w:tcBorders>
              <w:top w:val="nil"/>
              <w:left w:val="nil"/>
              <w:bottom w:val="single" w:sz="4" w:space="0" w:color="auto"/>
              <w:right w:val="nil"/>
            </w:tcBorders>
            <w:shd w:val="clear" w:color="auto" w:fill="auto"/>
            <w:noWrap/>
            <w:vAlign w:val="bottom"/>
            <w:hideMark/>
          </w:tcPr>
          <w:p w14:paraId="140289C8"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224 </w:t>
            </w:r>
          </w:p>
        </w:tc>
        <w:tc>
          <w:tcPr>
            <w:tcW w:w="651" w:type="dxa"/>
            <w:tcBorders>
              <w:top w:val="nil"/>
              <w:left w:val="nil"/>
              <w:bottom w:val="single" w:sz="4" w:space="0" w:color="auto"/>
              <w:right w:val="single" w:sz="4" w:space="0" w:color="auto"/>
            </w:tcBorders>
            <w:shd w:val="clear" w:color="auto" w:fill="auto"/>
            <w:noWrap/>
            <w:vAlign w:val="bottom"/>
            <w:hideMark/>
          </w:tcPr>
          <w:p w14:paraId="406C8391" w14:textId="77777777" w:rsidR="004E2014" w:rsidRPr="004E2014" w:rsidRDefault="004E2014" w:rsidP="004E2014">
            <w:pPr>
              <w:tabs>
                <w:tab w:val="clear" w:pos="2835"/>
                <w:tab w:val="clear" w:pos="5670"/>
                <w:tab w:val="clear" w:pos="9016"/>
              </w:tabs>
              <w:spacing w:before="0" w:after="0" w:line="240" w:lineRule="auto"/>
              <w:jc w:val="right"/>
              <w:rPr>
                <w:rFonts w:eastAsia="Times New Roman" w:cs="Arial"/>
                <w:b/>
                <w:bCs/>
                <w:noProof w:val="0"/>
                <w:color w:val="000000"/>
                <w:sz w:val="20"/>
                <w:szCs w:val="20"/>
              </w:rPr>
            </w:pPr>
            <w:r w:rsidRPr="004E2014">
              <w:rPr>
                <w:rFonts w:eastAsia="Times New Roman" w:cs="Arial"/>
                <w:b/>
                <w:bCs/>
                <w:noProof w:val="0"/>
                <w:color w:val="000000"/>
                <w:sz w:val="20"/>
                <w:szCs w:val="20"/>
              </w:rPr>
              <w:t xml:space="preserve">  5,269 </w:t>
            </w:r>
          </w:p>
        </w:tc>
      </w:tr>
    </w:tbl>
    <w:p w14:paraId="2CA0C3E7" w14:textId="37C894E9" w:rsidR="00BF399E" w:rsidRPr="00A558A4" w:rsidRDefault="00BF399E" w:rsidP="00B71FAD">
      <w:pPr>
        <w:pStyle w:val="Heading2"/>
        <w:sectPr w:rsidR="00BF399E" w:rsidRPr="00A558A4" w:rsidSect="00BF399E">
          <w:pgSz w:w="16838" w:h="11906" w:orient="landscape"/>
          <w:pgMar w:top="1440" w:right="1440" w:bottom="1440" w:left="1440" w:header="680" w:footer="170" w:gutter="0"/>
          <w:cols w:space="708"/>
          <w:docGrid w:linePitch="360"/>
        </w:sectPr>
      </w:pPr>
    </w:p>
    <w:p w14:paraId="0CEA534C" w14:textId="77777777" w:rsidR="00811C64" w:rsidRPr="00811C64" w:rsidRDefault="00811C64" w:rsidP="00811C64">
      <w:pPr>
        <w:spacing w:before="0" w:after="0" w:line="360" w:lineRule="auto"/>
        <w:rPr>
          <w:rFonts w:eastAsia="Calibri" w:cs="Arial"/>
          <w:b/>
          <w:noProof w:val="0"/>
        </w:rPr>
      </w:pPr>
      <w:r w:rsidRPr="00811C64">
        <w:rPr>
          <w:rFonts w:cs="Arial"/>
          <w:b/>
        </w:rPr>
        <w:lastRenderedPageBreak/>
        <w:t>Table 1: Length of all highly paid off-payroll engagements</w:t>
      </w:r>
    </w:p>
    <w:p w14:paraId="148A5192" w14:textId="77777777" w:rsidR="00811C64" w:rsidRPr="00811C64" w:rsidRDefault="00811C64" w:rsidP="00811C64">
      <w:pPr>
        <w:spacing w:before="0" w:after="0" w:line="360" w:lineRule="auto"/>
        <w:rPr>
          <w:rFonts w:cs="Arial"/>
        </w:rPr>
      </w:pPr>
      <w:r w:rsidRPr="00811C64">
        <w:rPr>
          <w:rFonts w:cs="Arial"/>
        </w:rPr>
        <w:t>For all off-payroll engagements as of 31 March 2022, for more than £245 per day:</w:t>
      </w:r>
    </w:p>
    <w:tbl>
      <w:tblPr>
        <w:tblW w:w="9174" w:type="dxa"/>
        <w:jc w:val="center"/>
        <w:tblLook w:val="04A0" w:firstRow="1" w:lastRow="0" w:firstColumn="1" w:lastColumn="0" w:noHBand="0" w:noVBand="1"/>
      </w:tblPr>
      <w:tblGrid>
        <w:gridCol w:w="8080"/>
        <w:gridCol w:w="1094"/>
      </w:tblGrid>
      <w:tr w:rsidR="00811C64" w14:paraId="4B0516C0" w14:textId="77777777" w:rsidTr="00811C64">
        <w:trPr>
          <w:trHeight w:val="409"/>
          <w:jc w:val="center"/>
        </w:trPr>
        <w:tc>
          <w:tcPr>
            <w:tcW w:w="8080" w:type="dxa"/>
            <w:tcBorders>
              <w:top w:val="nil"/>
              <w:left w:val="nil"/>
              <w:bottom w:val="single" w:sz="4" w:space="0" w:color="auto"/>
              <w:right w:val="single" w:sz="4" w:space="0" w:color="auto"/>
            </w:tcBorders>
            <w:noWrap/>
            <w:vAlign w:val="center"/>
            <w:hideMark/>
          </w:tcPr>
          <w:p w14:paraId="1968020B" w14:textId="77777777" w:rsidR="00811C64" w:rsidRDefault="00811C64">
            <w:pPr>
              <w:rPr>
                <w:rFonts w:cs="Arial"/>
                <w:sz w:val="24"/>
                <w:szCs w:val="24"/>
              </w:rPr>
            </w:pPr>
          </w:p>
        </w:tc>
        <w:tc>
          <w:tcPr>
            <w:tcW w:w="1094" w:type="dxa"/>
            <w:tcBorders>
              <w:top w:val="single" w:sz="4" w:space="0" w:color="auto"/>
              <w:left w:val="nil"/>
              <w:bottom w:val="single" w:sz="4" w:space="0" w:color="auto"/>
              <w:right w:val="single" w:sz="4" w:space="0" w:color="000000"/>
            </w:tcBorders>
            <w:noWrap/>
            <w:vAlign w:val="center"/>
            <w:hideMark/>
          </w:tcPr>
          <w:p w14:paraId="462315B8" w14:textId="77777777" w:rsidR="00811C64" w:rsidRDefault="00811C64">
            <w:pPr>
              <w:spacing w:after="0" w:line="360" w:lineRule="auto"/>
              <w:jc w:val="center"/>
              <w:rPr>
                <w:rFonts w:eastAsia="Times New Roman" w:cs="Arial"/>
                <w:b/>
              </w:rPr>
            </w:pPr>
            <w:r>
              <w:rPr>
                <w:rFonts w:eastAsia="Times New Roman" w:cs="Arial"/>
                <w:b/>
              </w:rPr>
              <w:t>Number</w:t>
            </w:r>
          </w:p>
        </w:tc>
      </w:tr>
      <w:tr w:rsidR="00811C64" w14:paraId="4A46208D" w14:textId="77777777" w:rsidTr="00811C64">
        <w:trPr>
          <w:trHeight w:val="409"/>
          <w:jc w:val="center"/>
        </w:trPr>
        <w:tc>
          <w:tcPr>
            <w:tcW w:w="8080" w:type="dxa"/>
            <w:tcBorders>
              <w:top w:val="nil"/>
              <w:left w:val="single" w:sz="4" w:space="0" w:color="auto"/>
              <w:bottom w:val="single" w:sz="4" w:space="0" w:color="auto"/>
              <w:right w:val="single" w:sz="4" w:space="0" w:color="auto"/>
            </w:tcBorders>
            <w:noWrap/>
            <w:vAlign w:val="center"/>
            <w:hideMark/>
          </w:tcPr>
          <w:p w14:paraId="1D46949A" w14:textId="77777777" w:rsidR="00811C64" w:rsidRPr="00581683" w:rsidRDefault="00811C64">
            <w:pPr>
              <w:spacing w:after="0" w:line="360" w:lineRule="auto"/>
              <w:rPr>
                <w:rFonts w:eastAsia="Times New Roman" w:cs="Arial"/>
                <w:sz w:val="20"/>
                <w:szCs w:val="20"/>
              </w:rPr>
            </w:pPr>
            <w:r w:rsidRPr="00581683">
              <w:rPr>
                <w:rFonts w:eastAsia="Times New Roman" w:cs="Arial"/>
                <w:sz w:val="20"/>
                <w:szCs w:val="20"/>
              </w:rPr>
              <w:t>Number of existing engagements as of 31 March 2022</w:t>
            </w:r>
          </w:p>
        </w:tc>
        <w:tc>
          <w:tcPr>
            <w:tcW w:w="1094" w:type="dxa"/>
            <w:tcBorders>
              <w:top w:val="single" w:sz="4" w:space="0" w:color="auto"/>
              <w:left w:val="nil"/>
              <w:bottom w:val="single" w:sz="4" w:space="0" w:color="auto"/>
              <w:right w:val="single" w:sz="4" w:space="0" w:color="000000"/>
            </w:tcBorders>
            <w:noWrap/>
            <w:vAlign w:val="center"/>
            <w:hideMark/>
          </w:tcPr>
          <w:p w14:paraId="37BF8B0C" w14:textId="77777777" w:rsidR="00811C64" w:rsidRPr="00581683" w:rsidRDefault="00811C64">
            <w:pPr>
              <w:spacing w:after="0" w:line="360" w:lineRule="auto"/>
              <w:jc w:val="center"/>
              <w:rPr>
                <w:rFonts w:eastAsia="Times New Roman" w:cs="Arial"/>
                <w:sz w:val="20"/>
                <w:szCs w:val="20"/>
              </w:rPr>
            </w:pPr>
            <w:r w:rsidRPr="00581683">
              <w:rPr>
                <w:rFonts w:eastAsia="Times New Roman" w:cs="Arial"/>
                <w:sz w:val="20"/>
                <w:szCs w:val="20"/>
              </w:rPr>
              <w:t>2</w:t>
            </w:r>
          </w:p>
        </w:tc>
      </w:tr>
      <w:tr w:rsidR="00811C64" w14:paraId="7B5DC3B1" w14:textId="77777777" w:rsidTr="00811C64">
        <w:trPr>
          <w:trHeight w:val="409"/>
          <w:jc w:val="center"/>
        </w:trPr>
        <w:tc>
          <w:tcPr>
            <w:tcW w:w="917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F5BAF37" w14:textId="77777777" w:rsidR="00811C64" w:rsidRPr="00581683" w:rsidRDefault="00811C64">
            <w:pPr>
              <w:spacing w:after="0" w:line="360" w:lineRule="auto"/>
              <w:rPr>
                <w:rFonts w:eastAsia="Times New Roman" w:cs="Arial"/>
                <w:i/>
                <w:iCs/>
                <w:sz w:val="20"/>
                <w:szCs w:val="20"/>
              </w:rPr>
            </w:pPr>
            <w:r w:rsidRPr="00581683">
              <w:rPr>
                <w:rFonts w:eastAsia="Times New Roman" w:cs="Arial"/>
                <w:i/>
                <w:iCs/>
                <w:sz w:val="20"/>
                <w:szCs w:val="20"/>
              </w:rPr>
              <w:t>Of which, the number that have existed: </w:t>
            </w:r>
          </w:p>
        </w:tc>
      </w:tr>
      <w:tr w:rsidR="00811C64" w14:paraId="44CCEEC8" w14:textId="77777777" w:rsidTr="00811C64">
        <w:trPr>
          <w:trHeight w:val="409"/>
          <w:jc w:val="center"/>
        </w:trPr>
        <w:tc>
          <w:tcPr>
            <w:tcW w:w="8080" w:type="dxa"/>
            <w:tcBorders>
              <w:top w:val="nil"/>
              <w:left w:val="single" w:sz="4" w:space="0" w:color="auto"/>
              <w:bottom w:val="single" w:sz="4" w:space="0" w:color="auto"/>
              <w:right w:val="single" w:sz="4" w:space="0" w:color="auto"/>
            </w:tcBorders>
            <w:noWrap/>
            <w:vAlign w:val="center"/>
            <w:hideMark/>
          </w:tcPr>
          <w:p w14:paraId="57296119" w14:textId="77777777" w:rsidR="00811C64" w:rsidRPr="00581683" w:rsidRDefault="00811C64">
            <w:pPr>
              <w:spacing w:after="0" w:line="360" w:lineRule="auto"/>
              <w:ind w:firstLineChars="100" w:firstLine="200"/>
              <w:rPr>
                <w:rFonts w:eastAsia="Times New Roman" w:cs="Arial"/>
                <w:sz w:val="20"/>
                <w:szCs w:val="20"/>
              </w:rPr>
            </w:pPr>
            <w:r w:rsidRPr="00581683">
              <w:rPr>
                <w:rFonts w:eastAsia="Times New Roman" w:cs="Arial"/>
                <w:sz w:val="20"/>
                <w:szCs w:val="20"/>
              </w:rPr>
              <w:t>for less than one year at the time of reporting</w:t>
            </w:r>
          </w:p>
        </w:tc>
        <w:tc>
          <w:tcPr>
            <w:tcW w:w="1094" w:type="dxa"/>
            <w:tcBorders>
              <w:top w:val="single" w:sz="4" w:space="0" w:color="auto"/>
              <w:left w:val="nil"/>
              <w:bottom w:val="single" w:sz="4" w:space="0" w:color="auto"/>
              <w:right w:val="single" w:sz="4" w:space="0" w:color="000000"/>
            </w:tcBorders>
            <w:noWrap/>
            <w:vAlign w:val="center"/>
            <w:hideMark/>
          </w:tcPr>
          <w:p w14:paraId="697EE966" w14:textId="77777777" w:rsidR="00811C64" w:rsidRPr="00581683" w:rsidRDefault="00811C64">
            <w:pPr>
              <w:spacing w:after="0" w:line="360" w:lineRule="auto"/>
              <w:jc w:val="center"/>
              <w:rPr>
                <w:rFonts w:eastAsia="Times New Roman" w:cs="Arial"/>
                <w:sz w:val="20"/>
                <w:szCs w:val="20"/>
              </w:rPr>
            </w:pPr>
            <w:r w:rsidRPr="00581683">
              <w:rPr>
                <w:rFonts w:eastAsia="Times New Roman" w:cs="Arial"/>
                <w:sz w:val="20"/>
                <w:szCs w:val="20"/>
              </w:rPr>
              <w:t>1</w:t>
            </w:r>
          </w:p>
        </w:tc>
      </w:tr>
      <w:tr w:rsidR="00811C64" w14:paraId="57CDA44F" w14:textId="77777777" w:rsidTr="00811C64">
        <w:trPr>
          <w:trHeight w:val="409"/>
          <w:jc w:val="center"/>
        </w:trPr>
        <w:tc>
          <w:tcPr>
            <w:tcW w:w="8080" w:type="dxa"/>
            <w:tcBorders>
              <w:top w:val="nil"/>
              <w:left w:val="single" w:sz="4" w:space="0" w:color="auto"/>
              <w:bottom w:val="single" w:sz="4" w:space="0" w:color="auto"/>
              <w:right w:val="single" w:sz="4" w:space="0" w:color="auto"/>
            </w:tcBorders>
            <w:noWrap/>
            <w:vAlign w:val="center"/>
            <w:hideMark/>
          </w:tcPr>
          <w:p w14:paraId="04F14ABF" w14:textId="77777777" w:rsidR="00811C64" w:rsidRPr="00581683" w:rsidRDefault="00811C64">
            <w:pPr>
              <w:spacing w:after="0" w:line="360" w:lineRule="auto"/>
              <w:ind w:leftChars="110" w:left="246" w:hangingChars="2" w:hanging="4"/>
              <w:rPr>
                <w:rFonts w:eastAsia="Times New Roman" w:cs="Arial"/>
                <w:sz w:val="20"/>
                <w:szCs w:val="20"/>
              </w:rPr>
            </w:pPr>
            <w:r w:rsidRPr="00581683">
              <w:rPr>
                <w:rFonts w:eastAsia="Times New Roman" w:cs="Arial"/>
                <w:sz w:val="20"/>
                <w:szCs w:val="20"/>
              </w:rPr>
              <w:t>for between one and two years at the time of reporting</w:t>
            </w:r>
          </w:p>
        </w:tc>
        <w:tc>
          <w:tcPr>
            <w:tcW w:w="1094" w:type="dxa"/>
            <w:tcBorders>
              <w:top w:val="single" w:sz="4" w:space="0" w:color="auto"/>
              <w:left w:val="nil"/>
              <w:bottom w:val="single" w:sz="4" w:space="0" w:color="auto"/>
              <w:right w:val="single" w:sz="4" w:space="0" w:color="000000"/>
            </w:tcBorders>
            <w:noWrap/>
            <w:vAlign w:val="center"/>
            <w:hideMark/>
          </w:tcPr>
          <w:p w14:paraId="37CD3DEE" w14:textId="77777777" w:rsidR="00811C64" w:rsidRPr="00581683" w:rsidRDefault="00811C64">
            <w:pPr>
              <w:spacing w:after="0" w:line="360" w:lineRule="auto"/>
              <w:jc w:val="center"/>
              <w:rPr>
                <w:rFonts w:eastAsia="Times New Roman" w:cs="Arial"/>
                <w:sz w:val="20"/>
                <w:szCs w:val="20"/>
              </w:rPr>
            </w:pPr>
            <w:r w:rsidRPr="00581683">
              <w:rPr>
                <w:rFonts w:eastAsia="Times New Roman" w:cs="Arial"/>
                <w:sz w:val="20"/>
                <w:szCs w:val="20"/>
              </w:rPr>
              <w:t>1</w:t>
            </w:r>
          </w:p>
        </w:tc>
      </w:tr>
      <w:tr w:rsidR="00811C64" w14:paraId="23472DC6" w14:textId="77777777" w:rsidTr="00811C64">
        <w:trPr>
          <w:trHeight w:val="409"/>
          <w:jc w:val="center"/>
        </w:trPr>
        <w:tc>
          <w:tcPr>
            <w:tcW w:w="8080" w:type="dxa"/>
            <w:tcBorders>
              <w:top w:val="nil"/>
              <w:left w:val="single" w:sz="4" w:space="0" w:color="auto"/>
              <w:bottom w:val="single" w:sz="4" w:space="0" w:color="auto"/>
              <w:right w:val="single" w:sz="4" w:space="0" w:color="auto"/>
            </w:tcBorders>
            <w:noWrap/>
            <w:vAlign w:val="center"/>
            <w:hideMark/>
          </w:tcPr>
          <w:p w14:paraId="0725442B" w14:textId="77777777" w:rsidR="00811C64" w:rsidRPr="00581683" w:rsidRDefault="00811C64">
            <w:pPr>
              <w:spacing w:after="0" w:line="360" w:lineRule="auto"/>
              <w:ind w:firstLineChars="100" w:firstLine="200"/>
              <w:rPr>
                <w:rFonts w:eastAsia="Times New Roman" w:cs="Arial"/>
                <w:sz w:val="20"/>
                <w:szCs w:val="20"/>
              </w:rPr>
            </w:pPr>
            <w:r w:rsidRPr="00581683">
              <w:rPr>
                <w:rFonts w:eastAsia="Times New Roman" w:cs="Arial"/>
                <w:sz w:val="20"/>
                <w:szCs w:val="20"/>
              </w:rPr>
              <w:t>for between 2 and 3 years at the time of reporting</w:t>
            </w:r>
          </w:p>
        </w:tc>
        <w:tc>
          <w:tcPr>
            <w:tcW w:w="1094" w:type="dxa"/>
            <w:tcBorders>
              <w:top w:val="single" w:sz="4" w:space="0" w:color="auto"/>
              <w:left w:val="nil"/>
              <w:bottom w:val="single" w:sz="4" w:space="0" w:color="auto"/>
              <w:right w:val="single" w:sz="4" w:space="0" w:color="000000"/>
            </w:tcBorders>
            <w:noWrap/>
            <w:vAlign w:val="center"/>
            <w:hideMark/>
          </w:tcPr>
          <w:p w14:paraId="3BB4D474" w14:textId="77777777" w:rsidR="00811C64" w:rsidRPr="00581683" w:rsidRDefault="00811C64">
            <w:pPr>
              <w:spacing w:after="0" w:line="360" w:lineRule="auto"/>
              <w:jc w:val="center"/>
              <w:rPr>
                <w:rFonts w:eastAsia="Times New Roman" w:cs="Arial"/>
                <w:sz w:val="20"/>
                <w:szCs w:val="20"/>
              </w:rPr>
            </w:pPr>
            <w:r w:rsidRPr="00581683">
              <w:rPr>
                <w:rFonts w:eastAsia="Times New Roman" w:cs="Arial"/>
                <w:sz w:val="20"/>
                <w:szCs w:val="20"/>
              </w:rPr>
              <w:t>0</w:t>
            </w:r>
          </w:p>
        </w:tc>
      </w:tr>
      <w:tr w:rsidR="00811C64" w14:paraId="0EFE7262" w14:textId="77777777" w:rsidTr="00811C64">
        <w:trPr>
          <w:trHeight w:val="409"/>
          <w:jc w:val="center"/>
        </w:trPr>
        <w:tc>
          <w:tcPr>
            <w:tcW w:w="8080" w:type="dxa"/>
            <w:tcBorders>
              <w:top w:val="nil"/>
              <w:left w:val="single" w:sz="4" w:space="0" w:color="auto"/>
              <w:bottom w:val="single" w:sz="4" w:space="0" w:color="auto"/>
              <w:right w:val="single" w:sz="4" w:space="0" w:color="auto"/>
            </w:tcBorders>
            <w:noWrap/>
            <w:vAlign w:val="center"/>
            <w:hideMark/>
          </w:tcPr>
          <w:p w14:paraId="7CB3D147" w14:textId="77777777" w:rsidR="00811C64" w:rsidRPr="00581683" w:rsidRDefault="00811C64">
            <w:pPr>
              <w:spacing w:after="0" w:line="360" w:lineRule="auto"/>
              <w:ind w:firstLineChars="100" w:firstLine="200"/>
              <w:rPr>
                <w:rFonts w:eastAsia="Times New Roman" w:cs="Arial"/>
                <w:sz w:val="20"/>
                <w:szCs w:val="20"/>
              </w:rPr>
            </w:pPr>
            <w:r w:rsidRPr="00581683">
              <w:rPr>
                <w:rFonts w:eastAsia="Times New Roman" w:cs="Arial"/>
                <w:sz w:val="20"/>
                <w:szCs w:val="20"/>
              </w:rPr>
              <w:t>for between 3 and 4 years at the time of reporting</w:t>
            </w:r>
          </w:p>
        </w:tc>
        <w:tc>
          <w:tcPr>
            <w:tcW w:w="1094" w:type="dxa"/>
            <w:tcBorders>
              <w:top w:val="single" w:sz="4" w:space="0" w:color="auto"/>
              <w:left w:val="nil"/>
              <w:bottom w:val="single" w:sz="4" w:space="0" w:color="auto"/>
              <w:right w:val="single" w:sz="4" w:space="0" w:color="000000"/>
            </w:tcBorders>
            <w:noWrap/>
            <w:vAlign w:val="center"/>
            <w:hideMark/>
          </w:tcPr>
          <w:p w14:paraId="19709485" w14:textId="77777777" w:rsidR="00811C64" w:rsidRPr="00581683" w:rsidRDefault="00811C64">
            <w:pPr>
              <w:spacing w:after="0" w:line="360" w:lineRule="auto"/>
              <w:jc w:val="center"/>
              <w:rPr>
                <w:rFonts w:eastAsia="Times New Roman" w:cs="Arial"/>
                <w:sz w:val="20"/>
                <w:szCs w:val="20"/>
              </w:rPr>
            </w:pPr>
            <w:r w:rsidRPr="00581683">
              <w:rPr>
                <w:rFonts w:eastAsia="Times New Roman" w:cs="Arial"/>
                <w:sz w:val="20"/>
                <w:szCs w:val="20"/>
              </w:rPr>
              <w:t>0</w:t>
            </w:r>
          </w:p>
        </w:tc>
      </w:tr>
      <w:tr w:rsidR="00811C64" w14:paraId="751172A0" w14:textId="77777777" w:rsidTr="00811C64">
        <w:trPr>
          <w:trHeight w:val="409"/>
          <w:jc w:val="center"/>
        </w:trPr>
        <w:tc>
          <w:tcPr>
            <w:tcW w:w="8080" w:type="dxa"/>
            <w:tcBorders>
              <w:top w:val="nil"/>
              <w:left w:val="single" w:sz="4" w:space="0" w:color="auto"/>
              <w:bottom w:val="single" w:sz="4" w:space="0" w:color="auto"/>
              <w:right w:val="single" w:sz="4" w:space="0" w:color="auto"/>
            </w:tcBorders>
            <w:noWrap/>
            <w:vAlign w:val="center"/>
            <w:hideMark/>
          </w:tcPr>
          <w:p w14:paraId="5276D8B1" w14:textId="77777777" w:rsidR="00811C64" w:rsidRPr="00581683" w:rsidRDefault="00811C64">
            <w:pPr>
              <w:spacing w:after="0" w:line="360" w:lineRule="auto"/>
              <w:ind w:firstLineChars="100" w:firstLine="200"/>
              <w:rPr>
                <w:rFonts w:eastAsia="Times New Roman" w:cs="Arial"/>
                <w:sz w:val="20"/>
                <w:szCs w:val="20"/>
              </w:rPr>
            </w:pPr>
            <w:r w:rsidRPr="00581683">
              <w:rPr>
                <w:rFonts w:eastAsia="Times New Roman" w:cs="Arial"/>
                <w:sz w:val="20"/>
                <w:szCs w:val="20"/>
              </w:rPr>
              <w:t>for 4 or more years at the time of reporting</w:t>
            </w:r>
          </w:p>
        </w:tc>
        <w:tc>
          <w:tcPr>
            <w:tcW w:w="1094" w:type="dxa"/>
            <w:tcBorders>
              <w:top w:val="single" w:sz="4" w:space="0" w:color="auto"/>
              <w:left w:val="nil"/>
              <w:bottom w:val="single" w:sz="4" w:space="0" w:color="auto"/>
              <w:right w:val="single" w:sz="4" w:space="0" w:color="000000"/>
            </w:tcBorders>
            <w:noWrap/>
            <w:vAlign w:val="center"/>
            <w:hideMark/>
          </w:tcPr>
          <w:p w14:paraId="3463D5E5" w14:textId="77777777" w:rsidR="00811C64" w:rsidRPr="00581683" w:rsidRDefault="00811C64">
            <w:pPr>
              <w:spacing w:after="0" w:line="360" w:lineRule="auto"/>
              <w:jc w:val="center"/>
              <w:rPr>
                <w:rFonts w:eastAsia="Times New Roman" w:cs="Arial"/>
                <w:sz w:val="20"/>
                <w:szCs w:val="20"/>
              </w:rPr>
            </w:pPr>
            <w:r w:rsidRPr="00581683">
              <w:rPr>
                <w:rFonts w:eastAsia="Times New Roman" w:cs="Arial"/>
                <w:sz w:val="20"/>
                <w:szCs w:val="20"/>
              </w:rPr>
              <w:t>0</w:t>
            </w:r>
          </w:p>
        </w:tc>
      </w:tr>
    </w:tbl>
    <w:p w14:paraId="4FB72E4B" w14:textId="77777777" w:rsidR="00811C64" w:rsidRPr="00811C64" w:rsidRDefault="00811C64" w:rsidP="00811C64">
      <w:pPr>
        <w:spacing w:before="240" w:after="0"/>
        <w:rPr>
          <w:rFonts w:cs="Arial"/>
          <w:b/>
        </w:rPr>
      </w:pPr>
      <w:r w:rsidRPr="00811C64">
        <w:rPr>
          <w:rFonts w:cs="Arial"/>
          <w:b/>
        </w:rPr>
        <w:t>Table 2: Off-payroll workers engaged at any point during the financial year</w:t>
      </w:r>
    </w:p>
    <w:p w14:paraId="4177E2E4" w14:textId="77777777" w:rsidR="00811C64" w:rsidRPr="00811C64" w:rsidRDefault="00811C64" w:rsidP="00811C64">
      <w:pPr>
        <w:spacing w:before="240" w:after="0"/>
        <w:rPr>
          <w:rFonts w:cs="Arial"/>
        </w:rPr>
      </w:pPr>
      <w:r w:rsidRPr="00811C64">
        <w:rPr>
          <w:rFonts w:cs="Arial"/>
        </w:rPr>
        <w:t>For all off-payroll engagements between 1 April 2021 and 31 March 2022, for more than £245 per day</w:t>
      </w:r>
    </w:p>
    <w:tbl>
      <w:tblPr>
        <w:tblW w:w="9214" w:type="dxa"/>
        <w:jc w:val="center"/>
        <w:tblLook w:val="04A0" w:firstRow="1" w:lastRow="0" w:firstColumn="1" w:lastColumn="0" w:noHBand="0" w:noVBand="1"/>
      </w:tblPr>
      <w:tblGrid>
        <w:gridCol w:w="8080"/>
        <w:gridCol w:w="1134"/>
      </w:tblGrid>
      <w:tr w:rsidR="00811C64" w14:paraId="069E980A" w14:textId="77777777" w:rsidTr="00811C64">
        <w:trPr>
          <w:trHeight w:val="424"/>
          <w:jc w:val="center"/>
        </w:trPr>
        <w:tc>
          <w:tcPr>
            <w:tcW w:w="8080" w:type="dxa"/>
            <w:tcBorders>
              <w:top w:val="nil"/>
              <w:left w:val="nil"/>
              <w:bottom w:val="single" w:sz="4" w:space="0" w:color="auto"/>
              <w:right w:val="single" w:sz="4" w:space="0" w:color="000000"/>
            </w:tcBorders>
            <w:noWrap/>
            <w:vAlign w:val="bottom"/>
            <w:hideMark/>
          </w:tcPr>
          <w:p w14:paraId="2F481108" w14:textId="77777777" w:rsidR="00811C64" w:rsidRDefault="00811C64">
            <w:pPr>
              <w:spacing w:after="0" w:line="360" w:lineRule="auto"/>
              <w:rPr>
                <w:rFonts w:eastAsia="Times New Roman" w:cs="Arial"/>
              </w:rPr>
            </w:pPr>
            <w:r>
              <w:rPr>
                <w:rFonts w:eastAsia="Times New Roman" w:cs="Arial"/>
              </w:rPr>
              <w:t> </w:t>
            </w:r>
          </w:p>
        </w:tc>
        <w:tc>
          <w:tcPr>
            <w:tcW w:w="1134" w:type="dxa"/>
            <w:tcBorders>
              <w:top w:val="single" w:sz="4" w:space="0" w:color="auto"/>
              <w:left w:val="single" w:sz="4" w:space="0" w:color="000000"/>
              <w:bottom w:val="single" w:sz="4" w:space="0" w:color="auto"/>
              <w:right w:val="single" w:sz="4" w:space="0" w:color="000000"/>
            </w:tcBorders>
            <w:noWrap/>
            <w:vAlign w:val="center"/>
            <w:hideMark/>
          </w:tcPr>
          <w:p w14:paraId="7AC22F54" w14:textId="77777777" w:rsidR="00811C64" w:rsidRDefault="00811C64">
            <w:pPr>
              <w:spacing w:after="0" w:line="360" w:lineRule="auto"/>
              <w:jc w:val="center"/>
              <w:rPr>
                <w:rFonts w:eastAsia="Times New Roman" w:cs="Arial"/>
                <w:b/>
                <w:highlight w:val="red"/>
              </w:rPr>
            </w:pPr>
            <w:r>
              <w:rPr>
                <w:rFonts w:eastAsia="Times New Roman" w:cs="Arial"/>
                <w:b/>
              </w:rPr>
              <w:t>Number</w:t>
            </w:r>
          </w:p>
        </w:tc>
      </w:tr>
      <w:tr w:rsidR="00811C64" w14:paraId="182BAB0A" w14:textId="77777777" w:rsidTr="00811C64">
        <w:trPr>
          <w:trHeight w:val="480"/>
          <w:jc w:val="center"/>
        </w:trPr>
        <w:tc>
          <w:tcPr>
            <w:tcW w:w="8080" w:type="dxa"/>
            <w:tcBorders>
              <w:top w:val="nil"/>
              <w:left w:val="single" w:sz="4" w:space="0" w:color="auto"/>
              <w:bottom w:val="single" w:sz="4" w:space="0" w:color="auto"/>
              <w:right w:val="single" w:sz="4" w:space="0" w:color="auto"/>
            </w:tcBorders>
            <w:vAlign w:val="center"/>
            <w:hideMark/>
          </w:tcPr>
          <w:p w14:paraId="3B15E804" w14:textId="03A329CD" w:rsidR="00811C64" w:rsidRPr="00581683" w:rsidRDefault="00811C64" w:rsidP="00811C64">
            <w:pPr>
              <w:spacing w:before="0" w:after="0" w:line="360" w:lineRule="auto"/>
              <w:rPr>
                <w:rFonts w:eastAsia="Times New Roman" w:cs="Arial"/>
                <w:sz w:val="20"/>
                <w:szCs w:val="20"/>
              </w:rPr>
            </w:pPr>
            <w:r w:rsidRPr="00581683">
              <w:rPr>
                <w:rFonts w:eastAsia="Times New Roman" w:cs="Arial"/>
                <w:sz w:val="20"/>
                <w:szCs w:val="20"/>
              </w:rPr>
              <w:t>No. of temporary off-payroll workers engaged between 1 April 2021</w:t>
            </w:r>
            <w:r w:rsidR="00581683">
              <w:rPr>
                <w:rFonts w:eastAsia="Times New Roman" w:cs="Arial"/>
                <w:sz w:val="20"/>
                <w:szCs w:val="20"/>
              </w:rPr>
              <w:t xml:space="preserve"> </w:t>
            </w:r>
            <w:r w:rsidRPr="00581683">
              <w:rPr>
                <w:rFonts w:eastAsia="Times New Roman" w:cs="Arial"/>
                <w:sz w:val="20"/>
                <w:szCs w:val="20"/>
              </w:rPr>
              <w:t>and 31 March 2022</w:t>
            </w:r>
          </w:p>
        </w:tc>
        <w:tc>
          <w:tcPr>
            <w:tcW w:w="1134" w:type="dxa"/>
            <w:tcBorders>
              <w:top w:val="single" w:sz="4" w:space="0" w:color="auto"/>
              <w:left w:val="nil"/>
              <w:bottom w:val="single" w:sz="4" w:space="0" w:color="auto"/>
              <w:right w:val="single" w:sz="4" w:space="0" w:color="000000"/>
            </w:tcBorders>
            <w:noWrap/>
            <w:vAlign w:val="center"/>
            <w:hideMark/>
          </w:tcPr>
          <w:p w14:paraId="5272C63B" w14:textId="77777777" w:rsidR="00811C64" w:rsidRPr="00581683" w:rsidRDefault="00811C64">
            <w:pPr>
              <w:spacing w:after="0" w:line="360" w:lineRule="auto"/>
              <w:jc w:val="center"/>
              <w:rPr>
                <w:rFonts w:eastAsia="Times New Roman" w:cs="Arial"/>
                <w:sz w:val="20"/>
                <w:szCs w:val="20"/>
                <w:highlight w:val="red"/>
              </w:rPr>
            </w:pPr>
            <w:r w:rsidRPr="00581683">
              <w:rPr>
                <w:rFonts w:eastAsia="Times New Roman" w:cs="Arial"/>
                <w:sz w:val="20"/>
                <w:szCs w:val="20"/>
              </w:rPr>
              <w:t>2</w:t>
            </w:r>
          </w:p>
        </w:tc>
      </w:tr>
      <w:tr w:rsidR="00811C64" w14:paraId="591439AB" w14:textId="77777777" w:rsidTr="00811C64">
        <w:trPr>
          <w:trHeight w:val="424"/>
          <w:jc w:val="center"/>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5E4D5DCC" w14:textId="77777777" w:rsidR="00811C64" w:rsidRPr="00581683" w:rsidRDefault="00811C64">
            <w:pPr>
              <w:spacing w:after="0" w:line="360" w:lineRule="auto"/>
              <w:rPr>
                <w:rFonts w:eastAsia="Times New Roman" w:cs="Arial"/>
                <w:i/>
                <w:sz w:val="20"/>
                <w:szCs w:val="20"/>
              </w:rPr>
            </w:pPr>
            <w:r w:rsidRPr="00581683">
              <w:rPr>
                <w:rFonts w:eastAsia="Times New Roman" w:cs="Arial"/>
                <w:i/>
                <w:sz w:val="20"/>
                <w:szCs w:val="20"/>
              </w:rPr>
              <w:t xml:space="preserve">Of which: </w:t>
            </w:r>
          </w:p>
        </w:tc>
      </w:tr>
      <w:tr w:rsidR="00811C64" w14:paraId="3500D91F" w14:textId="77777777" w:rsidTr="00811C64">
        <w:trPr>
          <w:trHeight w:val="424"/>
          <w:jc w:val="center"/>
        </w:trPr>
        <w:tc>
          <w:tcPr>
            <w:tcW w:w="8080" w:type="dxa"/>
            <w:tcBorders>
              <w:top w:val="single" w:sz="4" w:space="0" w:color="000000"/>
              <w:left w:val="single" w:sz="4" w:space="0" w:color="000000"/>
              <w:bottom w:val="single" w:sz="4" w:space="0" w:color="000000"/>
              <w:right w:val="single" w:sz="4" w:space="0" w:color="000000"/>
            </w:tcBorders>
            <w:vAlign w:val="center"/>
            <w:hideMark/>
          </w:tcPr>
          <w:p w14:paraId="77F537CC" w14:textId="77777777" w:rsidR="00811C64" w:rsidRPr="00581683" w:rsidRDefault="00811C64">
            <w:pPr>
              <w:spacing w:after="0" w:line="360" w:lineRule="auto"/>
              <w:ind w:left="365"/>
              <w:rPr>
                <w:rFonts w:eastAsia="Times New Roman" w:cs="Arial"/>
                <w:sz w:val="20"/>
                <w:szCs w:val="20"/>
              </w:rPr>
            </w:pPr>
            <w:r w:rsidRPr="00581683">
              <w:rPr>
                <w:rFonts w:eastAsia="Times New Roman" w:cs="Arial"/>
                <w:sz w:val="20"/>
                <w:szCs w:val="20"/>
              </w:rPr>
              <w:t>No. not subject to off-payroll legislation</w:t>
            </w:r>
          </w:p>
        </w:tc>
        <w:tc>
          <w:tcPr>
            <w:tcW w:w="1134" w:type="dxa"/>
            <w:tcBorders>
              <w:top w:val="single" w:sz="4" w:space="0" w:color="000000"/>
              <w:left w:val="single" w:sz="4" w:space="0" w:color="000000"/>
              <w:bottom w:val="single" w:sz="4" w:space="0" w:color="000000"/>
              <w:right w:val="single" w:sz="4" w:space="0" w:color="000000"/>
            </w:tcBorders>
            <w:noWrap/>
            <w:vAlign w:val="center"/>
            <w:hideMark/>
          </w:tcPr>
          <w:p w14:paraId="156A95C8" w14:textId="77777777" w:rsidR="00811C64" w:rsidRPr="00581683" w:rsidRDefault="00811C64">
            <w:pPr>
              <w:spacing w:after="0" w:line="360" w:lineRule="auto"/>
              <w:jc w:val="center"/>
              <w:rPr>
                <w:rFonts w:eastAsia="Times New Roman" w:cs="Arial"/>
                <w:sz w:val="20"/>
                <w:szCs w:val="20"/>
                <w:highlight w:val="red"/>
              </w:rPr>
            </w:pPr>
            <w:r w:rsidRPr="00581683">
              <w:rPr>
                <w:rFonts w:eastAsia="Times New Roman" w:cs="Arial"/>
                <w:sz w:val="20"/>
                <w:szCs w:val="20"/>
              </w:rPr>
              <w:t>1</w:t>
            </w:r>
          </w:p>
        </w:tc>
      </w:tr>
      <w:tr w:rsidR="00811C64" w14:paraId="424DF05E" w14:textId="77777777" w:rsidTr="00811C64">
        <w:trPr>
          <w:trHeight w:val="424"/>
          <w:jc w:val="center"/>
        </w:trPr>
        <w:tc>
          <w:tcPr>
            <w:tcW w:w="8080" w:type="dxa"/>
            <w:tcBorders>
              <w:top w:val="single" w:sz="4" w:space="0" w:color="000000"/>
              <w:left w:val="single" w:sz="4" w:space="0" w:color="auto"/>
              <w:bottom w:val="single" w:sz="4" w:space="0" w:color="000000"/>
              <w:right w:val="single" w:sz="4" w:space="0" w:color="000000"/>
            </w:tcBorders>
            <w:vAlign w:val="center"/>
            <w:hideMark/>
          </w:tcPr>
          <w:p w14:paraId="2D47E514" w14:textId="14F1354F" w:rsidR="00811C64" w:rsidRPr="00581683" w:rsidRDefault="00811C64" w:rsidP="00581683">
            <w:pPr>
              <w:spacing w:before="0" w:after="0" w:line="360" w:lineRule="auto"/>
              <w:ind w:left="365"/>
              <w:rPr>
                <w:rFonts w:eastAsia="Times New Roman" w:cs="Arial"/>
                <w:sz w:val="20"/>
                <w:szCs w:val="20"/>
              </w:rPr>
            </w:pPr>
            <w:r w:rsidRPr="00581683">
              <w:rPr>
                <w:rFonts w:eastAsia="Times New Roman" w:cs="Arial"/>
                <w:sz w:val="20"/>
                <w:szCs w:val="20"/>
              </w:rPr>
              <w:t>No. subject to off-payroll legislation and determined as in-scope of</w:t>
            </w:r>
            <w:r w:rsidR="00581683">
              <w:rPr>
                <w:rFonts w:eastAsia="Times New Roman" w:cs="Arial"/>
                <w:sz w:val="20"/>
                <w:szCs w:val="20"/>
              </w:rPr>
              <w:t xml:space="preserve"> </w:t>
            </w:r>
            <w:r w:rsidRPr="00581683">
              <w:rPr>
                <w:rFonts w:eastAsia="Times New Roman" w:cs="Arial"/>
                <w:sz w:val="20"/>
                <w:szCs w:val="20"/>
              </w:rPr>
              <w:t>IR35</w:t>
            </w:r>
          </w:p>
        </w:tc>
        <w:tc>
          <w:tcPr>
            <w:tcW w:w="1134" w:type="dxa"/>
            <w:tcBorders>
              <w:top w:val="single" w:sz="4" w:space="0" w:color="000000"/>
              <w:left w:val="single" w:sz="4" w:space="0" w:color="000000"/>
              <w:bottom w:val="single" w:sz="4" w:space="0" w:color="000000"/>
              <w:right w:val="single" w:sz="4" w:space="0" w:color="000000"/>
            </w:tcBorders>
            <w:noWrap/>
            <w:vAlign w:val="center"/>
            <w:hideMark/>
          </w:tcPr>
          <w:p w14:paraId="3A2BEDC8" w14:textId="77777777" w:rsidR="00811C64" w:rsidRPr="00581683" w:rsidRDefault="00811C64" w:rsidP="00811C64">
            <w:pPr>
              <w:spacing w:before="0" w:after="0" w:line="360" w:lineRule="auto"/>
              <w:jc w:val="center"/>
              <w:rPr>
                <w:rFonts w:eastAsia="Times New Roman" w:cs="Arial"/>
                <w:sz w:val="20"/>
                <w:szCs w:val="20"/>
                <w:highlight w:val="red"/>
              </w:rPr>
            </w:pPr>
            <w:r w:rsidRPr="00581683">
              <w:rPr>
                <w:rFonts w:eastAsia="Times New Roman" w:cs="Arial"/>
                <w:sz w:val="20"/>
                <w:szCs w:val="20"/>
              </w:rPr>
              <w:t>0</w:t>
            </w:r>
          </w:p>
        </w:tc>
      </w:tr>
      <w:tr w:rsidR="00811C64" w14:paraId="61E8595D" w14:textId="77777777" w:rsidTr="00811C64">
        <w:trPr>
          <w:trHeight w:val="424"/>
          <w:jc w:val="center"/>
        </w:trPr>
        <w:tc>
          <w:tcPr>
            <w:tcW w:w="8080" w:type="dxa"/>
            <w:tcBorders>
              <w:top w:val="single" w:sz="4" w:space="0" w:color="000000"/>
              <w:left w:val="single" w:sz="4" w:space="0" w:color="auto"/>
              <w:bottom w:val="single" w:sz="4" w:space="0" w:color="auto"/>
              <w:right w:val="single" w:sz="4" w:space="0" w:color="auto"/>
            </w:tcBorders>
            <w:vAlign w:val="center"/>
            <w:hideMark/>
          </w:tcPr>
          <w:p w14:paraId="1A81197C" w14:textId="27B57241" w:rsidR="00811C64" w:rsidRPr="00581683" w:rsidRDefault="00811C64" w:rsidP="00581683">
            <w:pPr>
              <w:spacing w:before="0" w:after="0" w:line="360" w:lineRule="auto"/>
              <w:ind w:left="365"/>
              <w:rPr>
                <w:rFonts w:eastAsia="Times New Roman" w:cs="Arial"/>
                <w:sz w:val="20"/>
                <w:szCs w:val="20"/>
              </w:rPr>
            </w:pPr>
            <w:r w:rsidRPr="00581683">
              <w:rPr>
                <w:rFonts w:eastAsia="Times New Roman" w:cs="Arial"/>
                <w:sz w:val="20"/>
                <w:szCs w:val="20"/>
              </w:rPr>
              <w:t>No. subject to off-payroll legislation and determined as out of scope</w:t>
            </w:r>
            <w:r w:rsidR="00581683">
              <w:rPr>
                <w:rFonts w:eastAsia="Times New Roman" w:cs="Arial"/>
                <w:sz w:val="20"/>
                <w:szCs w:val="20"/>
              </w:rPr>
              <w:t xml:space="preserve"> </w:t>
            </w:r>
            <w:r w:rsidRPr="00581683">
              <w:rPr>
                <w:rFonts w:eastAsia="Times New Roman" w:cs="Arial"/>
                <w:sz w:val="20"/>
                <w:szCs w:val="20"/>
              </w:rPr>
              <w:t>of IR35</w:t>
            </w:r>
          </w:p>
        </w:tc>
        <w:tc>
          <w:tcPr>
            <w:tcW w:w="1134" w:type="dxa"/>
            <w:tcBorders>
              <w:top w:val="single" w:sz="4" w:space="0" w:color="000000"/>
              <w:left w:val="nil"/>
              <w:bottom w:val="single" w:sz="4" w:space="0" w:color="auto"/>
              <w:right w:val="single" w:sz="4" w:space="0" w:color="000000"/>
            </w:tcBorders>
            <w:noWrap/>
            <w:vAlign w:val="center"/>
            <w:hideMark/>
          </w:tcPr>
          <w:p w14:paraId="65BB6A42" w14:textId="77777777" w:rsidR="00811C64" w:rsidRPr="00581683" w:rsidRDefault="00811C64" w:rsidP="00811C64">
            <w:pPr>
              <w:spacing w:before="0" w:after="0" w:line="360" w:lineRule="auto"/>
              <w:jc w:val="center"/>
              <w:rPr>
                <w:rFonts w:eastAsia="Times New Roman" w:cs="Arial"/>
                <w:sz w:val="20"/>
                <w:szCs w:val="20"/>
                <w:highlight w:val="red"/>
              </w:rPr>
            </w:pPr>
            <w:r w:rsidRPr="00581683">
              <w:rPr>
                <w:rFonts w:eastAsia="Times New Roman" w:cs="Arial"/>
                <w:sz w:val="20"/>
                <w:szCs w:val="20"/>
              </w:rPr>
              <w:t>1</w:t>
            </w:r>
          </w:p>
        </w:tc>
      </w:tr>
      <w:tr w:rsidR="00811C64" w14:paraId="4F7C6027" w14:textId="77777777" w:rsidTr="00811C64">
        <w:trPr>
          <w:trHeight w:val="424"/>
          <w:jc w:val="center"/>
        </w:trPr>
        <w:tc>
          <w:tcPr>
            <w:tcW w:w="8080" w:type="dxa"/>
            <w:tcBorders>
              <w:top w:val="single" w:sz="4" w:space="0" w:color="000000"/>
              <w:left w:val="single" w:sz="4" w:space="0" w:color="auto"/>
              <w:bottom w:val="single" w:sz="4" w:space="0" w:color="000000"/>
              <w:right w:val="single" w:sz="4" w:space="0" w:color="000000"/>
            </w:tcBorders>
            <w:vAlign w:val="center"/>
            <w:hideMark/>
          </w:tcPr>
          <w:p w14:paraId="420601B0" w14:textId="7B7D8668" w:rsidR="00811C64" w:rsidRPr="00581683" w:rsidRDefault="00811C64" w:rsidP="00581683">
            <w:pPr>
              <w:spacing w:before="0" w:after="0" w:line="360" w:lineRule="auto"/>
              <w:ind w:left="365"/>
              <w:rPr>
                <w:rFonts w:eastAsia="Times New Roman" w:cs="Arial"/>
                <w:sz w:val="20"/>
                <w:szCs w:val="20"/>
              </w:rPr>
            </w:pPr>
            <w:r w:rsidRPr="00581683">
              <w:rPr>
                <w:rFonts w:eastAsia="Times New Roman" w:cs="Arial"/>
                <w:sz w:val="20"/>
                <w:szCs w:val="20"/>
              </w:rPr>
              <w:t>No. of engagements reassessed for compliance or assurance</w:t>
            </w:r>
            <w:r w:rsidR="00581683">
              <w:rPr>
                <w:rFonts w:eastAsia="Times New Roman" w:cs="Arial"/>
                <w:sz w:val="20"/>
                <w:szCs w:val="20"/>
              </w:rPr>
              <w:t xml:space="preserve"> </w:t>
            </w:r>
            <w:r w:rsidRPr="00581683">
              <w:rPr>
                <w:rFonts w:eastAsia="Times New Roman" w:cs="Arial"/>
                <w:sz w:val="20"/>
                <w:szCs w:val="20"/>
              </w:rPr>
              <w:t>purposes during the year</w:t>
            </w:r>
          </w:p>
        </w:tc>
        <w:tc>
          <w:tcPr>
            <w:tcW w:w="1134" w:type="dxa"/>
            <w:tcBorders>
              <w:top w:val="single" w:sz="4" w:space="0" w:color="000000"/>
              <w:left w:val="single" w:sz="4" w:space="0" w:color="000000"/>
              <w:bottom w:val="single" w:sz="4" w:space="0" w:color="000000"/>
              <w:right w:val="single" w:sz="4" w:space="0" w:color="000000"/>
            </w:tcBorders>
            <w:noWrap/>
            <w:vAlign w:val="center"/>
            <w:hideMark/>
          </w:tcPr>
          <w:p w14:paraId="7B7B97D2" w14:textId="77777777" w:rsidR="00811C64" w:rsidRPr="00581683" w:rsidRDefault="00811C64" w:rsidP="00811C64">
            <w:pPr>
              <w:spacing w:before="0" w:after="0" w:line="360" w:lineRule="auto"/>
              <w:jc w:val="center"/>
              <w:rPr>
                <w:rFonts w:eastAsia="Times New Roman" w:cs="Arial"/>
                <w:sz w:val="20"/>
                <w:szCs w:val="20"/>
                <w:highlight w:val="red"/>
              </w:rPr>
            </w:pPr>
            <w:r w:rsidRPr="00581683">
              <w:rPr>
                <w:rFonts w:eastAsia="Times New Roman" w:cs="Arial"/>
                <w:sz w:val="20"/>
                <w:szCs w:val="20"/>
              </w:rPr>
              <w:t>0</w:t>
            </w:r>
          </w:p>
        </w:tc>
      </w:tr>
      <w:tr w:rsidR="00811C64" w14:paraId="696017AA" w14:textId="77777777" w:rsidTr="00811C64">
        <w:trPr>
          <w:trHeight w:val="424"/>
          <w:jc w:val="center"/>
        </w:trPr>
        <w:tc>
          <w:tcPr>
            <w:tcW w:w="8080" w:type="dxa"/>
            <w:tcBorders>
              <w:top w:val="single" w:sz="4" w:space="0" w:color="000000"/>
              <w:left w:val="single" w:sz="4" w:space="0" w:color="auto"/>
              <w:bottom w:val="single" w:sz="4" w:space="0" w:color="auto"/>
              <w:right w:val="single" w:sz="4" w:space="0" w:color="auto"/>
            </w:tcBorders>
            <w:vAlign w:val="center"/>
            <w:hideMark/>
          </w:tcPr>
          <w:p w14:paraId="15940854" w14:textId="4DC770F3" w:rsidR="00811C64" w:rsidRPr="00581683" w:rsidRDefault="00811C64" w:rsidP="00581683">
            <w:pPr>
              <w:spacing w:before="0" w:after="0" w:line="360" w:lineRule="auto"/>
              <w:ind w:left="365"/>
              <w:rPr>
                <w:rFonts w:eastAsia="Times New Roman" w:cs="Arial"/>
                <w:sz w:val="20"/>
                <w:szCs w:val="20"/>
              </w:rPr>
            </w:pPr>
            <w:r w:rsidRPr="00581683">
              <w:rPr>
                <w:rFonts w:eastAsia="Times New Roman" w:cs="Arial"/>
                <w:sz w:val="20"/>
                <w:szCs w:val="20"/>
              </w:rPr>
              <w:t>Of which: no. of engagements that saw a change to IR35 status</w:t>
            </w:r>
            <w:r w:rsidR="00581683">
              <w:rPr>
                <w:rFonts w:eastAsia="Times New Roman" w:cs="Arial"/>
                <w:sz w:val="20"/>
                <w:szCs w:val="20"/>
              </w:rPr>
              <w:t xml:space="preserve"> </w:t>
            </w:r>
            <w:r w:rsidRPr="00581683">
              <w:rPr>
                <w:rFonts w:eastAsia="Times New Roman" w:cs="Arial"/>
                <w:sz w:val="20"/>
                <w:szCs w:val="20"/>
              </w:rPr>
              <w:t>following review</w:t>
            </w:r>
          </w:p>
        </w:tc>
        <w:tc>
          <w:tcPr>
            <w:tcW w:w="1134" w:type="dxa"/>
            <w:tcBorders>
              <w:top w:val="single" w:sz="4" w:space="0" w:color="000000"/>
              <w:left w:val="nil"/>
              <w:bottom w:val="single" w:sz="4" w:space="0" w:color="auto"/>
              <w:right w:val="single" w:sz="4" w:space="0" w:color="000000"/>
            </w:tcBorders>
            <w:noWrap/>
            <w:vAlign w:val="center"/>
            <w:hideMark/>
          </w:tcPr>
          <w:p w14:paraId="6B103F7A" w14:textId="77777777" w:rsidR="00811C64" w:rsidRPr="00581683" w:rsidRDefault="00811C64" w:rsidP="00811C64">
            <w:pPr>
              <w:spacing w:before="0" w:after="0" w:line="360" w:lineRule="auto"/>
              <w:jc w:val="center"/>
              <w:rPr>
                <w:rFonts w:eastAsia="Times New Roman" w:cs="Arial"/>
                <w:sz w:val="20"/>
                <w:szCs w:val="20"/>
                <w:highlight w:val="red"/>
              </w:rPr>
            </w:pPr>
            <w:r w:rsidRPr="00581683">
              <w:rPr>
                <w:rFonts w:eastAsia="Times New Roman" w:cs="Arial"/>
                <w:sz w:val="20"/>
                <w:szCs w:val="20"/>
              </w:rPr>
              <w:t>0</w:t>
            </w:r>
          </w:p>
        </w:tc>
      </w:tr>
    </w:tbl>
    <w:p w14:paraId="2B8C921D" w14:textId="77777777" w:rsidR="00581683" w:rsidRDefault="00581683" w:rsidP="00811C64">
      <w:pPr>
        <w:spacing w:before="0" w:after="0"/>
        <w:rPr>
          <w:rFonts w:cs="Arial"/>
          <w:b/>
        </w:rPr>
      </w:pPr>
    </w:p>
    <w:p w14:paraId="210E9345" w14:textId="7744F589" w:rsidR="00811C64" w:rsidRPr="00811C64" w:rsidRDefault="00811C64" w:rsidP="00811C64">
      <w:pPr>
        <w:spacing w:before="0" w:after="0"/>
        <w:rPr>
          <w:rFonts w:cs="Arial"/>
          <w:b/>
        </w:rPr>
      </w:pPr>
      <w:r w:rsidRPr="00811C64">
        <w:rPr>
          <w:rFonts w:cs="Arial"/>
          <w:b/>
        </w:rPr>
        <w:t>Table 3: Off-payroll engagements / senior official engagements</w:t>
      </w:r>
    </w:p>
    <w:p w14:paraId="473470B8" w14:textId="77777777" w:rsidR="00811C64" w:rsidRPr="00811C64" w:rsidRDefault="00811C64" w:rsidP="00811C64">
      <w:pPr>
        <w:tabs>
          <w:tab w:val="left" w:pos="4420"/>
        </w:tabs>
        <w:spacing w:before="240" w:after="240"/>
        <w:rPr>
          <w:rFonts w:cs="Arial"/>
        </w:rPr>
      </w:pPr>
      <w:r w:rsidRPr="00811C64">
        <w:rPr>
          <w:rFonts w:cs="Arial"/>
        </w:rPr>
        <w:t xml:space="preserve">For any off-payroll engagements of Board members and / or senior officials with significant financial responsibility, between 01 April 2021 and 31 March 2022 </w:t>
      </w:r>
    </w:p>
    <w:tbl>
      <w:tblPr>
        <w:tblW w:w="9209" w:type="dxa"/>
        <w:jc w:val="center"/>
        <w:tblLook w:val="04A0" w:firstRow="1" w:lastRow="0" w:firstColumn="1" w:lastColumn="0" w:noHBand="0" w:noVBand="1"/>
      </w:tblPr>
      <w:tblGrid>
        <w:gridCol w:w="8075"/>
        <w:gridCol w:w="1134"/>
      </w:tblGrid>
      <w:tr w:rsidR="00811C64" w14:paraId="66A29584" w14:textId="77777777" w:rsidTr="00581683">
        <w:trPr>
          <w:trHeight w:val="709"/>
          <w:jc w:val="center"/>
        </w:trPr>
        <w:tc>
          <w:tcPr>
            <w:tcW w:w="8075" w:type="dxa"/>
            <w:tcBorders>
              <w:top w:val="single" w:sz="4" w:space="0" w:color="auto"/>
              <w:left w:val="single" w:sz="4" w:space="0" w:color="auto"/>
              <w:bottom w:val="single" w:sz="4" w:space="0" w:color="auto"/>
              <w:right w:val="nil"/>
            </w:tcBorders>
            <w:vAlign w:val="center"/>
            <w:hideMark/>
          </w:tcPr>
          <w:p w14:paraId="41D52B98" w14:textId="77777777" w:rsidR="00811C64" w:rsidRPr="00581683" w:rsidRDefault="00811C64" w:rsidP="00581683">
            <w:pPr>
              <w:spacing w:after="0"/>
              <w:rPr>
                <w:rFonts w:eastAsia="Times New Roman" w:cs="Arial"/>
                <w:sz w:val="20"/>
                <w:szCs w:val="20"/>
              </w:rPr>
            </w:pPr>
            <w:r w:rsidRPr="00581683">
              <w:rPr>
                <w:rFonts w:eastAsia="Times New Roman" w:cs="Arial"/>
                <w:sz w:val="20"/>
                <w:szCs w:val="20"/>
              </w:rPr>
              <w:t xml:space="preserve">Number of off-payroll engagements of board members, and/or senior officers with significant financial responsibility, during the financial year </w:t>
            </w:r>
          </w:p>
        </w:tc>
        <w:tc>
          <w:tcPr>
            <w:tcW w:w="1134" w:type="dxa"/>
            <w:tcBorders>
              <w:top w:val="single" w:sz="4" w:space="0" w:color="auto"/>
              <w:left w:val="single" w:sz="4" w:space="0" w:color="auto"/>
              <w:bottom w:val="single" w:sz="4" w:space="0" w:color="auto"/>
              <w:right w:val="single" w:sz="4" w:space="0" w:color="000000"/>
            </w:tcBorders>
            <w:noWrap/>
            <w:vAlign w:val="center"/>
            <w:hideMark/>
          </w:tcPr>
          <w:p w14:paraId="29F63D83" w14:textId="77777777" w:rsidR="00811C64" w:rsidRPr="00581683" w:rsidRDefault="00811C64">
            <w:pPr>
              <w:spacing w:after="0" w:line="360" w:lineRule="auto"/>
              <w:jc w:val="center"/>
              <w:rPr>
                <w:rFonts w:eastAsia="Times New Roman" w:cs="Arial"/>
                <w:sz w:val="20"/>
                <w:szCs w:val="20"/>
              </w:rPr>
            </w:pPr>
            <w:r w:rsidRPr="00581683">
              <w:rPr>
                <w:rFonts w:eastAsia="Times New Roman" w:cs="Arial"/>
                <w:sz w:val="20"/>
                <w:szCs w:val="20"/>
              </w:rPr>
              <w:t>0</w:t>
            </w:r>
          </w:p>
        </w:tc>
      </w:tr>
      <w:tr w:rsidR="00811C64" w14:paraId="06280967" w14:textId="77777777" w:rsidTr="00581683">
        <w:trPr>
          <w:trHeight w:val="1144"/>
          <w:jc w:val="center"/>
        </w:trPr>
        <w:tc>
          <w:tcPr>
            <w:tcW w:w="8075" w:type="dxa"/>
            <w:tcBorders>
              <w:top w:val="nil"/>
              <w:left w:val="single" w:sz="4" w:space="0" w:color="auto"/>
              <w:bottom w:val="single" w:sz="4" w:space="0" w:color="auto"/>
              <w:right w:val="nil"/>
            </w:tcBorders>
            <w:vAlign w:val="center"/>
            <w:hideMark/>
          </w:tcPr>
          <w:p w14:paraId="064EDB5F" w14:textId="77777777" w:rsidR="00811C64" w:rsidRPr="00581683" w:rsidRDefault="00811C64" w:rsidP="00581683">
            <w:pPr>
              <w:spacing w:after="0"/>
              <w:rPr>
                <w:rFonts w:eastAsia="Times New Roman" w:cs="Arial"/>
                <w:sz w:val="20"/>
                <w:szCs w:val="20"/>
              </w:rPr>
            </w:pPr>
            <w:r w:rsidRPr="00581683">
              <w:rPr>
                <w:rFonts w:eastAsia="Times New Roman" w:cs="Arial"/>
                <w:sz w:val="20"/>
                <w:szCs w:val="20"/>
              </w:rPr>
              <w:t xml:space="preserve">Total no. of individuals on payroll and off-payroll that have been deemed “board members, and/or, senior officials with significant financial responsibility”, during the financial year. This figure should include both on payroll and off-payroll engagements. </w:t>
            </w:r>
          </w:p>
        </w:tc>
        <w:tc>
          <w:tcPr>
            <w:tcW w:w="1134" w:type="dxa"/>
            <w:tcBorders>
              <w:top w:val="single" w:sz="4" w:space="0" w:color="auto"/>
              <w:left w:val="single" w:sz="4" w:space="0" w:color="auto"/>
              <w:bottom w:val="single" w:sz="4" w:space="0" w:color="auto"/>
              <w:right w:val="single" w:sz="4" w:space="0" w:color="000000"/>
            </w:tcBorders>
            <w:noWrap/>
            <w:vAlign w:val="center"/>
            <w:hideMark/>
          </w:tcPr>
          <w:p w14:paraId="1A428D00" w14:textId="75AA9E69" w:rsidR="00811C64" w:rsidRPr="00581683" w:rsidRDefault="003A3560">
            <w:pPr>
              <w:spacing w:after="0" w:line="360" w:lineRule="auto"/>
              <w:jc w:val="center"/>
              <w:rPr>
                <w:rFonts w:eastAsia="Times New Roman" w:cs="Arial"/>
                <w:sz w:val="20"/>
                <w:szCs w:val="20"/>
              </w:rPr>
            </w:pPr>
            <w:r>
              <w:rPr>
                <w:rFonts w:eastAsia="Times New Roman" w:cs="Arial"/>
                <w:sz w:val="20"/>
                <w:szCs w:val="20"/>
              </w:rPr>
              <w:t>16</w:t>
            </w:r>
          </w:p>
        </w:tc>
      </w:tr>
    </w:tbl>
    <w:p w14:paraId="65277EAC" w14:textId="77777777" w:rsidR="00CC15FC" w:rsidRDefault="00CC15FC" w:rsidP="00CC15FC">
      <w:pPr>
        <w:pStyle w:val="Heading3"/>
        <w:spacing w:before="240" w:after="240" w:line="360" w:lineRule="auto"/>
        <w:rPr>
          <w:rFonts w:cs="Arial"/>
          <w:color w:val="auto"/>
          <w:szCs w:val="24"/>
        </w:rPr>
        <w:sectPr w:rsidR="00CC15FC" w:rsidSect="00A35339">
          <w:pgSz w:w="11906" w:h="16838"/>
          <w:pgMar w:top="-1418" w:right="1133" w:bottom="993" w:left="1440" w:header="680" w:footer="170" w:gutter="0"/>
          <w:cols w:space="708"/>
          <w:docGrid w:linePitch="360"/>
        </w:sectPr>
      </w:pPr>
    </w:p>
    <w:p w14:paraId="3C3281E8" w14:textId="2BDE66B5" w:rsidR="00933CE1" w:rsidRDefault="00933CE1" w:rsidP="00B71FAD">
      <w:pPr>
        <w:pStyle w:val="Heading2"/>
        <w:rPr>
          <w:rFonts w:asciiTheme="minorHAnsi" w:eastAsiaTheme="minorHAnsi" w:hAnsiTheme="minorHAnsi"/>
          <w:noProof w:val="0"/>
        </w:rPr>
      </w:pPr>
      <w:bookmarkStart w:id="171" w:name="_Toc103695073"/>
      <w:r>
        <w:lastRenderedPageBreak/>
        <w:t>Other payments during 2021-22 (subject to audit)</w:t>
      </w:r>
      <w:bookmarkEnd w:id="171"/>
    </w:p>
    <w:p w14:paraId="78AE7BDE" w14:textId="77777777" w:rsidR="00933CE1" w:rsidRDefault="00933CE1" w:rsidP="00933CE1">
      <w:r>
        <w:t>The CCG can confirm that there were no senior manager service contracts, exit packages, severance packages or off payroll engagements made during 2021-22.</w:t>
      </w:r>
    </w:p>
    <w:p w14:paraId="58D2E4A4" w14:textId="77777777" w:rsidR="00933CE1" w:rsidRDefault="00933CE1" w:rsidP="00933CE1">
      <w:r>
        <w:t>There was no compensation for early retirement or loss of office or payments to past directors during 2021-22. The CCG has no losses or special payments to report in 2021-22, however a contractual payment in relation to an agreed departure was made to the value of £5.6k was made in 2021-22, this cost was shared with NHS North Lincolnshire CCG, this equated to £2.8k per CCG.</w:t>
      </w:r>
    </w:p>
    <w:p w14:paraId="2D9A3E1F" w14:textId="220C671B" w:rsidR="00933CE1" w:rsidRDefault="00933CE1" w:rsidP="00B71FAD">
      <w:pPr>
        <w:pStyle w:val="Heading2"/>
        <w:rPr>
          <w:highlight w:val="yellow"/>
        </w:rPr>
      </w:pPr>
      <w:bookmarkStart w:id="172" w:name="_Toc103695074"/>
      <w:r>
        <w:t>Expenditure on consultancy (subject to audit)</w:t>
      </w:r>
      <w:bookmarkEnd w:id="172"/>
    </w:p>
    <w:p w14:paraId="114DFD3D" w14:textId="77777777" w:rsidR="00933CE1" w:rsidRDefault="00933CE1" w:rsidP="00933CE1">
      <w:r>
        <w:t>There was expenditure of £5,906 for the provision to management of objective advice and assistance outside of the 'business as usual' environment relating to strategy, structure, management or operations of an organisation in pursuit of its purposes and objectives, i.e. consultancy expenditure.</w:t>
      </w:r>
    </w:p>
    <w:p w14:paraId="31A3326F" w14:textId="77777777" w:rsidR="00CC15FC" w:rsidRDefault="00CC15FC" w:rsidP="00B71FAD">
      <w:pPr>
        <w:pStyle w:val="Heading2"/>
      </w:pPr>
      <w:bookmarkStart w:id="173" w:name="_Toc468966573"/>
      <w:bookmarkStart w:id="174" w:name="_Toc103695075"/>
      <w:r>
        <w:t>Parliamentary Accountability and Audit Report</w:t>
      </w:r>
      <w:bookmarkEnd w:id="173"/>
      <w:bookmarkEnd w:id="174"/>
    </w:p>
    <w:p w14:paraId="0B6F1357" w14:textId="6ACA7976" w:rsidR="00827EE4" w:rsidRDefault="00A3482F" w:rsidP="009A15D1">
      <w:pPr>
        <w:spacing w:before="240" w:after="240"/>
        <w:rPr>
          <w:rFonts w:cs="Arial"/>
          <w:iCs/>
        </w:rPr>
      </w:pPr>
      <w:r w:rsidRPr="00F20882">
        <w:rPr>
          <w:rFonts w:cs="Arial"/>
          <w:iCs/>
        </w:rPr>
        <w:t>NHS Hull Clinical Commissioning Group</w:t>
      </w:r>
      <w:r w:rsidR="00CC15FC" w:rsidRPr="00F20882">
        <w:rPr>
          <w:rFonts w:cs="Arial"/>
          <w:iCs/>
        </w:rPr>
        <w:t xml:space="preserve"> is not required to produce a Parliamentary Accountability and Audit Report but has opted to include disclosures on remote contingent liabilities, losses and special payments, gifts, and fees and charges in this Accountability </w:t>
      </w:r>
      <w:r w:rsidR="00CC15FC" w:rsidRPr="00D326D4">
        <w:rPr>
          <w:rFonts w:cs="Arial"/>
          <w:iCs/>
        </w:rPr>
        <w:t xml:space="preserve">Report at </w:t>
      </w:r>
      <w:r w:rsidR="00827EE4" w:rsidRPr="00D326D4">
        <w:rPr>
          <w:rFonts w:cs="Arial"/>
          <w:iCs/>
        </w:rPr>
        <w:t xml:space="preserve">pages </w:t>
      </w:r>
      <w:r w:rsidR="008B517E" w:rsidRPr="00D326D4">
        <w:rPr>
          <w:rFonts w:cs="Arial"/>
          <w:iCs/>
        </w:rPr>
        <w:t>82</w:t>
      </w:r>
      <w:r w:rsidR="00827EE4" w:rsidRPr="00D326D4">
        <w:rPr>
          <w:rFonts w:cs="Arial"/>
          <w:iCs/>
        </w:rPr>
        <w:t xml:space="preserve"> and 9</w:t>
      </w:r>
      <w:r w:rsidR="008B517E" w:rsidRPr="00D326D4">
        <w:rPr>
          <w:rFonts w:cs="Arial"/>
          <w:iCs/>
        </w:rPr>
        <w:t>5</w:t>
      </w:r>
      <w:r w:rsidR="00827EE4" w:rsidRPr="00D326D4">
        <w:rPr>
          <w:rFonts w:cs="Arial"/>
          <w:iCs/>
        </w:rPr>
        <w:t>.</w:t>
      </w:r>
    </w:p>
    <w:p w14:paraId="14D3923F" w14:textId="3F45A5BB" w:rsidR="00CC15FC" w:rsidRPr="00F20882" w:rsidRDefault="00CC15FC" w:rsidP="009A15D1">
      <w:pPr>
        <w:spacing w:before="240" w:after="240"/>
        <w:rPr>
          <w:rFonts w:cs="Arial"/>
          <w:iCs/>
        </w:rPr>
      </w:pPr>
      <w:r w:rsidRPr="00F20882">
        <w:rPr>
          <w:rFonts w:cs="Arial"/>
          <w:iCs/>
        </w:rPr>
        <w:t xml:space="preserve">An audit certificate and report is also included in this Annual Report at </w:t>
      </w:r>
      <w:r w:rsidRPr="00D326D4">
        <w:rPr>
          <w:rFonts w:cs="Arial"/>
          <w:iCs/>
          <w:highlight w:val="yellow"/>
        </w:rPr>
        <w:t>[insert page reference].</w:t>
      </w:r>
    </w:p>
    <w:p w14:paraId="01753ACA" w14:textId="599FDF4B" w:rsidR="00633F7D" w:rsidRPr="00021A18" w:rsidRDefault="007428AE" w:rsidP="00B66DE2">
      <w:pPr>
        <w:pStyle w:val="Heading1"/>
      </w:pPr>
      <w:r w:rsidRPr="00A558A4">
        <w:br w:type="page"/>
      </w:r>
      <w:bookmarkStart w:id="175" w:name="_Toc512957171"/>
      <w:bookmarkStart w:id="176" w:name="_Toc103695076"/>
      <w:r w:rsidR="00633F7D" w:rsidRPr="00021A18">
        <w:lastRenderedPageBreak/>
        <w:t>ANNUAL ACCOUNTS</w:t>
      </w:r>
      <w:bookmarkEnd w:id="175"/>
      <w:r w:rsidR="00633F7D" w:rsidRPr="00021A18">
        <w:t xml:space="preserve"> </w:t>
      </w:r>
      <w:r w:rsidR="001B17E6">
        <w:t>202</w:t>
      </w:r>
      <w:r w:rsidR="003B09AB">
        <w:t>1</w:t>
      </w:r>
      <w:r w:rsidR="001B17E6">
        <w:t>-2</w:t>
      </w:r>
      <w:r w:rsidR="003B09AB">
        <w:t>2</w:t>
      </w:r>
      <w:bookmarkEnd w:id="176"/>
    </w:p>
    <w:p w14:paraId="095D1547" w14:textId="77777777" w:rsidR="00D44045" w:rsidRPr="00A558A4" w:rsidRDefault="00D44045" w:rsidP="00B66DE2">
      <w:pPr>
        <w:spacing w:line="240" w:lineRule="auto"/>
        <w:rPr>
          <w:rFonts w:cs="Arial"/>
        </w:rPr>
      </w:pPr>
    </w:p>
    <w:p w14:paraId="5305F99E" w14:textId="77777777" w:rsidR="00633F7D" w:rsidRPr="00A558A4" w:rsidRDefault="00633F7D" w:rsidP="00B66DE2">
      <w:pPr>
        <w:pStyle w:val="Heading1"/>
        <w:spacing w:line="240" w:lineRule="auto"/>
        <w:rPr>
          <w:rFonts w:cs="Arial"/>
          <w:sz w:val="22"/>
        </w:rPr>
      </w:pPr>
    </w:p>
    <w:p w14:paraId="274609EA" w14:textId="77777777" w:rsidR="00EC0BD0" w:rsidRPr="00A558A4" w:rsidRDefault="00EC0BD0" w:rsidP="00B66DE2">
      <w:pPr>
        <w:spacing w:line="240" w:lineRule="auto"/>
        <w:rPr>
          <w:rFonts w:cs="Arial"/>
        </w:rPr>
      </w:pPr>
    </w:p>
    <w:p w14:paraId="44F71A31" w14:textId="77777777" w:rsidR="00EC0BD0" w:rsidRPr="00A558A4" w:rsidRDefault="00EC0BD0" w:rsidP="00B66DE2">
      <w:pPr>
        <w:spacing w:line="240" w:lineRule="auto"/>
        <w:rPr>
          <w:rFonts w:cs="Arial"/>
        </w:rPr>
      </w:pPr>
    </w:p>
    <w:p w14:paraId="56B4AEE1" w14:textId="77777777" w:rsidR="00EC0BD0" w:rsidRPr="00A558A4" w:rsidRDefault="00EC0BD0" w:rsidP="00B66DE2">
      <w:pPr>
        <w:spacing w:line="240" w:lineRule="auto"/>
        <w:rPr>
          <w:rFonts w:cs="Arial"/>
        </w:rPr>
      </w:pPr>
    </w:p>
    <w:p w14:paraId="6CA5C8D9" w14:textId="77777777" w:rsidR="00EC0BD0" w:rsidRPr="00A558A4" w:rsidRDefault="00EC0BD0" w:rsidP="00B66DE2">
      <w:pPr>
        <w:spacing w:line="240" w:lineRule="auto"/>
        <w:rPr>
          <w:rFonts w:cs="Arial"/>
        </w:rPr>
      </w:pPr>
    </w:p>
    <w:p w14:paraId="2F17283E" w14:textId="77777777" w:rsidR="00EC0BD0" w:rsidRPr="00A558A4" w:rsidRDefault="00EC0BD0" w:rsidP="00B66DE2">
      <w:pPr>
        <w:spacing w:line="240" w:lineRule="auto"/>
        <w:rPr>
          <w:rFonts w:cs="Arial"/>
        </w:rPr>
      </w:pPr>
    </w:p>
    <w:p w14:paraId="266F8C4C" w14:textId="77777777" w:rsidR="00EC0BD0" w:rsidRPr="00A558A4" w:rsidRDefault="00EC0BD0" w:rsidP="00B66DE2">
      <w:pPr>
        <w:spacing w:line="240" w:lineRule="auto"/>
        <w:rPr>
          <w:rFonts w:cs="Arial"/>
        </w:rPr>
      </w:pPr>
    </w:p>
    <w:p w14:paraId="2065F4D0" w14:textId="77777777" w:rsidR="00EC0BD0" w:rsidRPr="00A558A4" w:rsidRDefault="00EC0BD0" w:rsidP="00B66DE2">
      <w:pPr>
        <w:spacing w:line="240" w:lineRule="auto"/>
        <w:rPr>
          <w:rFonts w:cs="Arial"/>
        </w:rPr>
      </w:pPr>
    </w:p>
    <w:p w14:paraId="026D81B2" w14:textId="77777777" w:rsidR="00E23F90" w:rsidRPr="00A558A4" w:rsidRDefault="00E23F90" w:rsidP="00B66DE2">
      <w:pPr>
        <w:spacing w:line="240" w:lineRule="auto"/>
        <w:rPr>
          <w:rFonts w:cs="Arial"/>
        </w:rPr>
      </w:pPr>
    </w:p>
    <w:p w14:paraId="3E152AA2" w14:textId="77777777" w:rsidR="00E23F90" w:rsidRPr="00A558A4" w:rsidRDefault="00E23F90" w:rsidP="00B66DE2">
      <w:pPr>
        <w:spacing w:line="240" w:lineRule="auto"/>
        <w:rPr>
          <w:rFonts w:cs="Arial"/>
        </w:rPr>
      </w:pPr>
    </w:p>
    <w:p w14:paraId="4D115FB2" w14:textId="77777777" w:rsidR="007428AE" w:rsidRPr="00A558A4" w:rsidRDefault="007428AE" w:rsidP="00B66DE2">
      <w:pPr>
        <w:spacing w:before="0" w:after="0" w:line="240" w:lineRule="auto"/>
        <w:rPr>
          <w:rFonts w:eastAsia="Times New Roman" w:cs="Arial"/>
        </w:rPr>
      </w:pPr>
    </w:p>
    <w:p w14:paraId="2E910E26" w14:textId="77777777" w:rsidR="007428AE" w:rsidRPr="00A558A4" w:rsidRDefault="007428AE" w:rsidP="00B66DE2">
      <w:pPr>
        <w:spacing w:before="0" w:after="0" w:line="240" w:lineRule="auto"/>
        <w:rPr>
          <w:rFonts w:eastAsia="Times New Roman" w:cs="Arial"/>
        </w:rPr>
      </w:pPr>
    </w:p>
    <w:p w14:paraId="0DD8A385" w14:textId="77777777" w:rsidR="007428AE" w:rsidRPr="00A558A4" w:rsidRDefault="007428AE" w:rsidP="00B66DE2">
      <w:pPr>
        <w:spacing w:before="0" w:after="0" w:line="240" w:lineRule="auto"/>
        <w:rPr>
          <w:rFonts w:eastAsia="Times New Roman" w:cs="Arial"/>
        </w:rPr>
      </w:pPr>
    </w:p>
    <w:p w14:paraId="4B05E561" w14:textId="77777777" w:rsidR="007428AE" w:rsidRPr="00A558A4" w:rsidRDefault="007428AE" w:rsidP="00B66DE2">
      <w:pPr>
        <w:spacing w:before="0" w:after="0" w:line="240" w:lineRule="auto"/>
        <w:rPr>
          <w:rFonts w:eastAsia="Times New Roman" w:cs="Arial"/>
        </w:rPr>
      </w:pPr>
    </w:p>
    <w:p w14:paraId="3C3D9FB1" w14:textId="77777777" w:rsidR="007428AE" w:rsidRPr="00A558A4" w:rsidRDefault="007428AE" w:rsidP="00B66DE2">
      <w:pPr>
        <w:spacing w:before="0" w:after="0" w:line="240" w:lineRule="auto"/>
        <w:rPr>
          <w:rFonts w:eastAsia="Times New Roman" w:cs="Arial"/>
        </w:rPr>
      </w:pPr>
    </w:p>
    <w:p w14:paraId="232420E5" w14:textId="77777777" w:rsidR="007428AE" w:rsidRPr="00A558A4" w:rsidRDefault="007428AE" w:rsidP="00B66DE2">
      <w:pPr>
        <w:spacing w:before="0" w:after="0" w:line="240" w:lineRule="auto"/>
        <w:rPr>
          <w:rFonts w:eastAsia="Times New Roman" w:cs="Arial"/>
        </w:rPr>
      </w:pPr>
    </w:p>
    <w:p w14:paraId="3C0EB1A1" w14:textId="77777777" w:rsidR="007428AE" w:rsidRPr="00A558A4" w:rsidRDefault="007428AE" w:rsidP="00B66DE2">
      <w:pPr>
        <w:spacing w:before="0" w:after="0" w:line="240" w:lineRule="auto"/>
        <w:rPr>
          <w:rFonts w:eastAsia="Times New Roman" w:cs="Arial"/>
        </w:rPr>
      </w:pPr>
    </w:p>
    <w:p w14:paraId="1AC14F6C" w14:textId="77777777" w:rsidR="007428AE" w:rsidRPr="00A558A4" w:rsidRDefault="007428AE" w:rsidP="00B66DE2">
      <w:pPr>
        <w:spacing w:before="0" w:after="0" w:line="240" w:lineRule="auto"/>
        <w:rPr>
          <w:rFonts w:eastAsia="Times New Roman" w:cs="Arial"/>
        </w:rPr>
      </w:pPr>
    </w:p>
    <w:p w14:paraId="0510A539" w14:textId="77777777" w:rsidR="007428AE" w:rsidRPr="00A558A4" w:rsidRDefault="007428AE" w:rsidP="00B66DE2">
      <w:pPr>
        <w:spacing w:before="0" w:after="0" w:line="240" w:lineRule="auto"/>
        <w:rPr>
          <w:rFonts w:eastAsia="Times New Roman" w:cs="Arial"/>
        </w:rPr>
      </w:pPr>
    </w:p>
    <w:p w14:paraId="6A9F3E04" w14:textId="77777777" w:rsidR="007428AE" w:rsidRPr="00A558A4" w:rsidRDefault="007428AE" w:rsidP="00B66DE2">
      <w:pPr>
        <w:spacing w:before="0" w:after="0" w:line="240" w:lineRule="auto"/>
        <w:rPr>
          <w:rFonts w:eastAsia="Times New Roman" w:cs="Arial"/>
        </w:rPr>
      </w:pPr>
    </w:p>
    <w:p w14:paraId="7A1B1623" w14:textId="77777777" w:rsidR="007428AE" w:rsidRPr="00A558A4" w:rsidRDefault="007428AE" w:rsidP="00B66DE2">
      <w:pPr>
        <w:spacing w:before="0" w:after="0" w:line="240" w:lineRule="auto"/>
        <w:rPr>
          <w:rFonts w:eastAsia="Times New Roman" w:cs="Arial"/>
        </w:rPr>
      </w:pPr>
    </w:p>
    <w:p w14:paraId="7C2D3220" w14:textId="77777777" w:rsidR="007428AE" w:rsidRPr="00A558A4" w:rsidRDefault="007428AE" w:rsidP="00B66DE2">
      <w:pPr>
        <w:spacing w:before="0" w:after="0" w:line="240" w:lineRule="auto"/>
        <w:rPr>
          <w:rFonts w:eastAsia="Times New Roman" w:cs="Arial"/>
        </w:rPr>
      </w:pPr>
    </w:p>
    <w:p w14:paraId="6CE8E7BD" w14:textId="77777777" w:rsidR="007428AE" w:rsidRPr="00A558A4" w:rsidRDefault="007428AE" w:rsidP="00B66DE2">
      <w:pPr>
        <w:spacing w:before="0" w:after="0" w:line="240" w:lineRule="auto"/>
        <w:rPr>
          <w:rFonts w:eastAsia="Times New Roman" w:cs="Arial"/>
        </w:rPr>
      </w:pPr>
    </w:p>
    <w:p w14:paraId="3E0F3013" w14:textId="77777777" w:rsidR="00905FA4" w:rsidRPr="00A558A4" w:rsidRDefault="00905FA4" w:rsidP="00B66DE2">
      <w:pPr>
        <w:spacing w:before="0" w:after="0" w:line="240" w:lineRule="auto"/>
        <w:rPr>
          <w:rFonts w:eastAsia="Times New Roman" w:cs="Arial"/>
        </w:rPr>
      </w:pPr>
    </w:p>
    <w:p w14:paraId="67B430D3" w14:textId="77777777" w:rsidR="00905FA4" w:rsidRPr="00A558A4" w:rsidRDefault="00905FA4" w:rsidP="00B66DE2">
      <w:pPr>
        <w:spacing w:before="0" w:after="0" w:line="240" w:lineRule="auto"/>
        <w:rPr>
          <w:rFonts w:eastAsia="Times New Roman" w:cs="Arial"/>
        </w:rPr>
      </w:pPr>
    </w:p>
    <w:p w14:paraId="06C20C63" w14:textId="77777777" w:rsidR="00905FA4" w:rsidRPr="00A558A4" w:rsidRDefault="00905FA4" w:rsidP="00B66DE2">
      <w:pPr>
        <w:spacing w:before="0" w:after="0" w:line="240" w:lineRule="auto"/>
        <w:rPr>
          <w:rFonts w:eastAsia="Times New Roman" w:cs="Arial"/>
        </w:rPr>
      </w:pPr>
    </w:p>
    <w:p w14:paraId="5D61DD7F" w14:textId="77777777" w:rsidR="00905FA4" w:rsidRPr="00A558A4" w:rsidRDefault="00905FA4" w:rsidP="00B66DE2">
      <w:pPr>
        <w:spacing w:before="0" w:after="0" w:line="240" w:lineRule="auto"/>
        <w:rPr>
          <w:rFonts w:eastAsia="Times New Roman" w:cs="Arial"/>
        </w:rPr>
      </w:pPr>
    </w:p>
    <w:p w14:paraId="0E7B3F6F" w14:textId="77777777" w:rsidR="00905FA4" w:rsidRPr="00A558A4" w:rsidRDefault="00905FA4" w:rsidP="00B66DE2">
      <w:pPr>
        <w:spacing w:before="0" w:after="0" w:line="240" w:lineRule="auto"/>
        <w:rPr>
          <w:rFonts w:eastAsia="Times New Roman" w:cs="Arial"/>
        </w:rPr>
      </w:pPr>
    </w:p>
    <w:p w14:paraId="293D4730" w14:textId="77777777" w:rsidR="00905FA4" w:rsidRPr="00A558A4" w:rsidRDefault="00905FA4" w:rsidP="00B66DE2">
      <w:pPr>
        <w:spacing w:before="0" w:after="0" w:line="240" w:lineRule="auto"/>
        <w:rPr>
          <w:rFonts w:eastAsia="Times New Roman" w:cs="Arial"/>
        </w:rPr>
      </w:pPr>
    </w:p>
    <w:p w14:paraId="2EE0C951" w14:textId="77777777" w:rsidR="00647A4A" w:rsidRPr="00A558A4" w:rsidRDefault="001957B6" w:rsidP="00B66DE2">
      <w:pPr>
        <w:spacing w:before="0" w:after="0" w:line="240" w:lineRule="auto"/>
        <w:rPr>
          <w:rFonts w:eastAsia="Times New Roman" w:cs="Arial"/>
        </w:rPr>
      </w:pPr>
      <w:r w:rsidRPr="00A558A4">
        <w:rPr>
          <w:rFonts w:eastAsia="Times New Roman" w:cs="Arial"/>
        </w:rPr>
        <w:t>Emma Latimer</w:t>
      </w:r>
    </w:p>
    <w:p w14:paraId="0097E9D8" w14:textId="77777777" w:rsidR="00647A4A" w:rsidRPr="00A558A4" w:rsidRDefault="00647A4A" w:rsidP="00B66DE2">
      <w:pPr>
        <w:spacing w:before="0" w:after="0" w:line="240" w:lineRule="auto"/>
        <w:rPr>
          <w:rFonts w:eastAsia="Times New Roman" w:cs="Arial"/>
        </w:rPr>
      </w:pPr>
      <w:r w:rsidRPr="00A558A4">
        <w:rPr>
          <w:rFonts w:eastAsia="Times New Roman" w:cs="Arial"/>
        </w:rPr>
        <w:t>Accountable Officer</w:t>
      </w:r>
    </w:p>
    <w:p w14:paraId="5EF2A689" w14:textId="77777777" w:rsidR="00EF41B6" w:rsidRPr="007B6D21" w:rsidRDefault="00EF41B6" w:rsidP="00B66DE2">
      <w:pPr>
        <w:spacing w:before="0" w:after="0" w:line="240" w:lineRule="auto"/>
        <w:rPr>
          <w:rFonts w:eastAsia="Times New Roman" w:cs="Arial"/>
        </w:rPr>
      </w:pPr>
      <w:r w:rsidRPr="007B6D21">
        <w:rPr>
          <w:rFonts w:eastAsia="Times New Roman" w:cs="Arial"/>
        </w:rPr>
        <w:t>Authorised for issue</w:t>
      </w:r>
    </w:p>
    <w:p w14:paraId="1DEBAFE9" w14:textId="5ED76C1A" w:rsidR="00633F7D" w:rsidRDefault="00633F7D" w:rsidP="00B66DE2">
      <w:pPr>
        <w:spacing w:before="0" w:after="0" w:line="240" w:lineRule="auto"/>
        <w:rPr>
          <w:rFonts w:eastAsia="Times New Roman" w:cs="Arial"/>
        </w:rPr>
      </w:pPr>
    </w:p>
    <w:p w14:paraId="095B0926" w14:textId="272387E4" w:rsidR="00181694" w:rsidRPr="00A558A4" w:rsidRDefault="00181694" w:rsidP="00B66DE2">
      <w:pPr>
        <w:spacing w:before="0" w:after="0" w:line="240" w:lineRule="auto"/>
        <w:rPr>
          <w:rFonts w:cs="Arial"/>
        </w:rPr>
      </w:pPr>
      <w:r>
        <w:rPr>
          <w:rFonts w:eastAsia="Times New Roman" w:cs="Arial"/>
        </w:rPr>
        <w:t>27 May 2022</w:t>
      </w:r>
    </w:p>
    <w:sectPr w:rsidR="00181694" w:rsidRPr="00A558A4" w:rsidSect="0092446A">
      <w:headerReference w:type="even" r:id="rId63"/>
      <w:headerReference w:type="default" r:id="rId64"/>
      <w:footerReference w:type="default" r:id="rId65"/>
      <w:pgSz w:w="11906" w:h="16838"/>
      <w:pgMar w:top="1440" w:right="1440" w:bottom="567"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84109" w14:textId="77777777" w:rsidR="00D02E95" w:rsidRDefault="00D02E95" w:rsidP="00DA4D65">
      <w:r>
        <w:separator/>
      </w:r>
    </w:p>
  </w:endnote>
  <w:endnote w:type="continuationSeparator" w:id="0">
    <w:p w14:paraId="7DD18D85" w14:textId="77777777" w:rsidR="00D02E95" w:rsidRDefault="00D02E95" w:rsidP="00DA4D65">
      <w:r>
        <w:continuationSeparator/>
      </w:r>
    </w:p>
  </w:endnote>
  <w:endnote w:type="continuationNotice" w:id="1">
    <w:p w14:paraId="0A7671CB" w14:textId="77777777" w:rsidR="00D02E95" w:rsidRDefault="00D02E95" w:rsidP="00DA4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nion Pro">
    <w:altName w:val="Minion Pro"/>
    <w:panose1 w:val="00000000000000000000"/>
    <w:charset w:val="00"/>
    <w:family w:val="roman"/>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172645"/>
      <w:docPartObj>
        <w:docPartGallery w:val="Page Numbers (Bottom of Page)"/>
        <w:docPartUnique/>
      </w:docPartObj>
    </w:sdtPr>
    <w:sdtEndPr/>
    <w:sdtContent>
      <w:p w14:paraId="2814529F" w14:textId="77777777" w:rsidR="00D02E95" w:rsidRPr="00863ABF" w:rsidRDefault="00D02E95" w:rsidP="00DA4D65">
        <w:pPr>
          <w:pStyle w:val="Footer"/>
        </w:pPr>
        <w:r w:rsidRPr="00EA054E">
          <w:rPr>
            <w:sz w:val="16"/>
            <w:szCs w:val="16"/>
          </w:rPr>
          <w:ptab w:relativeTo="margin" w:alignment="center" w:leader="none"/>
        </w:r>
        <w:r w:rsidRPr="00EA054E">
          <w:rPr>
            <w:sz w:val="16"/>
            <w:szCs w:val="16"/>
          </w:rPr>
          <w:t xml:space="preserve">Page </w:t>
        </w:r>
        <w:r w:rsidRPr="00EA054E">
          <w:rPr>
            <w:sz w:val="16"/>
            <w:szCs w:val="16"/>
          </w:rPr>
          <w:fldChar w:fldCharType="begin"/>
        </w:r>
        <w:r w:rsidRPr="00EA054E">
          <w:rPr>
            <w:sz w:val="16"/>
            <w:szCs w:val="16"/>
          </w:rPr>
          <w:instrText xml:space="preserve"> PAGE   \* MERGEFORMAT </w:instrText>
        </w:r>
        <w:r w:rsidRPr="00EA054E">
          <w:rPr>
            <w:sz w:val="16"/>
            <w:szCs w:val="16"/>
          </w:rPr>
          <w:fldChar w:fldCharType="separate"/>
        </w:r>
        <w:r>
          <w:rPr>
            <w:sz w:val="16"/>
            <w:szCs w:val="16"/>
          </w:rPr>
          <w:t>59</w:t>
        </w:r>
        <w:r w:rsidRPr="00EA054E">
          <w:rPr>
            <w:sz w:val="16"/>
            <w:szCs w:val="16"/>
          </w:rPr>
          <w:fldChar w:fldCharType="end"/>
        </w:r>
        <w:r w:rsidRPr="00FB11FA">
          <w:ptab w:relativeTo="margin" w:alignment="right" w:leader="none"/>
        </w:r>
      </w:p>
    </w:sdtContent>
  </w:sdt>
  <w:p w14:paraId="2EB267B8" w14:textId="77777777" w:rsidR="00D02E95" w:rsidRDefault="00D02E95" w:rsidP="00DA4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08529527"/>
      <w:docPartObj>
        <w:docPartGallery w:val="Page Numbers (Bottom of Page)"/>
        <w:docPartUnique/>
      </w:docPartObj>
    </w:sdtPr>
    <w:sdtEndPr/>
    <w:sdtContent>
      <w:sdt>
        <w:sdtPr>
          <w:rPr>
            <w:sz w:val="16"/>
            <w:szCs w:val="16"/>
          </w:rPr>
          <w:id w:val="1883982318"/>
          <w:docPartObj>
            <w:docPartGallery w:val="Page Numbers (Top of Page)"/>
            <w:docPartUnique/>
          </w:docPartObj>
        </w:sdtPr>
        <w:sdtEndPr/>
        <w:sdtContent>
          <w:p w14:paraId="615ED615" w14:textId="77777777" w:rsidR="00D02E95" w:rsidRPr="00EA054E" w:rsidRDefault="00D02E95" w:rsidP="00EA054E">
            <w:pPr>
              <w:pStyle w:val="Footer"/>
              <w:jc w:val="center"/>
              <w:rPr>
                <w:sz w:val="16"/>
                <w:szCs w:val="16"/>
              </w:rPr>
            </w:pPr>
            <w:r w:rsidRPr="00EA054E">
              <w:rPr>
                <w:sz w:val="16"/>
                <w:szCs w:val="16"/>
              </w:rPr>
              <w:t xml:space="preserve">Page </w:t>
            </w:r>
            <w:r w:rsidRPr="00EA054E">
              <w:rPr>
                <w:sz w:val="16"/>
                <w:szCs w:val="16"/>
              </w:rPr>
              <w:fldChar w:fldCharType="begin"/>
            </w:r>
            <w:r w:rsidRPr="00EA054E">
              <w:rPr>
                <w:sz w:val="16"/>
                <w:szCs w:val="16"/>
              </w:rPr>
              <w:instrText xml:space="preserve"> PAGE </w:instrText>
            </w:r>
            <w:r w:rsidRPr="00EA054E">
              <w:rPr>
                <w:sz w:val="16"/>
                <w:szCs w:val="16"/>
              </w:rPr>
              <w:fldChar w:fldCharType="separate"/>
            </w:r>
            <w:r>
              <w:rPr>
                <w:sz w:val="16"/>
                <w:szCs w:val="16"/>
              </w:rPr>
              <w:t>88</w:t>
            </w:r>
            <w:r w:rsidRPr="00EA054E">
              <w:rPr>
                <w:sz w:val="16"/>
                <w:szCs w:val="16"/>
              </w:rPr>
              <w:fldChar w:fldCharType="end"/>
            </w:r>
          </w:p>
        </w:sdtContent>
      </w:sdt>
    </w:sdtContent>
  </w:sdt>
  <w:p w14:paraId="0E47D1DA" w14:textId="77777777" w:rsidR="00D02E95" w:rsidRDefault="00D02E95" w:rsidP="00DA4D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E327" w14:textId="77777777" w:rsidR="00D02E95" w:rsidRDefault="00D02E95" w:rsidP="00DA4D65">
      <w:r>
        <w:separator/>
      </w:r>
    </w:p>
  </w:footnote>
  <w:footnote w:type="continuationSeparator" w:id="0">
    <w:p w14:paraId="350E5004" w14:textId="77777777" w:rsidR="00D02E95" w:rsidRDefault="00D02E95" w:rsidP="00DA4D65">
      <w:r>
        <w:continuationSeparator/>
      </w:r>
    </w:p>
  </w:footnote>
  <w:footnote w:type="continuationNotice" w:id="1">
    <w:p w14:paraId="57A199B0" w14:textId="77777777" w:rsidR="00D02E95" w:rsidRDefault="00D02E95" w:rsidP="00DA4D65"/>
  </w:footnote>
  <w:footnote w:id="2">
    <w:p w14:paraId="4FFC5A0B" w14:textId="77777777" w:rsidR="00374149" w:rsidRPr="00EC4151" w:rsidRDefault="00374149" w:rsidP="00374149">
      <w:pPr>
        <w:pStyle w:val="FootnoteText"/>
        <w:rPr>
          <w:sz w:val="18"/>
          <w:szCs w:val="18"/>
        </w:rPr>
      </w:pPr>
      <w:r w:rsidRPr="00EC4151">
        <w:rPr>
          <w:rStyle w:val="FootnoteReference"/>
          <w:sz w:val="18"/>
          <w:szCs w:val="18"/>
        </w:rPr>
        <w:footnoteRef/>
      </w:r>
      <w:r w:rsidRPr="00EC4151">
        <w:rPr>
          <w:sz w:val="18"/>
          <w:szCs w:val="18"/>
        </w:rPr>
        <w:t xml:space="preserve"> </w:t>
      </w:r>
      <w:hyperlink r:id="rId1" w:history="1">
        <w:r w:rsidRPr="00EC4151">
          <w:rPr>
            <w:rStyle w:val="Hyperlink"/>
            <w:sz w:val="18"/>
            <w:szCs w:val="18"/>
          </w:rPr>
          <w:t>https://lordslibrary.parliament.uk/covid-19-pandemic-impact-on-people-with-disabilities/</w:t>
        </w:r>
      </w:hyperlink>
      <w:r w:rsidRPr="00EC4151">
        <w:rPr>
          <w:sz w:val="18"/>
          <w:szCs w:val="18"/>
        </w:rPr>
        <w:t xml:space="preserve"> </w:t>
      </w:r>
    </w:p>
  </w:footnote>
  <w:footnote w:id="3">
    <w:p w14:paraId="1F174971" w14:textId="77777777" w:rsidR="00374149" w:rsidRPr="00EC4151" w:rsidRDefault="00374149" w:rsidP="00374149">
      <w:pPr>
        <w:pStyle w:val="FootnoteText"/>
        <w:rPr>
          <w:sz w:val="18"/>
          <w:szCs w:val="18"/>
        </w:rPr>
      </w:pPr>
      <w:r w:rsidRPr="00EC4151">
        <w:rPr>
          <w:rStyle w:val="FootnoteReference"/>
          <w:sz w:val="18"/>
          <w:szCs w:val="18"/>
        </w:rPr>
        <w:footnoteRef/>
      </w:r>
      <w:r w:rsidRPr="00EC4151">
        <w:rPr>
          <w:sz w:val="18"/>
          <w:szCs w:val="18"/>
        </w:rPr>
        <w:t xml:space="preserve"> </w:t>
      </w:r>
      <w:hyperlink r:id="rId2" w:history="1">
        <w:r w:rsidRPr="00EC4151">
          <w:rPr>
            <w:rStyle w:val="Hyperlink"/>
            <w:sz w:val="18"/>
            <w:szCs w:val="18"/>
          </w:rPr>
          <w:t>https://www.bmj.com/company/newsroom/people-with-learning-disabilities-extremely-vulnerable-to-the-effects-of-covid-19/</w:t>
        </w:r>
      </w:hyperlink>
      <w:r w:rsidRPr="00EC4151">
        <w:rPr>
          <w:sz w:val="18"/>
          <w:szCs w:val="18"/>
        </w:rPr>
        <w:t xml:space="preserve"> </w:t>
      </w:r>
    </w:p>
  </w:footnote>
  <w:footnote w:id="4">
    <w:p w14:paraId="5B6927AD" w14:textId="77777777" w:rsidR="00374149" w:rsidRDefault="00374149" w:rsidP="00374149">
      <w:pPr>
        <w:pStyle w:val="FootnoteText"/>
      </w:pPr>
      <w:r w:rsidRPr="00EC4151">
        <w:rPr>
          <w:rStyle w:val="FootnoteReference"/>
          <w:sz w:val="18"/>
          <w:szCs w:val="18"/>
        </w:rPr>
        <w:footnoteRef/>
      </w:r>
      <w:r w:rsidRPr="00EC4151">
        <w:rPr>
          <w:sz w:val="18"/>
          <w:szCs w:val="18"/>
        </w:rPr>
        <w:t xml:space="preserve"> </w:t>
      </w:r>
      <w:hyperlink r:id="rId3" w:history="1">
        <w:r w:rsidRPr="00EC4151">
          <w:rPr>
            <w:rStyle w:val="Hyperlink"/>
            <w:sz w:val="18"/>
            <w:szCs w:val="18"/>
          </w:rPr>
          <w:t>https://www.health.org.uk/news-and-comment/blogs/the-forgotten-crisis-exploring-the-disproportionate-impact-of-the-pandemic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75F8" w14:textId="77777777" w:rsidR="00D02E95" w:rsidRDefault="00D02E95" w:rsidP="00DA4D65">
    <w:pPr>
      <w:pStyle w:val="Header"/>
    </w:pPr>
  </w:p>
  <w:p w14:paraId="3DD5769F" w14:textId="77777777" w:rsidR="00D02E95" w:rsidRDefault="00D02E95" w:rsidP="00DA4D65"/>
  <w:p w14:paraId="41348F33" w14:textId="77777777" w:rsidR="00D02E95" w:rsidRDefault="00D02E95" w:rsidP="00DA4D65"/>
  <w:p w14:paraId="18665E6A" w14:textId="77777777" w:rsidR="00D02E95" w:rsidRDefault="00D02E95" w:rsidP="00DA4D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4F58" w14:textId="77777777" w:rsidR="00D02E95" w:rsidRDefault="00D02E95" w:rsidP="00DA4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B84DFF2"/>
    <w:lvl w:ilvl="0">
      <w:start w:val="1"/>
      <w:numFmt w:val="decimal"/>
      <w:pStyle w:val="ListNumber"/>
      <w:lvlText w:val="%1."/>
      <w:lvlJc w:val="left"/>
      <w:pPr>
        <w:tabs>
          <w:tab w:val="num" w:pos="360"/>
        </w:tabs>
        <w:ind w:left="360" w:hanging="360"/>
      </w:pPr>
    </w:lvl>
  </w:abstractNum>
  <w:abstractNum w:abstractNumId="1" w15:restartNumberingAfterBreak="0">
    <w:nsid w:val="05792FCA"/>
    <w:multiLevelType w:val="hybridMultilevel"/>
    <w:tmpl w:val="073E3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43717"/>
    <w:multiLevelType w:val="hybridMultilevel"/>
    <w:tmpl w:val="4C70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76D7E"/>
    <w:multiLevelType w:val="hybridMultilevel"/>
    <w:tmpl w:val="A1642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03F1F"/>
    <w:multiLevelType w:val="hybridMultilevel"/>
    <w:tmpl w:val="7056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65DF2"/>
    <w:multiLevelType w:val="multilevel"/>
    <w:tmpl w:val="CC70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025DFF"/>
    <w:multiLevelType w:val="hybridMultilevel"/>
    <w:tmpl w:val="99561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B01DF"/>
    <w:multiLevelType w:val="hybridMultilevel"/>
    <w:tmpl w:val="23BC4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3F14229"/>
    <w:multiLevelType w:val="hybridMultilevel"/>
    <w:tmpl w:val="5CE06734"/>
    <w:lvl w:ilvl="0" w:tplc="31C84BD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B4CEE"/>
    <w:multiLevelType w:val="hybridMultilevel"/>
    <w:tmpl w:val="DA72C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65458"/>
    <w:multiLevelType w:val="hybridMultilevel"/>
    <w:tmpl w:val="06347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3865DB"/>
    <w:multiLevelType w:val="hybridMultilevel"/>
    <w:tmpl w:val="B8089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9E2C8C"/>
    <w:multiLevelType w:val="hybridMultilevel"/>
    <w:tmpl w:val="7044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EE602B"/>
    <w:multiLevelType w:val="hybridMultilevel"/>
    <w:tmpl w:val="537C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780674"/>
    <w:multiLevelType w:val="hybridMultilevel"/>
    <w:tmpl w:val="82628AD8"/>
    <w:lvl w:ilvl="0" w:tplc="5686E320">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205C18F8"/>
    <w:multiLevelType w:val="hybridMultilevel"/>
    <w:tmpl w:val="14B6D12C"/>
    <w:lvl w:ilvl="0" w:tplc="0AE43564">
      <w:start w:val="1"/>
      <w:numFmt w:val="bullet"/>
      <w:lvlText w:val="•"/>
      <w:lvlJc w:val="left"/>
      <w:pPr>
        <w:tabs>
          <w:tab w:val="num" w:pos="720"/>
        </w:tabs>
        <w:ind w:left="720" w:hanging="360"/>
      </w:pPr>
      <w:rPr>
        <w:rFonts w:ascii="Times New Roman" w:hAnsi="Times New Roman" w:cs="Times New Roman" w:hint="default"/>
      </w:rPr>
    </w:lvl>
    <w:lvl w:ilvl="1" w:tplc="8B408F56">
      <w:start w:val="1"/>
      <w:numFmt w:val="bullet"/>
      <w:lvlText w:val="•"/>
      <w:lvlJc w:val="left"/>
      <w:pPr>
        <w:tabs>
          <w:tab w:val="num" w:pos="1440"/>
        </w:tabs>
        <w:ind w:left="1440" w:hanging="360"/>
      </w:pPr>
      <w:rPr>
        <w:rFonts w:ascii="Times New Roman" w:hAnsi="Times New Roman" w:cs="Times New Roman" w:hint="default"/>
      </w:rPr>
    </w:lvl>
    <w:lvl w:ilvl="2" w:tplc="6632F4B8">
      <w:start w:val="1"/>
      <w:numFmt w:val="bullet"/>
      <w:lvlText w:val="•"/>
      <w:lvlJc w:val="left"/>
      <w:pPr>
        <w:tabs>
          <w:tab w:val="num" w:pos="2160"/>
        </w:tabs>
        <w:ind w:left="2160" w:hanging="360"/>
      </w:pPr>
      <w:rPr>
        <w:rFonts w:ascii="Times New Roman" w:hAnsi="Times New Roman" w:cs="Times New Roman" w:hint="default"/>
      </w:rPr>
    </w:lvl>
    <w:lvl w:ilvl="3" w:tplc="C784C39C">
      <w:start w:val="1"/>
      <w:numFmt w:val="bullet"/>
      <w:lvlText w:val="•"/>
      <w:lvlJc w:val="left"/>
      <w:pPr>
        <w:tabs>
          <w:tab w:val="num" w:pos="2880"/>
        </w:tabs>
        <w:ind w:left="2880" w:hanging="360"/>
      </w:pPr>
      <w:rPr>
        <w:rFonts w:ascii="Times New Roman" w:hAnsi="Times New Roman" w:cs="Times New Roman" w:hint="default"/>
      </w:rPr>
    </w:lvl>
    <w:lvl w:ilvl="4" w:tplc="E2347F1C">
      <w:start w:val="1"/>
      <w:numFmt w:val="bullet"/>
      <w:lvlText w:val="•"/>
      <w:lvlJc w:val="left"/>
      <w:pPr>
        <w:tabs>
          <w:tab w:val="num" w:pos="3600"/>
        </w:tabs>
        <w:ind w:left="3600" w:hanging="360"/>
      </w:pPr>
      <w:rPr>
        <w:rFonts w:ascii="Times New Roman" w:hAnsi="Times New Roman" w:cs="Times New Roman" w:hint="default"/>
      </w:rPr>
    </w:lvl>
    <w:lvl w:ilvl="5" w:tplc="FC9C7D92">
      <w:start w:val="1"/>
      <w:numFmt w:val="bullet"/>
      <w:lvlText w:val="•"/>
      <w:lvlJc w:val="left"/>
      <w:pPr>
        <w:tabs>
          <w:tab w:val="num" w:pos="4320"/>
        </w:tabs>
        <w:ind w:left="4320" w:hanging="360"/>
      </w:pPr>
      <w:rPr>
        <w:rFonts w:ascii="Times New Roman" w:hAnsi="Times New Roman" w:cs="Times New Roman" w:hint="default"/>
      </w:rPr>
    </w:lvl>
    <w:lvl w:ilvl="6" w:tplc="BDFC1BC8">
      <w:start w:val="1"/>
      <w:numFmt w:val="bullet"/>
      <w:lvlText w:val="•"/>
      <w:lvlJc w:val="left"/>
      <w:pPr>
        <w:tabs>
          <w:tab w:val="num" w:pos="5040"/>
        </w:tabs>
        <w:ind w:left="5040" w:hanging="360"/>
      </w:pPr>
      <w:rPr>
        <w:rFonts w:ascii="Times New Roman" w:hAnsi="Times New Roman" w:cs="Times New Roman" w:hint="default"/>
      </w:rPr>
    </w:lvl>
    <w:lvl w:ilvl="7" w:tplc="437C7772">
      <w:start w:val="1"/>
      <w:numFmt w:val="bullet"/>
      <w:lvlText w:val="•"/>
      <w:lvlJc w:val="left"/>
      <w:pPr>
        <w:tabs>
          <w:tab w:val="num" w:pos="5760"/>
        </w:tabs>
        <w:ind w:left="5760" w:hanging="360"/>
      </w:pPr>
      <w:rPr>
        <w:rFonts w:ascii="Times New Roman" w:hAnsi="Times New Roman" w:cs="Times New Roman" w:hint="default"/>
      </w:rPr>
    </w:lvl>
    <w:lvl w:ilvl="8" w:tplc="CE4E05C8">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21637DB1"/>
    <w:multiLevelType w:val="hybridMultilevel"/>
    <w:tmpl w:val="73CA89CC"/>
    <w:styleLink w:val="ImportedStyle10"/>
    <w:lvl w:ilvl="0" w:tplc="D3C606D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1288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CB1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D2E8C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FCEC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62E1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BADEA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1CB1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8EB9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29E37E3"/>
    <w:multiLevelType w:val="hybridMultilevel"/>
    <w:tmpl w:val="6F4C46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4470194"/>
    <w:multiLevelType w:val="hybridMultilevel"/>
    <w:tmpl w:val="9408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2B2557"/>
    <w:multiLevelType w:val="hybridMultilevel"/>
    <w:tmpl w:val="5AD4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070E41"/>
    <w:multiLevelType w:val="hybridMultilevel"/>
    <w:tmpl w:val="FB00B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620DBA"/>
    <w:multiLevelType w:val="hybridMultilevel"/>
    <w:tmpl w:val="70525D4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start w:val="1"/>
      <w:numFmt w:val="bullet"/>
      <w:lvlText w:val=""/>
      <w:lvlJc w:val="left"/>
      <w:pPr>
        <w:ind w:left="2203" w:hanging="360"/>
      </w:pPr>
      <w:rPr>
        <w:rFonts w:ascii="Wingdings" w:hAnsi="Wingdings" w:hint="default"/>
      </w:rPr>
    </w:lvl>
    <w:lvl w:ilvl="3" w:tplc="08090001">
      <w:start w:val="1"/>
      <w:numFmt w:val="bullet"/>
      <w:lvlText w:val=""/>
      <w:lvlJc w:val="left"/>
      <w:pPr>
        <w:ind w:left="2923" w:hanging="360"/>
      </w:pPr>
      <w:rPr>
        <w:rFonts w:ascii="Symbol" w:hAnsi="Symbol" w:hint="default"/>
      </w:rPr>
    </w:lvl>
    <w:lvl w:ilvl="4" w:tplc="08090003">
      <w:start w:val="1"/>
      <w:numFmt w:val="bullet"/>
      <w:lvlText w:val="o"/>
      <w:lvlJc w:val="left"/>
      <w:pPr>
        <w:ind w:left="3643" w:hanging="360"/>
      </w:pPr>
      <w:rPr>
        <w:rFonts w:ascii="Courier New" w:hAnsi="Courier New" w:cs="Courier New" w:hint="default"/>
      </w:rPr>
    </w:lvl>
    <w:lvl w:ilvl="5" w:tplc="08090005">
      <w:start w:val="1"/>
      <w:numFmt w:val="bullet"/>
      <w:lvlText w:val=""/>
      <w:lvlJc w:val="left"/>
      <w:pPr>
        <w:ind w:left="4363" w:hanging="360"/>
      </w:pPr>
      <w:rPr>
        <w:rFonts w:ascii="Wingdings" w:hAnsi="Wingdings" w:hint="default"/>
      </w:rPr>
    </w:lvl>
    <w:lvl w:ilvl="6" w:tplc="08090001">
      <w:start w:val="1"/>
      <w:numFmt w:val="bullet"/>
      <w:lvlText w:val=""/>
      <w:lvlJc w:val="left"/>
      <w:pPr>
        <w:ind w:left="5083" w:hanging="360"/>
      </w:pPr>
      <w:rPr>
        <w:rFonts w:ascii="Symbol" w:hAnsi="Symbol" w:hint="default"/>
      </w:rPr>
    </w:lvl>
    <w:lvl w:ilvl="7" w:tplc="08090003">
      <w:start w:val="1"/>
      <w:numFmt w:val="bullet"/>
      <w:lvlText w:val="o"/>
      <w:lvlJc w:val="left"/>
      <w:pPr>
        <w:ind w:left="5803" w:hanging="360"/>
      </w:pPr>
      <w:rPr>
        <w:rFonts w:ascii="Courier New" w:hAnsi="Courier New" w:cs="Courier New" w:hint="default"/>
      </w:rPr>
    </w:lvl>
    <w:lvl w:ilvl="8" w:tplc="08090005">
      <w:start w:val="1"/>
      <w:numFmt w:val="bullet"/>
      <w:lvlText w:val=""/>
      <w:lvlJc w:val="left"/>
      <w:pPr>
        <w:ind w:left="6523" w:hanging="360"/>
      </w:pPr>
      <w:rPr>
        <w:rFonts w:ascii="Wingdings" w:hAnsi="Wingdings" w:hint="default"/>
      </w:rPr>
    </w:lvl>
  </w:abstractNum>
  <w:abstractNum w:abstractNumId="22" w15:restartNumberingAfterBreak="0">
    <w:nsid w:val="30F868ED"/>
    <w:multiLevelType w:val="hybridMultilevel"/>
    <w:tmpl w:val="2F06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FE2B8D"/>
    <w:multiLevelType w:val="multilevel"/>
    <w:tmpl w:val="0E9C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C964D8"/>
    <w:multiLevelType w:val="hybridMultilevel"/>
    <w:tmpl w:val="1ABE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E752DA"/>
    <w:multiLevelType w:val="hybridMultilevel"/>
    <w:tmpl w:val="C580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C54B9D"/>
    <w:multiLevelType w:val="hybridMultilevel"/>
    <w:tmpl w:val="FD8E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E80AB1"/>
    <w:multiLevelType w:val="hybridMultilevel"/>
    <w:tmpl w:val="C7DAB250"/>
    <w:lvl w:ilvl="0" w:tplc="5BCC30A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315AF3"/>
    <w:multiLevelType w:val="hybridMultilevel"/>
    <w:tmpl w:val="C70A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E00DF9"/>
    <w:multiLevelType w:val="hybridMultilevel"/>
    <w:tmpl w:val="081C6D68"/>
    <w:lvl w:ilvl="0" w:tplc="985C89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7B58F6"/>
    <w:multiLevelType w:val="hybridMultilevel"/>
    <w:tmpl w:val="CE3ED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41C1C2A"/>
    <w:multiLevelType w:val="hybridMultilevel"/>
    <w:tmpl w:val="8B62D356"/>
    <w:lvl w:ilvl="0" w:tplc="13200A62">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2" w15:restartNumberingAfterBreak="0">
    <w:nsid w:val="4825714B"/>
    <w:multiLevelType w:val="hybridMultilevel"/>
    <w:tmpl w:val="224A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00240D"/>
    <w:multiLevelType w:val="hybridMultilevel"/>
    <w:tmpl w:val="847A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CF3524"/>
    <w:multiLevelType w:val="hybridMultilevel"/>
    <w:tmpl w:val="B0EA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5F6024"/>
    <w:multiLevelType w:val="hybridMultilevel"/>
    <w:tmpl w:val="1B46B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13891"/>
    <w:multiLevelType w:val="hybridMultilevel"/>
    <w:tmpl w:val="9706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751FE5"/>
    <w:multiLevelType w:val="hybridMultilevel"/>
    <w:tmpl w:val="304AE9EE"/>
    <w:lvl w:ilvl="0" w:tplc="08090001">
      <w:start w:val="1"/>
      <w:numFmt w:val="bullet"/>
      <w:lvlText w:val=""/>
      <w:lvlJc w:val="left"/>
      <w:pPr>
        <w:ind w:left="1180" w:hanging="360"/>
      </w:pPr>
      <w:rPr>
        <w:rFonts w:ascii="Symbol" w:hAnsi="Symbol" w:hint="default"/>
      </w:rPr>
    </w:lvl>
    <w:lvl w:ilvl="1" w:tplc="08090003">
      <w:start w:val="1"/>
      <w:numFmt w:val="bullet"/>
      <w:lvlText w:val="o"/>
      <w:lvlJc w:val="left"/>
      <w:pPr>
        <w:ind w:left="1900" w:hanging="360"/>
      </w:pPr>
      <w:rPr>
        <w:rFonts w:ascii="Courier New" w:hAnsi="Courier New" w:cs="Courier New" w:hint="default"/>
      </w:rPr>
    </w:lvl>
    <w:lvl w:ilvl="2" w:tplc="08090005">
      <w:start w:val="1"/>
      <w:numFmt w:val="bullet"/>
      <w:lvlText w:val=""/>
      <w:lvlJc w:val="left"/>
      <w:pPr>
        <w:ind w:left="2620" w:hanging="360"/>
      </w:pPr>
      <w:rPr>
        <w:rFonts w:ascii="Wingdings" w:hAnsi="Wingdings" w:hint="default"/>
      </w:rPr>
    </w:lvl>
    <w:lvl w:ilvl="3" w:tplc="08090001">
      <w:start w:val="1"/>
      <w:numFmt w:val="bullet"/>
      <w:lvlText w:val=""/>
      <w:lvlJc w:val="left"/>
      <w:pPr>
        <w:ind w:left="3340" w:hanging="360"/>
      </w:pPr>
      <w:rPr>
        <w:rFonts w:ascii="Symbol" w:hAnsi="Symbol" w:hint="default"/>
      </w:rPr>
    </w:lvl>
    <w:lvl w:ilvl="4" w:tplc="08090003">
      <w:start w:val="1"/>
      <w:numFmt w:val="bullet"/>
      <w:lvlText w:val="o"/>
      <w:lvlJc w:val="left"/>
      <w:pPr>
        <w:ind w:left="4060" w:hanging="360"/>
      </w:pPr>
      <w:rPr>
        <w:rFonts w:ascii="Courier New" w:hAnsi="Courier New" w:cs="Courier New" w:hint="default"/>
      </w:rPr>
    </w:lvl>
    <w:lvl w:ilvl="5" w:tplc="08090005">
      <w:start w:val="1"/>
      <w:numFmt w:val="bullet"/>
      <w:lvlText w:val=""/>
      <w:lvlJc w:val="left"/>
      <w:pPr>
        <w:ind w:left="4780" w:hanging="360"/>
      </w:pPr>
      <w:rPr>
        <w:rFonts w:ascii="Wingdings" w:hAnsi="Wingdings" w:hint="default"/>
      </w:rPr>
    </w:lvl>
    <w:lvl w:ilvl="6" w:tplc="08090001">
      <w:start w:val="1"/>
      <w:numFmt w:val="bullet"/>
      <w:lvlText w:val=""/>
      <w:lvlJc w:val="left"/>
      <w:pPr>
        <w:ind w:left="5500" w:hanging="360"/>
      </w:pPr>
      <w:rPr>
        <w:rFonts w:ascii="Symbol" w:hAnsi="Symbol" w:hint="default"/>
      </w:rPr>
    </w:lvl>
    <w:lvl w:ilvl="7" w:tplc="08090003">
      <w:start w:val="1"/>
      <w:numFmt w:val="bullet"/>
      <w:lvlText w:val="o"/>
      <w:lvlJc w:val="left"/>
      <w:pPr>
        <w:ind w:left="6220" w:hanging="360"/>
      </w:pPr>
      <w:rPr>
        <w:rFonts w:ascii="Courier New" w:hAnsi="Courier New" w:cs="Courier New" w:hint="default"/>
      </w:rPr>
    </w:lvl>
    <w:lvl w:ilvl="8" w:tplc="08090005">
      <w:start w:val="1"/>
      <w:numFmt w:val="bullet"/>
      <w:lvlText w:val=""/>
      <w:lvlJc w:val="left"/>
      <w:pPr>
        <w:ind w:left="6940" w:hanging="360"/>
      </w:pPr>
      <w:rPr>
        <w:rFonts w:ascii="Wingdings" w:hAnsi="Wingdings" w:hint="default"/>
      </w:rPr>
    </w:lvl>
  </w:abstractNum>
  <w:abstractNum w:abstractNumId="38" w15:restartNumberingAfterBreak="0">
    <w:nsid w:val="5AC325E4"/>
    <w:multiLevelType w:val="hybridMultilevel"/>
    <w:tmpl w:val="B7442D0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C2E1CD3"/>
    <w:multiLevelType w:val="hybridMultilevel"/>
    <w:tmpl w:val="26E6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07244E"/>
    <w:multiLevelType w:val="multilevel"/>
    <w:tmpl w:val="080E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8D7D86"/>
    <w:multiLevelType w:val="hybridMultilevel"/>
    <w:tmpl w:val="8766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E4677E"/>
    <w:multiLevelType w:val="hybridMultilevel"/>
    <w:tmpl w:val="225E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FF60CF"/>
    <w:multiLevelType w:val="hybridMultilevel"/>
    <w:tmpl w:val="44C2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644450"/>
    <w:multiLevelType w:val="hybridMultilevel"/>
    <w:tmpl w:val="C5420D76"/>
    <w:lvl w:ilvl="0" w:tplc="E20EF8CE">
      <w:start w:val="1"/>
      <w:numFmt w:val="bullet"/>
      <w:lvlText w:val="•"/>
      <w:lvlJc w:val="left"/>
      <w:pPr>
        <w:tabs>
          <w:tab w:val="num" w:pos="720"/>
        </w:tabs>
        <w:ind w:left="720" w:hanging="360"/>
      </w:pPr>
      <w:rPr>
        <w:rFonts w:ascii="Arial" w:hAnsi="Arial" w:hint="default"/>
      </w:rPr>
    </w:lvl>
    <w:lvl w:ilvl="1" w:tplc="899A39C0" w:tentative="1">
      <w:start w:val="1"/>
      <w:numFmt w:val="bullet"/>
      <w:lvlText w:val="•"/>
      <w:lvlJc w:val="left"/>
      <w:pPr>
        <w:tabs>
          <w:tab w:val="num" w:pos="1440"/>
        </w:tabs>
        <w:ind w:left="1440" w:hanging="360"/>
      </w:pPr>
      <w:rPr>
        <w:rFonts w:ascii="Arial" w:hAnsi="Arial" w:hint="default"/>
      </w:rPr>
    </w:lvl>
    <w:lvl w:ilvl="2" w:tplc="06EE2C2E" w:tentative="1">
      <w:start w:val="1"/>
      <w:numFmt w:val="bullet"/>
      <w:lvlText w:val="•"/>
      <w:lvlJc w:val="left"/>
      <w:pPr>
        <w:tabs>
          <w:tab w:val="num" w:pos="2160"/>
        </w:tabs>
        <w:ind w:left="2160" w:hanging="360"/>
      </w:pPr>
      <w:rPr>
        <w:rFonts w:ascii="Arial" w:hAnsi="Arial" w:hint="default"/>
      </w:rPr>
    </w:lvl>
    <w:lvl w:ilvl="3" w:tplc="416674E2" w:tentative="1">
      <w:start w:val="1"/>
      <w:numFmt w:val="bullet"/>
      <w:lvlText w:val="•"/>
      <w:lvlJc w:val="left"/>
      <w:pPr>
        <w:tabs>
          <w:tab w:val="num" w:pos="2880"/>
        </w:tabs>
        <w:ind w:left="2880" w:hanging="360"/>
      </w:pPr>
      <w:rPr>
        <w:rFonts w:ascii="Arial" w:hAnsi="Arial" w:hint="default"/>
      </w:rPr>
    </w:lvl>
    <w:lvl w:ilvl="4" w:tplc="6592120E" w:tentative="1">
      <w:start w:val="1"/>
      <w:numFmt w:val="bullet"/>
      <w:lvlText w:val="•"/>
      <w:lvlJc w:val="left"/>
      <w:pPr>
        <w:tabs>
          <w:tab w:val="num" w:pos="3600"/>
        </w:tabs>
        <w:ind w:left="3600" w:hanging="360"/>
      </w:pPr>
      <w:rPr>
        <w:rFonts w:ascii="Arial" w:hAnsi="Arial" w:hint="default"/>
      </w:rPr>
    </w:lvl>
    <w:lvl w:ilvl="5" w:tplc="EA14C49A" w:tentative="1">
      <w:start w:val="1"/>
      <w:numFmt w:val="bullet"/>
      <w:lvlText w:val="•"/>
      <w:lvlJc w:val="left"/>
      <w:pPr>
        <w:tabs>
          <w:tab w:val="num" w:pos="4320"/>
        </w:tabs>
        <w:ind w:left="4320" w:hanging="360"/>
      </w:pPr>
      <w:rPr>
        <w:rFonts w:ascii="Arial" w:hAnsi="Arial" w:hint="default"/>
      </w:rPr>
    </w:lvl>
    <w:lvl w:ilvl="6" w:tplc="01240172" w:tentative="1">
      <w:start w:val="1"/>
      <w:numFmt w:val="bullet"/>
      <w:lvlText w:val="•"/>
      <w:lvlJc w:val="left"/>
      <w:pPr>
        <w:tabs>
          <w:tab w:val="num" w:pos="5040"/>
        </w:tabs>
        <w:ind w:left="5040" w:hanging="360"/>
      </w:pPr>
      <w:rPr>
        <w:rFonts w:ascii="Arial" w:hAnsi="Arial" w:hint="default"/>
      </w:rPr>
    </w:lvl>
    <w:lvl w:ilvl="7" w:tplc="DE70176E" w:tentative="1">
      <w:start w:val="1"/>
      <w:numFmt w:val="bullet"/>
      <w:lvlText w:val="•"/>
      <w:lvlJc w:val="left"/>
      <w:pPr>
        <w:tabs>
          <w:tab w:val="num" w:pos="5760"/>
        </w:tabs>
        <w:ind w:left="5760" w:hanging="360"/>
      </w:pPr>
      <w:rPr>
        <w:rFonts w:ascii="Arial" w:hAnsi="Arial" w:hint="default"/>
      </w:rPr>
    </w:lvl>
    <w:lvl w:ilvl="8" w:tplc="342011F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4A26F79"/>
    <w:multiLevelType w:val="hybridMultilevel"/>
    <w:tmpl w:val="A2A2B3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C55047"/>
    <w:multiLevelType w:val="hybridMultilevel"/>
    <w:tmpl w:val="F044F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AF3473F"/>
    <w:multiLevelType w:val="hybridMultilevel"/>
    <w:tmpl w:val="098C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984E58"/>
    <w:multiLevelType w:val="hybridMultilevel"/>
    <w:tmpl w:val="744CF03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49" w15:restartNumberingAfterBreak="0">
    <w:nsid w:val="6CF960E5"/>
    <w:multiLevelType w:val="hybridMultilevel"/>
    <w:tmpl w:val="1CEE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2549FC"/>
    <w:multiLevelType w:val="hybridMultilevel"/>
    <w:tmpl w:val="2304C83A"/>
    <w:lvl w:ilvl="0" w:tplc="5D366E4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155236B"/>
    <w:multiLevelType w:val="multilevel"/>
    <w:tmpl w:val="D2E411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18843E4"/>
    <w:multiLevelType w:val="hybridMultilevel"/>
    <w:tmpl w:val="7BE81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729E7496"/>
    <w:multiLevelType w:val="hybridMultilevel"/>
    <w:tmpl w:val="B49400D2"/>
    <w:lvl w:ilvl="0" w:tplc="CB168AD8">
      <w:start w:val="1"/>
      <w:numFmt w:val="bullet"/>
      <w:pStyle w:val="NHSCBBulletPoint"/>
      <w:lvlText w:val=""/>
      <w:lvlJc w:val="left"/>
      <w:pPr>
        <w:ind w:left="3960" w:hanging="360"/>
      </w:pPr>
      <w:rPr>
        <w:rFonts w:ascii="Symbol" w:hAnsi="Symbol" w:hint="default"/>
        <w:color w:val="auto"/>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0"/>
  </w:num>
  <w:num w:numId="2">
    <w:abstractNumId w:val="2"/>
  </w:num>
  <w:num w:numId="3">
    <w:abstractNumId w:val="53"/>
  </w:num>
  <w:num w:numId="4">
    <w:abstractNumId w:val="20"/>
  </w:num>
  <w:num w:numId="5">
    <w:abstractNumId w:val="16"/>
  </w:num>
  <w:num w:numId="6">
    <w:abstractNumId w:val="25"/>
  </w:num>
  <w:num w:numId="7">
    <w:abstractNumId w:val="41"/>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num>
  <w:num w:numId="10">
    <w:abstractNumId w:val="13"/>
  </w:num>
  <w:num w:numId="11">
    <w:abstractNumId w:val="39"/>
  </w:num>
  <w:num w:numId="12">
    <w:abstractNumId w:val="32"/>
  </w:num>
  <w:num w:numId="13">
    <w:abstractNumId w:val="48"/>
  </w:num>
  <w:num w:numId="14">
    <w:abstractNumId w:val="30"/>
  </w:num>
  <w:num w:numId="15">
    <w:abstractNumId w:val="21"/>
  </w:num>
  <w:num w:numId="16">
    <w:abstractNumId w:val="11"/>
  </w:num>
  <w:num w:numId="17">
    <w:abstractNumId w:val="7"/>
  </w:num>
  <w:num w:numId="18">
    <w:abstractNumId w:val="4"/>
  </w:num>
  <w:num w:numId="19">
    <w:abstractNumId w:val="28"/>
  </w:num>
  <w:num w:numId="20">
    <w:abstractNumId w:val="1"/>
  </w:num>
  <w:num w:numId="21">
    <w:abstractNumId w:val="19"/>
  </w:num>
  <w:num w:numId="22">
    <w:abstractNumId w:val="45"/>
    <w:lvlOverride w:ilvl="0">
      <w:startOverride w:val="1"/>
    </w:lvlOverride>
    <w:lvlOverride w:ilvl="1"/>
    <w:lvlOverride w:ilvl="2"/>
    <w:lvlOverride w:ilvl="3"/>
    <w:lvlOverride w:ilvl="4"/>
    <w:lvlOverride w:ilvl="5"/>
    <w:lvlOverride w:ilvl="6"/>
    <w:lvlOverride w:ilvl="7"/>
    <w:lvlOverride w:ilvl="8"/>
  </w:num>
  <w:num w:numId="23">
    <w:abstractNumId w:val="40"/>
  </w:num>
  <w:num w:numId="24">
    <w:abstractNumId w:val="5"/>
  </w:num>
  <w:num w:numId="25">
    <w:abstractNumId w:val="22"/>
  </w:num>
  <w:num w:numId="26">
    <w:abstractNumId w:val="12"/>
  </w:num>
  <w:num w:numId="27">
    <w:abstractNumId w:val="17"/>
  </w:num>
  <w:num w:numId="28">
    <w:abstractNumId w:val="23"/>
  </w:num>
  <w:num w:numId="29">
    <w:abstractNumId w:val="15"/>
  </w:num>
  <w:num w:numId="30">
    <w:abstractNumId w:val="33"/>
  </w:num>
  <w:num w:numId="31">
    <w:abstractNumId w:val="9"/>
  </w:num>
  <w:num w:numId="32">
    <w:abstractNumId w:val="24"/>
  </w:num>
  <w:num w:numId="33">
    <w:abstractNumId w:val="8"/>
  </w:num>
  <w:num w:numId="34">
    <w:abstractNumId w:val="26"/>
  </w:num>
  <w:num w:numId="35">
    <w:abstractNumId w:val="49"/>
  </w:num>
  <w:num w:numId="36">
    <w:abstractNumId w:val="3"/>
  </w:num>
  <w:num w:numId="37">
    <w:abstractNumId w:val="43"/>
  </w:num>
  <w:num w:numId="38">
    <w:abstractNumId w:val="52"/>
  </w:num>
  <w:num w:numId="39">
    <w:abstractNumId w:val="44"/>
  </w:num>
  <w:num w:numId="40">
    <w:abstractNumId w:val="37"/>
  </w:num>
  <w:num w:numId="41">
    <w:abstractNumId w:val="29"/>
  </w:num>
  <w:num w:numId="42">
    <w:abstractNumId w:val="27"/>
  </w:num>
  <w:num w:numId="43">
    <w:abstractNumId w:val="14"/>
  </w:num>
  <w:num w:numId="44">
    <w:abstractNumId w:val="6"/>
  </w:num>
  <w:num w:numId="45">
    <w:abstractNumId w:val="47"/>
  </w:num>
  <w:num w:numId="46">
    <w:abstractNumId w:val="51"/>
  </w:num>
  <w:num w:numId="47">
    <w:abstractNumId w:val="10"/>
  </w:num>
  <w:num w:numId="48">
    <w:abstractNumId w:val="46"/>
  </w:num>
  <w:num w:numId="49">
    <w:abstractNumId w:val="34"/>
  </w:num>
  <w:num w:numId="50">
    <w:abstractNumId w:val="31"/>
  </w:num>
  <w:num w:numId="51">
    <w:abstractNumId w:val="18"/>
  </w:num>
  <w:num w:numId="52">
    <w:abstractNumId w:val="42"/>
  </w:num>
  <w:num w:numId="53">
    <w:abstractNumId w:val="35"/>
  </w:num>
  <w:num w:numId="54">
    <w:abstractNumId w:val="38"/>
  </w:num>
  <w:num w:numId="55">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oNotTrackFormatting/>
  <w:defaultTabStop w:val="720"/>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B1"/>
    <w:rsid w:val="00000CA0"/>
    <w:rsid w:val="00000FB8"/>
    <w:rsid w:val="000018C5"/>
    <w:rsid w:val="0000258F"/>
    <w:rsid w:val="000048C4"/>
    <w:rsid w:val="00004A17"/>
    <w:rsid w:val="00004C65"/>
    <w:rsid w:val="000064FE"/>
    <w:rsid w:val="0000766E"/>
    <w:rsid w:val="00007F95"/>
    <w:rsid w:val="00010C13"/>
    <w:rsid w:val="00011251"/>
    <w:rsid w:val="00011A1A"/>
    <w:rsid w:val="00011C63"/>
    <w:rsid w:val="00012398"/>
    <w:rsid w:val="00015083"/>
    <w:rsid w:val="000157FE"/>
    <w:rsid w:val="00015BCA"/>
    <w:rsid w:val="0001641C"/>
    <w:rsid w:val="00017007"/>
    <w:rsid w:val="000170CD"/>
    <w:rsid w:val="00017E5F"/>
    <w:rsid w:val="000201EC"/>
    <w:rsid w:val="00020EEB"/>
    <w:rsid w:val="000218A5"/>
    <w:rsid w:val="00021908"/>
    <w:rsid w:val="00021A18"/>
    <w:rsid w:val="00023067"/>
    <w:rsid w:val="00026CBD"/>
    <w:rsid w:val="00027599"/>
    <w:rsid w:val="00027722"/>
    <w:rsid w:val="00027CDB"/>
    <w:rsid w:val="00030E7D"/>
    <w:rsid w:val="00030F55"/>
    <w:rsid w:val="00031855"/>
    <w:rsid w:val="000319EB"/>
    <w:rsid w:val="000321FD"/>
    <w:rsid w:val="00032A2D"/>
    <w:rsid w:val="00035E2B"/>
    <w:rsid w:val="000363C6"/>
    <w:rsid w:val="000368D9"/>
    <w:rsid w:val="00036D5F"/>
    <w:rsid w:val="00037C39"/>
    <w:rsid w:val="00041AB7"/>
    <w:rsid w:val="00042104"/>
    <w:rsid w:val="00042117"/>
    <w:rsid w:val="0004272A"/>
    <w:rsid w:val="00043169"/>
    <w:rsid w:val="000432FD"/>
    <w:rsid w:val="00043EDA"/>
    <w:rsid w:val="00044C27"/>
    <w:rsid w:val="00045094"/>
    <w:rsid w:val="000474E8"/>
    <w:rsid w:val="00047C98"/>
    <w:rsid w:val="00052E9E"/>
    <w:rsid w:val="00053129"/>
    <w:rsid w:val="0005329F"/>
    <w:rsid w:val="000538E7"/>
    <w:rsid w:val="00053E18"/>
    <w:rsid w:val="00056CB7"/>
    <w:rsid w:val="000573E8"/>
    <w:rsid w:val="000601A8"/>
    <w:rsid w:val="00061757"/>
    <w:rsid w:val="00061E65"/>
    <w:rsid w:val="0006315E"/>
    <w:rsid w:val="000639B8"/>
    <w:rsid w:val="00064267"/>
    <w:rsid w:val="00064525"/>
    <w:rsid w:val="00067A43"/>
    <w:rsid w:val="000710A1"/>
    <w:rsid w:val="00071B24"/>
    <w:rsid w:val="00072D54"/>
    <w:rsid w:val="00074592"/>
    <w:rsid w:val="0007478A"/>
    <w:rsid w:val="000749BA"/>
    <w:rsid w:val="00074A6C"/>
    <w:rsid w:val="00075CAB"/>
    <w:rsid w:val="00075F52"/>
    <w:rsid w:val="00076DD2"/>
    <w:rsid w:val="000770BC"/>
    <w:rsid w:val="00077A1E"/>
    <w:rsid w:val="00077D04"/>
    <w:rsid w:val="0008106B"/>
    <w:rsid w:val="00082057"/>
    <w:rsid w:val="0008444E"/>
    <w:rsid w:val="00084552"/>
    <w:rsid w:val="00084DAE"/>
    <w:rsid w:val="000850E7"/>
    <w:rsid w:val="00085D2E"/>
    <w:rsid w:val="000861D3"/>
    <w:rsid w:val="00086B0A"/>
    <w:rsid w:val="00087031"/>
    <w:rsid w:val="00087158"/>
    <w:rsid w:val="00090362"/>
    <w:rsid w:val="00091328"/>
    <w:rsid w:val="000915F9"/>
    <w:rsid w:val="00091DDE"/>
    <w:rsid w:val="00091F6D"/>
    <w:rsid w:val="0009251C"/>
    <w:rsid w:val="00093B0C"/>
    <w:rsid w:val="00093CC8"/>
    <w:rsid w:val="000944C2"/>
    <w:rsid w:val="000947B9"/>
    <w:rsid w:val="000955A2"/>
    <w:rsid w:val="000959A7"/>
    <w:rsid w:val="000969B8"/>
    <w:rsid w:val="00096A46"/>
    <w:rsid w:val="000A0287"/>
    <w:rsid w:val="000A066B"/>
    <w:rsid w:val="000A4C3F"/>
    <w:rsid w:val="000A51B9"/>
    <w:rsid w:val="000A59CE"/>
    <w:rsid w:val="000A5F7C"/>
    <w:rsid w:val="000A603C"/>
    <w:rsid w:val="000A61E1"/>
    <w:rsid w:val="000A643B"/>
    <w:rsid w:val="000A6BF3"/>
    <w:rsid w:val="000A6E90"/>
    <w:rsid w:val="000A6EF2"/>
    <w:rsid w:val="000A6F61"/>
    <w:rsid w:val="000A6F72"/>
    <w:rsid w:val="000A7146"/>
    <w:rsid w:val="000A7570"/>
    <w:rsid w:val="000B0490"/>
    <w:rsid w:val="000B05E2"/>
    <w:rsid w:val="000B140B"/>
    <w:rsid w:val="000B1573"/>
    <w:rsid w:val="000B16BE"/>
    <w:rsid w:val="000B16F6"/>
    <w:rsid w:val="000B208F"/>
    <w:rsid w:val="000B20CA"/>
    <w:rsid w:val="000B221E"/>
    <w:rsid w:val="000B33A1"/>
    <w:rsid w:val="000B3CC5"/>
    <w:rsid w:val="000B3DA1"/>
    <w:rsid w:val="000B5775"/>
    <w:rsid w:val="000B580C"/>
    <w:rsid w:val="000B5902"/>
    <w:rsid w:val="000B601D"/>
    <w:rsid w:val="000B6B66"/>
    <w:rsid w:val="000B6C08"/>
    <w:rsid w:val="000B75A3"/>
    <w:rsid w:val="000B7FF1"/>
    <w:rsid w:val="000C040A"/>
    <w:rsid w:val="000C100C"/>
    <w:rsid w:val="000C20E5"/>
    <w:rsid w:val="000C2396"/>
    <w:rsid w:val="000C2541"/>
    <w:rsid w:val="000C460C"/>
    <w:rsid w:val="000C466A"/>
    <w:rsid w:val="000C73B8"/>
    <w:rsid w:val="000C7640"/>
    <w:rsid w:val="000D0126"/>
    <w:rsid w:val="000D0397"/>
    <w:rsid w:val="000D1F79"/>
    <w:rsid w:val="000D211A"/>
    <w:rsid w:val="000D25B7"/>
    <w:rsid w:val="000D29AF"/>
    <w:rsid w:val="000D2BC4"/>
    <w:rsid w:val="000D32F1"/>
    <w:rsid w:val="000D38CC"/>
    <w:rsid w:val="000D39CF"/>
    <w:rsid w:val="000D3CE5"/>
    <w:rsid w:val="000D4E6E"/>
    <w:rsid w:val="000D5705"/>
    <w:rsid w:val="000D5FDB"/>
    <w:rsid w:val="000E0762"/>
    <w:rsid w:val="000E07B4"/>
    <w:rsid w:val="000E0F70"/>
    <w:rsid w:val="000E160E"/>
    <w:rsid w:val="000E24AD"/>
    <w:rsid w:val="000E25C8"/>
    <w:rsid w:val="000E2C9F"/>
    <w:rsid w:val="000E415B"/>
    <w:rsid w:val="000E41C0"/>
    <w:rsid w:val="000E5835"/>
    <w:rsid w:val="000E6388"/>
    <w:rsid w:val="000E71F8"/>
    <w:rsid w:val="000E7A75"/>
    <w:rsid w:val="000F0C61"/>
    <w:rsid w:val="000F19CA"/>
    <w:rsid w:val="000F21F5"/>
    <w:rsid w:val="000F272E"/>
    <w:rsid w:val="000F2A82"/>
    <w:rsid w:val="000F3B06"/>
    <w:rsid w:val="000F3C0A"/>
    <w:rsid w:val="000F411A"/>
    <w:rsid w:val="000F41BE"/>
    <w:rsid w:val="000F4C61"/>
    <w:rsid w:val="000F5479"/>
    <w:rsid w:val="000F5717"/>
    <w:rsid w:val="000F573D"/>
    <w:rsid w:val="000F6A2B"/>
    <w:rsid w:val="000F7607"/>
    <w:rsid w:val="000F7ABB"/>
    <w:rsid w:val="000F7F43"/>
    <w:rsid w:val="00100763"/>
    <w:rsid w:val="00101B1C"/>
    <w:rsid w:val="00101F10"/>
    <w:rsid w:val="00102D91"/>
    <w:rsid w:val="0010328C"/>
    <w:rsid w:val="001034FF"/>
    <w:rsid w:val="00103B1C"/>
    <w:rsid w:val="00104FA0"/>
    <w:rsid w:val="001053B3"/>
    <w:rsid w:val="00105B76"/>
    <w:rsid w:val="00107C07"/>
    <w:rsid w:val="001102E0"/>
    <w:rsid w:val="001105B7"/>
    <w:rsid w:val="00111F66"/>
    <w:rsid w:val="00112B5C"/>
    <w:rsid w:val="0011301E"/>
    <w:rsid w:val="00113457"/>
    <w:rsid w:val="001146D5"/>
    <w:rsid w:val="0011632F"/>
    <w:rsid w:val="00116DAB"/>
    <w:rsid w:val="001208E6"/>
    <w:rsid w:val="00120CD0"/>
    <w:rsid w:val="00120EBA"/>
    <w:rsid w:val="00123403"/>
    <w:rsid w:val="001239AC"/>
    <w:rsid w:val="00123DC6"/>
    <w:rsid w:val="001260E7"/>
    <w:rsid w:val="00126ED8"/>
    <w:rsid w:val="00130E42"/>
    <w:rsid w:val="00131351"/>
    <w:rsid w:val="001327BA"/>
    <w:rsid w:val="00133B4C"/>
    <w:rsid w:val="00135037"/>
    <w:rsid w:val="00135206"/>
    <w:rsid w:val="001369E7"/>
    <w:rsid w:val="001373E4"/>
    <w:rsid w:val="001378ED"/>
    <w:rsid w:val="0014140A"/>
    <w:rsid w:val="001421D4"/>
    <w:rsid w:val="00142B24"/>
    <w:rsid w:val="00142FBC"/>
    <w:rsid w:val="00143903"/>
    <w:rsid w:val="00143C20"/>
    <w:rsid w:val="00144D67"/>
    <w:rsid w:val="001458FC"/>
    <w:rsid w:val="00145C5D"/>
    <w:rsid w:val="00146F00"/>
    <w:rsid w:val="0015007A"/>
    <w:rsid w:val="0015010C"/>
    <w:rsid w:val="00152129"/>
    <w:rsid w:val="0015251D"/>
    <w:rsid w:val="001525EF"/>
    <w:rsid w:val="00152C6E"/>
    <w:rsid w:val="00152FF6"/>
    <w:rsid w:val="00153126"/>
    <w:rsid w:val="001542AB"/>
    <w:rsid w:val="00154B5A"/>
    <w:rsid w:val="00154DC6"/>
    <w:rsid w:val="00155486"/>
    <w:rsid w:val="00156EB6"/>
    <w:rsid w:val="001604E8"/>
    <w:rsid w:val="001607C5"/>
    <w:rsid w:val="00163957"/>
    <w:rsid w:val="00163FAA"/>
    <w:rsid w:val="001642E7"/>
    <w:rsid w:val="0016445E"/>
    <w:rsid w:val="001649AE"/>
    <w:rsid w:val="00165A12"/>
    <w:rsid w:val="00166788"/>
    <w:rsid w:val="00167582"/>
    <w:rsid w:val="00167A50"/>
    <w:rsid w:val="00167FD6"/>
    <w:rsid w:val="0017176E"/>
    <w:rsid w:val="001719B2"/>
    <w:rsid w:val="00171BFE"/>
    <w:rsid w:val="0017318A"/>
    <w:rsid w:val="001738C6"/>
    <w:rsid w:val="001738CA"/>
    <w:rsid w:val="001739BC"/>
    <w:rsid w:val="00174B1A"/>
    <w:rsid w:val="00174B21"/>
    <w:rsid w:val="00174C28"/>
    <w:rsid w:val="00174E27"/>
    <w:rsid w:val="001757C6"/>
    <w:rsid w:val="00175B03"/>
    <w:rsid w:val="00175C73"/>
    <w:rsid w:val="00175CC3"/>
    <w:rsid w:val="001811A2"/>
    <w:rsid w:val="001813F3"/>
    <w:rsid w:val="00181694"/>
    <w:rsid w:val="00181C26"/>
    <w:rsid w:val="00181E9B"/>
    <w:rsid w:val="00182081"/>
    <w:rsid w:val="00182EAF"/>
    <w:rsid w:val="00183F38"/>
    <w:rsid w:val="001842B8"/>
    <w:rsid w:val="001875E4"/>
    <w:rsid w:val="0019010B"/>
    <w:rsid w:val="00190B5A"/>
    <w:rsid w:val="00191A10"/>
    <w:rsid w:val="00193EDE"/>
    <w:rsid w:val="00194A14"/>
    <w:rsid w:val="00194C76"/>
    <w:rsid w:val="001957B6"/>
    <w:rsid w:val="00196831"/>
    <w:rsid w:val="00196D2B"/>
    <w:rsid w:val="00197268"/>
    <w:rsid w:val="00197705"/>
    <w:rsid w:val="001A55F7"/>
    <w:rsid w:val="001A5726"/>
    <w:rsid w:val="001A5A9F"/>
    <w:rsid w:val="001A672D"/>
    <w:rsid w:val="001A686F"/>
    <w:rsid w:val="001A6C1E"/>
    <w:rsid w:val="001B0488"/>
    <w:rsid w:val="001B0729"/>
    <w:rsid w:val="001B0901"/>
    <w:rsid w:val="001B14FE"/>
    <w:rsid w:val="001B17E6"/>
    <w:rsid w:val="001B1AA1"/>
    <w:rsid w:val="001B24C9"/>
    <w:rsid w:val="001B3433"/>
    <w:rsid w:val="001B3B93"/>
    <w:rsid w:val="001B4BD8"/>
    <w:rsid w:val="001B5229"/>
    <w:rsid w:val="001B6990"/>
    <w:rsid w:val="001B7A15"/>
    <w:rsid w:val="001B7D87"/>
    <w:rsid w:val="001B7E4A"/>
    <w:rsid w:val="001C08F5"/>
    <w:rsid w:val="001C185C"/>
    <w:rsid w:val="001C358C"/>
    <w:rsid w:val="001C3774"/>
    <w:rsid w:val="001C4633"/>
    <w:rsid w:val="001C4B72"/>
    <w:rsid w:val="001C62AF"/>
    <w:rsid w:val="001C65DF"/>
    <w:rsid w:val="001C6931"/>
    <w:rsid w:val="001C7026"/>
    <w:rsid w:val="001C72DB"/>
    <w:rsid w:val="001C7F89"/>
    <w:rsid w:val="001D0797"/>
    <w:rsid w:val="001D1F6E"/>
    <w:rsid w:val="001D3811"/>
    <w:rsid w:val="001D3866"/>
    <w:rsid w:val="001D4325"/>
    <w:rsid w:val="001D67A0"/>
    <w:rsid w:val="001D76BC"/>
    <w:rsid w:val="001E17C7"/>
    <w:rsid w:val="001E1B58"/>
    <w:rsid w:val="001E2115"/>
    <w:rsid w:val="001E22C2"/>
    <w:rsid w:val="001E2C72"/>
    <w:rsid w:val="001E3147"/>
    <w:rsid w:val="001E3BA8"/>
    <w:rsid w:val="001E4854"/>
    <w:rsid w:val="001E4F1F"/>
    <w:rsid w:val="001E55DB"/>
    <w:rsid w:val="001E582D"/>
    <w:rsid w:val="001E5B80"/>
    <w:rsid w:val="001E67CC"/>
    <w:rsid w:val="001E6A12"/>
    <w:rsid w:val="001E778E"/>
    <w:rsid w:val="001F0AE7"/>
    <w:rsid w:val="001F0ED8"/>
    <w:rsid w:val="001F14B5"/>
    <w:rsid w:val="001F2055"/>
    <w:rsid w:val="001F2730"/>
    <w:rsid w:val="001F2A00"/>
    <w:rsid w:val="001F2F70"/>
    <w:rsid w:val="001F311D"/>
    <w:rsid w:val="001F3C6A"/>
    <w:rsid w:val="001F45AD"/>
    <w:rsid w:val="001F483B"/>
    <w:rsid w:val="001F5811"/>
    <w:rsid w:val="001F5F9C"/>
    <w:rsid w:val="001F6F18"/>
    <w:rsid w:val="0020028B"/>
    <w:rsid w:val="00201F02"/>
    <w:rsid w:val="0020289F"/>
    <w:rsid w:val="00202D83"/>
    <w:rsid w:val="00203417"/>
    <w:rsid w:val="00203851"/>
    <w:rsid w:val="00203AB6"/>
    <w:rsid w:val="00204ADF"/>
    <w:rsid w:val="00205B03"/>
    <w:rsid w:val="00206115"/>
    <w:rsid w:val="0020646E"/>
    <w:rsid w:val="002067AC"/>
    <w:rsid w:val="00206AA2"/>
    <w:rsid w:val="002072E7"/>
    <w:rsid w:val="00207864"/>
    <w:rsid w:val="002078EC"/>
    <w:rsid w:val="00207E6B"/>
    <w:rsid w:val="00210FEA"/>
    <w:rsid w:val="00212031"/>
    <w:rsid w:val="00212E73"/>
    <w:rsid w:val="00213070"/>
    <w:rsid w:val="00213923"/>
    <w:rsid w:val="00215A3C"/>
    <w:rsid w:val="0021609B"/>
    <w:rsid w:val="00216293"/>
    <w:rsid w:val="0021638C"/>
    <w:rsid w:val="002204AB"/>
    <w:rsid w:val="002228DF"/>
    <w:rsid w:val="00223557"/>
    <w:rsid w:val="002242FB"/>
    <w:rsid w:val="00224D47"/>
    <w:rsid w:val="00225617"/>
    <w:rsid w:val="00225699"/>
    <w:rsid w:val="002270E1"/>
    <w:rsid w:val="002272B0"/>
    <w:rsid w:val="002272E8"/>
    <w:rsid w:val="0022790D"/>
    <w:rsid w:val="00227AA5"/>
    <w:rsid w:val="00230A3D"/>
    <w:rsid w:val="00230A6C"/>
    <w:rsid w:val="00230CBC"/>
    <w:rsid w:val="00232C5F"/>
    <w:rsid w:val="00232DAA"/>
    <w:rsid w:val="00233538"/>
    <w:rsid w:val="00233AFA"/>
    <w:rsid w:val="0023417E"/>
    <w:rsid w:val="002344A5"/>
    <w:rsid w:val="00234A14"/>
    <w:rsid w:val="00234EB5"/>
    <w:rsid w:val="002358EF"/>
    <w:rsid w:val="00235A00"/>
    <w:rsid w:val="00235F71"/>
    <w:rsid w:val="00237DB8"/>
    <w:rsid w:val="0024014C"/>
    <w:rsid w:val="00240B5A"/>
    <w:rsid w:val="00240D44"/>
    <w:rsid w:val="00241FA4"/>
    <w:rsid w:val="00242BA7"/>
    <w:rsid w:val="002431D4"/>
    <w:rsid w:val="00243637"/>
    <w:rsid w:val="00243DBC"/>
    <w:rsid w:val="00244746"/>
    <w:rsid w:val="002455B2"/>
    <w:rsid w:val="002511F5"/>
    <w:rsid w:val="002521AC"/>
    <w:rsid w:val="002525F2"/>
    <w:rsid w:val="0025338A"/>
    <w:rsid w:val="0025350D"/>
    <w:rsid w:val="00254922"/>
    <w:rsid w:val="002564D8"/>
    <w:rsid w:val="00260661"/>
    <w:rsid w:val="00262722"/>
    <w:rsid w:val="00262F53"/>
    <w:rsid w:val="0026620B"/>
    <w:rsid w:val="002707F4"/>
    <w:rsid w:val="002714AF"/>
    <w:rsid w:val="00272AFC"/>
    <w:rsid w:val="00272DFF"/>
    <w:rsid w:val="0027409E"/>
    <w:rsid w:val="00274B81"/>
    <w:rsid w:val="002755EF"/>
    <w:rsid w:val="00275A35"/>
    <w:rsid w:val="0027633D"/>
    <w:rsid w:val="00280141"/>
    <w:rsid w:val="00280210"/>
    <w:rsid w:val="00281B6B"/>
    <w:rsid w:val="00281C18"/>
    <w:rsid w:val="00282671"/>
    <w:rsid w:val="0028279E"/>
    <w:rsid w:val="00283D5E"/>
    <w:rsid w:val="00284783"/>
    <w:rsid w:val="0028531A"/>
    <w:rsid w:val="00285B29"/>
    <w:rsid w:val="00286372"/>
    <w:rsid w:val="002863D5"/>
    <w:rsid w:val="00286C28"/>
    <w:rsid w:val="00286E4D"/>
    <w:rsid w:val="00287940"/>
    <w:rsid w:val="00287A53"/>
    <w:rsid w:val="00290636"/>
    <w:rsid w:val="002910B4"/>
    <w:rsid w:val="00291F5F"/>
    <w:rsid w:val="00292220"/>
    <w:rsid w:val="00292C4E"/>
    <w:rsid w:val="002952BC"/>
    <w:rsid w:val="002953F4"/>
    <w:rsid w:val="0029543E"/>
    <w:rsid w:val="00295E36"/>
    <w:rsid w:val="00296B56"/>
    <w:rsid w:val="00296D18"/>
    <w:rsid w:val="00297DFB"/>
    <w:rsid w:val="002A0A06"/>
    <w:rsid w:val="002A14AD"/>
    <w:rsid w:val="002A1DFD"/>
    <w:rsid w:val="002A2E6C"/>
    <w:rsid w:val="002A2F50"/>
    <w:rsid w:val="002A3CEC"/>
    <w:rsid w:val="002A4097"/>
    <w:rsid w:val="002A445F"/>
    <w:rsid w:val="002A5015"/>
    <w:rsid w:val="002A5F17"/>
    <w:rsid w:val="002A7955"/>
    <w:rsid w:val="002B05BC"/>
    <w:rsid w:val="002B0F7F"/>
    <w:rsid w:val="002B504E"/>
    <w:rsid w:val="002B53DA"/>
    <w:rsid w:val="002B6524"/>
    <w:rsid w:val="002B7435"/>
    <w:rsid w:val="002B77B6"/>
    <w:rsid w:val="002B7EF2"/>
    <w:rsid w:val="002C07EB"/>
    <w:rsid w:val="002C0F9E"/>
    <w:rsid w:val="002C2683"/>
    <w:rsid w:val="002C2FF5"/>
    <w:rsid w:val="002C469D"/>
    <w:rsid w:val="002C6AED"/>
    <w:rsid w:val="002D1D9C"/>
    <w:rsid w:val="002D2439"/>
    <w:rsid w:val="002D2B26"/>
    <w:rsid w:val="002D2CBA"/>
    <w:rsid w:val="002D2D63"/>
    <w:rsid w:val="002D3AA3"/>
    <w:rsid w:val="002D4EB5"/>
    <w:rsid w:val="002D619B"/>
    <w:rsid w:val="002D6DBE"/>
    <w:rsid w:val="002D6EFB"/>
    <w:rsid w:val="002D7951"/>
    <w:rsid w:val="002D7B62"/>
    <w:rsid w:val="002E01B6"/>
    <w:rsid w:val="002E0730"/>
    <w:rsid w:val="002E0BED"/>
    <w:rsid w:val="002E1086"/>
    <w:rsid w:val="002E1154"/>
    <w:rsid w:val="002E1299"/>
    <w:rsid w:val="002E213F"/>
    <w:rsid w:val="002E21A0"/>
    <w:rsid w:val="002E22E7"/>
    <w:rsid w:val="002E371F"/>
    <w:rsid w:val="002E428D"/>
    <w:rsid w:val="002E4576"/>
    <w:rsid w:val="002E45F1"/>
    <w:rsid w:val="002E52B7"/>
    <w:rsid w:val="002E52F0"/>
    <w:rsid w:val="002E556C"/>
    <w:rsid w:val="002E5E19"/>
    <w:rsid w:val="002E5FFE"/>
    <w:rsid w:val="002E6B20"/>
    <w:rsid w:val="002E6E05"/>
    <w:rsid w:val="002E72D9"/>
    <w:rsid w:val="002F0139"/>
    <w:rsid w:val="002F1005"/>
    <w:rsid w:val="002F2B72"/>
    <w:rsid w:val="002F356A"/>
    <w:rsid w:val="002F5C47"/>
    <w:rsid w:val="002F6F4D"/>
    <w:rsid w:val="002F7721"/>
    <w:rsid w:val="002F776A"/>
    <w:rsid w:val="002F79C1"/>
    <w:rsid w:val="00301081"/>
    <w:rsid w:val="003010F3"/>
    <w:rsid w:val="00301C61"/>
    <w:rsid w:val="0030206D"/>
    <w:rsid w:val="0030388F"/>
    <w:rsid w:val="00303CEA"/>
    <w:rsid w:val="003044D6"/>
    <w:rsid w:val="0030541D"/>
    <w:rsid w:val="00305DEC"/>
    <w:rsid w:val="0030687C"/>
    <w:rsid w:val="00306C57"/>
    <w:rsid w:val="00307492"/>
    <w:rsid w:val="00307778"/>
    <w:rsid w:val="00307BCA"/>
    <w:rsid w:val="00312362"/>
    <w:rsid w:val="00312541"/>
    <w:rsid w:val="003139F0"/>
    <w:rsid w:val="00313EAD"/>
    <w:rsid w:val="003142EC"/>
    <w:rsid w:val="003146E9"/>
    <w:rsid w:val="00314AB3"/>
    <w:rsid w:val="00314DC0"/>
    <w:rsid w:val="003156AA"/>
    <w:rsid w:val="00315858"/>
    <w:rsid w:val="0031638B"/>
    <w:rsid w:val="003171F6"/>
    <w:rsid w:val="003173F6"/>
    <w:rsid w:val="00317AB9"/>
    <w:rsid w:val="0032026A"/>
    <w:rsid w:val="00320D3F"/>
    <w:rsid w:val="003235A6"/>
    <w:rsid w:val="003257AA"/>
    <w:rsid w:val="0032599E"/>
    <w:rsid w:val="00325D54"/>
    <w:rsid w:val="00325D81"/>
    <w:rsid w:val="00326598"/>
    <w:rsid w:val="00326E18"/>
    <w:rsid w:val="00327246"/>
    <w:rsid w:val="003278FC"/>
    <w:rsid w:val="0033176D"/>
    <w:rsid w:val="00331BDD"/>
    <w:rsid w:val="00332492"/>
    <w:rsid w:val="003342A7"/>
    <w:rsid w:val="00335B49"/>
    <w:rsid w:val="00337480"/>
    <w:rsid w:val="00337743"/>
    <w:rsid w:val="00337783"/>
    <w:rsid w:val="00337B55"/>
    <w:rsid w:val="00340754"/>
    <w:rsid w:val="00340A76"/>
    <w:rsid w:val="00340BC9"/>
    <w:rsid w:val="0034372D"/>
    <w:rsid w:val="00343A3A"/>
    <w:rsid w:val="00343A5D"/>
    <w:rsid w:val="00343F3F"/>
    <w:rsid w:val="00344CDC"/>
    <w:rsid w:val="0034695A"/>
    <w:rsid w:val="00346B28"/>
    <w:rsid w:val="003472A1"/>
    <w:rsid w:val="00350B19"/>
    <w:rsid w:val="00350B3E"/>
    <w:rsid w:val="003512CD"/>
    <w:rsid w:val="0035237F"/>
    <w:rsid w:val="003523E1"/>
    <w:rsid w:val="0035266A"/>
    <w:rsid w:val="003532D4"/>
    <w:rsid w:val="003533C9"/>
    <w:rsid w:val="003536F6"/>
    <w:rsid w:val="003541F7"/>
    <w:rsid w:val="00354373"/>
    <w:rsid w:val="00356E8A"/>
    <w:rsid w:val="003573A3"/>
    <w:rsid w:val="00357854"/>
    <w:rsid w:val="00360246"/>
    <w:rsid w:val="00360B47"/>
    <w:rsid w:val="00360B6E"/>
    <w:rsid w:val="00362661"/>
    <w:rsid w:val="0036270B"/>
    <w:rsid w:val="00362A2A"/>
    <w:rsid w:val="0036388B"/>
    <w:rsid w:val="00364FF5"/>
    <w:rsid w:val="00365454"/>
    <w:rsid w:val="00365592"/>
    <w:rsid w:val="0036576F"/>
    <w:rsid w:val="00367577"/>
    <w:rsid w:val="00367711"/>
    <w:rsid w:val="0036791D"/>
    <w:rsid w:val="00367B34"/>
    <w:rsid w:val="00370793"/>
    <w:rsid w:val="00370B82"/>
    <w:rsid w:val="00372236"/>
    <w:rsid w:val="00372627"/>
    <w:rsid w:val="00374149"/>
    <w:rsid w:val="003747E6"/>
    <w:rsid w:val="00374B30"/>
    <w:rsid w:val="0037616B"/>
    <w:rsid w:val="0037722F"/>
    <w:rsid w:val="003773B5"/>
    <w:rsid w:val="00381968"/>
    <w:rsid w:val="003825E9"/>
    <w:rsid w:val="003842D4"/>
    <w:rsid w:val="003844DF"/>
    <w:rsid w:val="003846C7"/>
    <w:rsid w:val="00384F17"/>
    <w:rsid w:val="003854A7"/>
    <w:rsid w:val="00386B06"/>
    <w:rsid w:val="00387206"/>
    <w:rsid w:val="00387594"/>
    <w:rsid w:val="00387704"/>
    <w:rsid w:val="0039001B"/>
    <w:rsid w:val="003905C4"/>
    <w:rsid w:val="003908C3"/>
    <w:rsid w:val="00390CE4"/>
    <w:rsid w:val="003913B1"/>
    <w:rsid w:val="00391484"/>
    <w:rsid w:val="00392775"/>
    <w:rsid w:val="003928DA"/>
    <w:rsid w:val="00392FB3"/>
    <w:rsid w:val="00393438"/>
    <w:rsid w:val="00393CB8"/>
    <w:rsid w:val="00395357"/>
    <w:rsid w:val="00396832"/>
    <w:rsid w:val="00396ADE"/>
    <w:rsid w:val="00396D04"/>
    <w:rsid w:val="00396F95"/>
    <w:rsid w:val="003A03BF"/>
    <w:rsid w:val="003A0E08"/>
    <w:rsid w:val="003A10B8"/>
    <w:rsid w:val="003A1619"/>
    <w:rsid w:val="003A2A7B"/>
    <w:rsid w:val="003A3560"/>
    <w:rsid w:val="003A3F3A"/>
    <w:rsid w:val="003A43AB"/>
    <w:rsid w:val="003A4EC3"/>
    <w:rsid w:val="003A7290"/>
    <w:rsid w:val="003A7BA2"/>
    <w:rsid w:val="003B09AB"/>
    <w:rsid w:val="003B0E97"/>
    <w:rsid w:val="003B0F9E"/>
    <w:rsid w:val="003B159B"/>
    <w:rsid w:val="003B19E2"/>
    <w:rsid w:val="003B3108"/>
    <w:rsid w:val="003B5484"/>
    <w:rsid w:val="003B60E3"/>
    <w:rsid w:val="003B71E2"/>
    <w:rsid w:val="003B7583"/>
    <w:rsid w:val="003C0494"/>
    <w:rsid w:val="003C0A88"/>
    <w:rsid w:val="003C0B1D"/>
    <w:rsid w:val="003C0C94"/>
    <w:rsid w:val="003C21D3"/>
    <w:rsid w:val="003C236C"/>
    <w:rsid w:val="003C31B7"/>
    <w:rsid w:val="003C4085"/>
    <w:rsid w:val="003C4AB0"/>
    <w:rsid w:val="003C4BA8"/>
    <w:rsid w:val="003C4BE6"/>
    <w:rsid w:val="003C5091"/>
    <w:rsid w:val="003C5902"/>
    <w:rsid w:val="003C7D52"/>
    <w:rsid w:val="003D031A"/>
    <w:rsid w:val="003D08B0"/>
    <w:rsid w:val="003D12A9"/>
    <w:rsid w:val="003D1548"/>
    <w:rsid w:val="003D168B"/>
    <w:rsid w:val="003D2B0A"/>
    <w:rsid w:val="003D2D78"/>
    <w:rsid w:val="003D31F9"/>
    <w:rsid w:val="003D367A"/>
    <w:rsid w:val="003D3C62"/>
    <w:rsid w:val="003D4C5E"/>
    <w:rsid w:val="003D5BC4"/>
    <w:rsid w:val="003D6275"/>
    <w:rsid w:val="003D683C"/>
    <w:rsid w:val="003D756C"/>
    <w:rsid w:val="003D76DD"/>
    <w:rsid w:val="003E150A"/>
    <w:rsid w:val="003E2417"/>
    <w:rsid w:val="003E2661"/>
    <w:rsid w:val="003E2911"/>
    <w:rsid w:val="003E2B61"/>
    <w:rsid w:val="003E3B9D"/>
    <w:rsid w:val="003E3D45"/>
    <w:rsid w:val="003E4A84"/>
    <w:rsid w:val="003E4D97"/>
    <w:rsid w:val="003E5BB7"/>
    <w:rsid w:val="003E5DD5"/>
    <w:rsid w:val="003E6D01"/>
    <w:rsid w:val="003E6D86"/>
    <w:rsid w:val="003E6F64"/>
    <w:rsid w:val="003E7491"/>
    <w:rsid w:val="003E7B7C"/>
    <w:rsid w:val="003F0FF9"/>
    <w:rsid w:val="003F1101"/>
    <w:rsid w:val="003F203E"/>
    <w:rsid w:val="003F226F"/>
    <w:rsid w:val="003F358C"/>
    <w:rsid w:val="003F369C"/>
    <w:rsid w:val="003F3ABD"/>
    <w:rsid w:val="003F3C36"/>
    <w:rsid w:val="003F5D6C"/>
    <w:rsid w:val="003F64F7"/>
    <w:rsid w:val="003F7594"/>
    <w:rsid w:val="003F7D04"/>
    <w:rsid w:val="004006E3"/>
    <w:rsid w:val="00401407"/>
    <w:rsid w:val="00401CC2"/>
    <w:rsid w:val="00402266"/>
    <w:rsid w:val="004029B4"/>
    <w:rsid w:val="00402AD9"/>
    <w:rsid w:val="00403CAA"/>
    <w:rsid w:val="00403DFE"/>
    <w:rsid w:val="004043B8"/>
    <w:rsid w:val="00404D24"/>
    <w:rsid w:val="0040639B"/>
    <w:rsid w:val="00406509"/>
    <w:rsid w:val="00406ACD"/>
    <w:rsid w:val="0040703D"/>
    <w:rsid w:val="00407D6E"/>
    <w:rsid w:val="00410237"/>
    <w:rsid w:val="004105A5"/>
    <w:rsid w:val="0041100A"/>
    <w:rsid w:val="00412C50"/>
    <w:rsid w:val="00412C5A"/>
    <w:rsid w:val="00413EDC"/>
    <w:rsid w:val="00414891"/>
    <w:rsid w:val="00415E1B"/>
    <w:rsid w:val="004208C0"/>
    <w:rsid w:val="00421E82"/>
    <w:rsid w:val="00422597"/>
    <w:rsid w:val="00422912"/>
    <w:rsid w:val="00422ACF"/>
    <w:rsid w:val="00422C7A"/>
    <w:rsid w:val="00425B40"/>
    <w:rsid w:val="00426893"/>
    <w:rsid w:val="004279EB"/>
    <w:rsid w:val="00427FD0"/>
    <w:rsid w:val="004301A0"/>
    <w:rsid w:val="0043099D"/>
    <w:rsid w:val="00430A25"/>
    <w:rsid w:val="00430A80"/>
    <w:rsid w:val="004339A4"/>
    <w:rsid w:val="0043408D"/>
    <w:rsid w:val="00434285"/>
    <w:rsid w:val="0043428B"/>
    <w:rsid w:val="0043521F"/>
    <w:rsid w:val="00436080"/>
    <w:rsid w:val="0043637C"/>
    <w:rsid w:val="00436675"/>
    <w:rsid w:val="004375DD"/>
    <w:rsid w:val="0044168E"/>
    <w:rsid w:val="00443CB6"/>
    <w:rsid w:val="004456EC"/>
    <w:rsid w:val="00445A30"/>
    <w:rsid w:val="004461A9"/>
    <w:rsid w:val="00447783"/>
    <w:rsid w:val="00447968"/>
    <w:rsid w:val="004506D9"/>
    <w:rsid w:val="00450FE0"/>
    <w:rsid w:val="00452AA0"/>
    <w:rsid w:val="00453690"/>
    <w:rsid w:val="0045437A"/>
    <w:rsid w:val="00454B2A"/>
    <w:rsid w:val="00454E0A"/>
    <w:rsid w:val="00454E1A"/>
    <w:rsid w:val="004551CC"/>
    <w:rsid w:val="00455428"/>
    <w:rsid w:val="004558B5"/>
    <w:rsid w:val="00455A35"/>
    <w:rsid w:val="004569BC"/>
    <w:rsid w:val="00456A38"/>
    <w:rsid w:val="00456C4D"/>
    <w:rsid w:val="00456EA9"/>
    <w:rsid w:val="00457E26"/>
    <w:rsid w:val="004601A8"/>
    <w:rsid w:val="0046067C"/>
    <w:rsid w:val="00460E62"/>
    <w:rsid w:val="00461893"/>
    <w:rsid w:val="00461AB6"/>
    <w:rsid w:val="004622D2"/>
    <w:rsid w:val="004631E4"/>
    <w:rsid w:val="0046321D"/>
    <w:rsid w:val="0046482B"/>
    <w:rsid w:val="00464FD8"/>
    <w:rsid w:val="00465718"/>
    <w:rsid w:val="0046575E"/>
    <w:rsid w:val="0046594C"/>
    <w:rsid w:val="004663A4"/>
    <w:rsid w:val="004675F0"/>
    <w:rsid w:val="00467D8D"/>
    <w:rsid w:val="00470E3E"/>
    <w:rsid w:val="00472E26"/>
    <w:rsid w:val="004748F8"/>
    <w:rsid w:val="00474AAF"/>
    <w:rsid w:val="0047744C"/>
    <w:rsid w:val="004778B8"/>
    <w:rsid w:val="0047796A"/>
    <w:rsid w:val="0048025A"/>
    <w:rsid w:val="004818DC"/>
    <w:rsid w:val="00481AE7"/>
    <w:rsid w:val="00481B19"/>
    <w:rsid w:val="00482A04"/>
    <w:rsid w:val="00482B2A"/>
    <w:rsid w:val="00483533"/>
    <w:rsid w:val="004839BC"/>
    <w:rsid w:val="004851AE"/>
    <w:rsid w:val="00485D87"/>
    <w:rsid w:val="00486BF0"/>
    <w:rsid w:val="00487A3E"/>
    <w:rsid w:val="00492C73"/>
    <w:rsid w:val="004933B0"/>
    <w:rsid w:val="0049373A"/>
    <w:rsid w:val="004948E9"/>
    <w:rsid w:val="00494C4A"/>
    <w:rsid w:val="004967CE"/>
    <w:rsid w:val="004970F2"/>
    <w:rsid w:val="00497A69"/>
    <w:rsid w:val="004A0A9C"/>
    <w:rsid w:val="004A0B12"/>
    <w:rsid w:val="004A18B4"/>
    <w:rsid w:val="004A2996"/>
    <w:rsid w:val="004A2E92"/>
    <w:rsid w:val="004A3FEF"/>
    <w:rsid w:val="004A4DE3"/>
    <w:rsid w:val="004A50B3"/>
    <w:rsid w:val="004A5984"/>
    <w:rsid w:val="004B04C4"/>
    <w:rsid w:val="004B07E8"/>
    <w:rsid w:val="004B09EF"/>
    <w:rsid w:val="004B2934"/>
    <w:rsid w:val="004B3CF9"/>
    <w:rsid w:val="004B3D0D"/>
    <w:rsid w:val="004B4C39"/>
    <w:rsid w:val="004B5335"/>
    <w:rsid w:val="004B72A8"/>
    <w:rsid w:val="004B73BC"/>
    <w:rsid w:val="004B7481"/>
    <w:rsid w:val="004C0306"/>
    <w:rsid w:val="004C1205"/>
    <w:rsid w:val="004C23F7"/>
    <w:rsid w:val="004C24E1"/>
    <w:rsid w:val="004C25F0"/>
    <w:rsid w:val="004C319C"/>
    <w:rsid w:val="004C4055"/>
    <w:rsid w:val="004C42D6"/>
    <w:rsid w:val="004C438C"/>
    <w:rsid w:val="004C5DF8"/>
    <w:rsid w:val="004C6507"/>
    <w:rsid w:val="004C7698"/>
    <w:rsid w:val="004D02AB"/>
    <w:rsid w:val="004D06EB"/>
    <w:rsid w:val="004D2C32"/>
    <w:rsid w:val="004D2CF8"/>
    <w:rsid w:val="004D3AE0"/>
    <w:rsid w:val="004D3B42"/>
    <w:rsid w:val="004D41CE"/>
    <w:rsid w:val="004D4C2A"/>
    <w:rsid w:val="004D5206"/>
    <w:rsid w:val="004D61F7"/>
    <w:rsid w:val="004E02EF"/>
    <w:rsid w:val="004E13FE"/>
    <w:rsid w:val="004E2014"/>
    <w:rsid w:val="004E2D5E"/>
    <w:rsid w:val="004E31A9"/>
    <w:rsid w:val="004E3206"/>
    <w:rsid w:val="004E3381"/>
    <w:rsid w:val="004E347C"/>
    <w:rsid w:val="004E36F6"/>
    <w:rsid w:val="004E3D6D"/>
    <w:rsid w:val="004E41F0"/>
    <w:rsid w:val="004E44CF"/>
    <w:rsid w:val="004E4F86"/>
    <w:rsid w:val="004E54D4"/>
    <w:rsid w:val="004E6BF6"/>
    <w:rsid w:val="004E6D51"/>
    <w:rsid w:val="004F07CD"/>
    <w:rsid w:val="004F17DB"/>
    <w:rsid w:val="004F1F07"/>
    <w:rsid w:val="004F2382"/>
    <w:rsid w:val="004F347B"/>
    <w:rsid w:val="004F38C7"/>
    <w:rsid w:val="004F49B2"/>
    <w:rsid w:val="004F513B"/>
    <w:rsid w:val="004F5DF6"/>
    <w:rsid w:val="004F6950"/>
    <w:rsid w:val="004F749F"/>
    <w:rsid w:val="004F78BC"/>
    <w:rsid w:val="004F7951"/>
    <w:rsid w:val="004F79D2"/>
    <w:rsid w:val="00500222"/>
    <w:rsid w:val="00500717"/>
    <w:rsid w:val="00501821"/>
    <w:rsid w:val="00502FEA"/>
    <w:rsid w:val="005032BE"/>
    <w:rsid w:val="00504BA0"/>
    <w:rsid w:val="00506255"/>
    <w:rsid w:val="0050648F"/>
    <w:rsid w:val="00506766"/>
    <w:rsid w:val="00510074"/>
    <w:rsid w:val="00511934"/>
    <w:rsid w:val="005121F8"/>
    <w:rsid w:val="00513B84"/>
    <w:rsid w:val="00515AFD"/>
    <w:rsid w:val="00520341"/>
    <w:rsid w:val="005206E5"/>
    <w:rsid w:val="00520A73"/>
    <w:rsid w:val="00520AFD"/>
    <w:rsid w:val="00521033"/>
    <w:rsid w:val="005211AE"/>
    <w:rsid w:val="00521B91"/>
    <w:rsid w:val="00521CDA"/>
    <w:rsid w:val="005223FD"/>
    <w:rsid w:val="005229CA"/>
    <w:rsid w:val="00522C56"/>
    <w:rsid w:val="00522E44"/>
    <w:rsid w:val="00523586"/>
    <w:rsid w:val="00523F8D"/>
    <w:rsid w:val="00524FE3"/>
    <w:rsid w:val="00525012"/>
    <w:rsid w:val="005258C0"/>
    <w:rsid w:val="0052647C"/>
    <w:rsid w:val="0052761E"/>
    <w:rsid w:val="00527C48"/>
    <w:rsid w:val="0053062A"/>
    <w:rsid w:val="00530BF0"/>
    <w:rsid w:val="00531820"/>
    <w:rsid w:val="005326AD"/>
    <w:rsid w:val="00532A54"/>
    <w:rsid w:val="005351CE"/>
    <w:rsid w:val="0053556E"/>
    <w:rsid w:val="0053612B"/>
    <w:rsid w:val="00536227"/>
    <w:rsid w:val="00536617"/>
    <w:rsid w:val="00536663"/>
    <w:rsid w:val="00537591"/>
    <w:rsid w:val="00540E6C"/>
    <w:rsid w:val="00540E74"/>
    <w:rsid w:val="0054110D"/>
    <w:rsid w:val="00541281"/>
    <w:rsid w:val="00542464"/>
    <w:rsid w:val="0054380D"/>
    <w:rsid w:val="0054387C"/>
    <w:rsid w:val="00543E67"/>
    <w:rsid w:val="00544725"/>
    <w:rsid w:val="00545800"/>
    <w:rsid w:val="00545BCF"/>
    <w:rsid w:val="00545FE9"/>
    <w:rsid w:val="0055011E"/>
    <w:rsid w:val="00550926"/>
    <w:rsid w:val="00550DAC"/>
    <w:rsid w:val="0055123B"/>
    <w:rsid w:val="005516F4"/>
    <w:rsid w:val="005521ED"/>
    <w:rsid w:val="00552289"/>
    <w:rsid w:val="005537FD"/>
    <w:rsid w:val="0055478C"/>
    <w:rsid w:val="00556A36"/>
    <w:rsid w:val="005606A3"/>
    <w:rsid w:val="00562705"/>
    <w:rsid w:val="005631B8"/>
    <w:rsid w:val="005632EA"/>
    <w:rsid w:val="005636BF"/>
    <w:rsid w:val="00563952"/>
    <w:rsid w:val="00563EE1"/>
    <w:rsid w:val="00566FE6"/>
    <w:rsid w:val="005671EA"/>
    <w:rsid w:val="00570747"/>
    <w:rsid w:val="0057149F"/>
    <w:rsid w:val="005714B7"/>
    <w:rsid w:val="005722A3"/>
    <w:rsid w:val="00572FBD"/>
    <w:rsid w:val="00573067"/>
    <w:rsid w:val="00575A02"/>
    <w:rsid w:val="00575E34"/>
    <w:rsid w:val="005764E2"/>
    <w:rsid w:val="00576F1A"/>
    <w:rsid w:val="0057777C"/>
    <w:rsid w:val="00577EEC"/>
    <w:rsid w:val="00580D5E"/>
    <w:rsid w:val="00580D8C"/>
    <w:rsid w:val="00581149"/>
    <w:rsid w:val="0058125B"/>
    <w:rsid w:val="0058127D"/>
    <w:rsid w:val="005813FF"/>
    <w:rsid w:val="00581683"/>
    <w:rsid w:val="005828B2"/>
    <w:rsid w:val="005828F2"/>
    <w:rsid w:val="00582B34"/>
    <w:rsid w:val="005831AE"/>
    <w:rsid w:val="005837DC"/>
    <w:rsid w:val="00583884"/>
    <w:rsid w:val="00584137"/>
    <w:rsid w:val="00586363"/>
    <w:rsid w:val="0059073C"/>
    <w:rsid w:val="00590A74"/>
    <w:rsid w:val="005910DB"/>
    <w:rsid w:val="0059113A"/>
    <w:rsid w:val="005911DD"/>
    <w:rsid w:val="005929F8"/>
    <w:rsid w:val="0059396A"/>
    <w:rsid w:val="00593CF0"/>
    <w:rsid w:val="00594735"/>
    <w:rsid w:val="00595D69"/>
    <w:rsid w:val="00596663"/>
    <w:rsid w:val="00596E5C"/>
    <w:rsid w:val="005970DF"/>
    <w:rsid w:val="00597312"/>
    <w:rsid w:val="0059792E"/>
    <w:rsid w:val="005A0A7F"/>
    <w:rsid w:val="005A1318"/>
    <w:rsid w:val="005A1EA5"/>
    <w:rsid w:val="005A3C72"/>
    <w:rsid w:val="005A42D7"/>
    <w:rsid w:val="005A488C"/>
    <w:rsid w:val="005A5269"/>
    <w:rsid w:val="005A5E60"/>
    <w:rsid w:val="005A5F60"/>
    <w:rsid w:val="005A6C4F"/>
    <w:rsid w:val="005A7B93"/>
    <w:rsid w:val="005B04A8"/>
    <w:rsid w:val="005B0E67"/>
    <w:rsid w:val="005B0F01"/>
    <w:rsid w:val="005B194B"/>
    <w:rsid w:val="005B1B1D"/>
    <w:rsid w:val="005B35C3"/>
    <w:rsid w:val="005B4A58"/>
    <w:rsid w:val="005B4C44"/>
    <w:rsid w:val="005B502C"/>
    <w:rsid w:val="005B5E2B"/>
    <w:rsid w:val="005B6910"/>
    <w:rsid w:val="005B76E4"/>
    <w:rsid w:val="005B7CDA"/>
    <w:rsid w:val="005C0434"/>
    <w:rsid w:val="005C1873"/>
    <w:rsid w:val="005C3887"/>
    <w:rsid w:val="005C38A5"/>
    <w:rsid w:val="005C4C90"/>
    <w:rsid w:val="005C4C9D"/>
    <w:rsid w:val="005C53E5"/>
    <w:rsid w:val="005C5AB7"/>
    <w:rsid w:val="005C5DEB"/>
    <w:rsid w:val="005C6D4D"/>
    <w:rsid w:val="005C7019"/>
    <w:rsid w:val="005D0618"/>
    <w:rsid w:val="005D0914"/>
    <w:rsid w:val="005D1DE2"/>
    <w:rsid w:val="005D3DED"/>
    <w:rsid w:val="005D3FF9"/>
    <w:rsid w:val="005D4085"/>
    <w:rsid w:val="005D423F"/>
    <w:rsid w:val="005D4A09"/>
    <w:rsid w:val="005D5427"/>
    <w:rsid w:val="005D65C6"/>
    <w:rsid w:val="005D6616"/>
    <w:rsid w:val="005D73EA"/>
    <w:rsid w:val="005E3164"/>
    <w:rsid w:val="005E3421"/>
    <w:rsid w:val="005E37E2"/>
    <w:rsid w:val="005E6A79"/>
    <w:rsid w:val="005E6BE2"/>
    <w:rsid w:val="005E6E04"/>
    <w:rsid w:val="005E7B53"/>
    <w:rsid w:val="005E7BE0"/>
    <w:rsid w:val="005E7F19"/>
    <w:rsid w:val="005F000B"/>
    <w:rsid w:val="005F0393"/>
    <w:rsid w:val="005F06D2"/>
    <w:rsid w:val="005F0A81"/>
    <w:rsid w:val="005F1260"/>
    <w:rsid w:val="005F5ACA"/>
    <w:rsid w:val="005F6B3B"/>
    <w:rsid w:val="005F6B55"/>
    <w:rsid w:val="005F6FEA"/>
    <w:rsid w:val="005F7B3E"/>
    <w:rsid w:val="005F7B98"/>
    <w:rsid w:val="00600301"/>
    <w:rsid w:val="00600914"/>
    <w:rsid w:val="0060091A"/>
    <w:rsid w:val="00600D8E"/>
    <w:rsid w:val="00601900"/>
    <w:rsid w:val="00602523"/>
    <w:rsid w:val="006029E2"/>
    <w:rsid w:val="00602D54"/>
    <w:rsid w:val="00603A9E"/>
    <w:rsid w:val="00603B06"/>
    <w:rsid w:val="00605492"/>
    <w:rsid w:val="006058AE"/>
    <w:rsid w:val="006101E3"/>
    <w:rsid w:val="00610877"/>
    <w:rsid w:val="00612517"/>
    <w:rsid w:val="00612EA0"/>
    <w:rsid w:val="006132EA"/>
    <w:rsid w:val="0061344F"/>
    <w:rsid w:val="0061474E"/>
    <w:rsid w:val="006154C7"/>
    <w:rsid w:val="00615BE9"/>
    <w:rsid w:val="00615F99"/>
    <w:rsid w:val="006162CF"/>
    <w:rsid w:val="006178C1"/>
    <w:rsid w:val="0062238A"/>
    <w:rsid w:val="00623D97"/>
    <w:rsid w:val="006254BB"/>
    <w:rsid w:val="00625B13"/>
    <w:rsid w:val="00625B5E"/>
    <w:rsid w:val="006269A5"/>
    <w:rsid w:val="00626E6B"/>
    <w:rsid w:val="0062761B"/>
    <w:rsid w:val="006308FF"/>
    <w:rsid w:val="0063137D"/>
    <w:rsid w:val="00631A36"/>
    <w:rsid w:val="00633D06"/>
    <w:rsid w:val="00633F7D"/>
    <w:rsid w:val="00634C2A"/>
    <w:rsid w:val="00635512"/>
    <w:rsid w:val="00636A7B"/>
    <w:rsid w:val="00637282"/>
    <w:rsid w:val="00637383"/>
    <w:rsid w:val="006402F7"/>
    <w:rsid w:val="00640F0F"/>
    <w:rsid w:val="006415BE"/>
    <w:rsid w:val="00641CC4"/>
    <w:rsid w:val="006432D5"/>
    <w:rsid w:val="006439A6"/>
    <w:rsid w:val="00643E86"/>
    <w:rsid w:val="00644278"/>
    <w:rsid w:val="0064578A"/>
    <w:rsid w:val="00645841"/>
    <w:rsid w:val="00645937"/>
    <w:rsid w:val="00645CF7"/>
    <w:rsid w:val="006461E1"/>
    <w:rsid w:val="00646BF9"/>
    <w:rsid w:val="00646DCB"/>
    <w:rsid w:val="00647A4A"/>
    <w:rsid w:val="00647AD0"/>
    <w:rsid w:val="00647DD4"/>
    <w:rsid w:val="00650815"/>
    <w:rsid w:val="00651977"/>
    <w:rsid w:val="00652818"/>
    <w:rsid w:val="00652EA6"/>
    <w:rsid w:val="006532CD"/>
    <w:rsid w:val="006533EA"/>
    <w:rsid w:val="00653596"/>
    <w:rsid w:val="00653A45"/>
    <w:rsid w:val="00653D2C"/>
    <w:rsid w:val="00654BAE"/>
    <w:rsid w:val="00655042"/>
    <w:rsid w:val="00655625"/>
    <w:rsid w:val="006603AF"/>
    <w:rsid w:val="00660974"/>
    <w:rsid w:val="0066198F"/>
    <w:rsid w:val="00661A5E"/>
    <w:rsid w:val="00661DF3"/>
    <w:rsid w:val="006621FF"/>
    <w:rsid w:val="006624A4"/>
    <w:rsid w:val="006625B8"/>
    <w:rsid w:val="006626BD"/>
    <w:rsid w:val="00663D03"/>
    <w:rsid w:val="00664097"/>
    <w:rsid w:val="00664890"/>
    <w:rsid w:val="00664D2D"/>
    <w:rsid w:val="0066521E"/>
    <w:rsid w:val="00665250"/>
    <w:rsid w:val="00665D61"/>
    <w:rsid w:val="00667C1A"/>
    <w:rsid w:val="00670F50"/>
    <w:rsid w:val="00671111"/>
    <w:rsid w:val="00671673"/>
    <w:rsid w:val="00672CF4"/>
    <w:rsid w:val="00673589"/>
    <w:rsid w:val="00681CB3"/>
    <w:rsid w:val="0068210E"/>
    <w:rsid w:val="00682410"/>
    <w:rsid w:val="006824D2"/>
    <w:rsid w:val="00682D74"/>
    <w:rsid w:val="00682DFD"/>
    <w:rsid w:val="00684BD0"/>
    <w:rsid w:val="0068569E"/>
    <w:rsid w:val="00685FBA"/>
    <w:rsid w:val="00686B95"/>
    <w:rsid w:val="006870EE"/>
    <w:rsid w:val="00691408"/>
    <w:rsid w:val="006916CF"/>
    <w:rsid w:val="006921CB"/>
    <w:rsid w:val="006928D7"/>
    <w:rsid w:val="00692D97"/>
    <w:rsid w:val="0069334E"/>
    <w:rsid w:val="00695A99"/>
    <w:rsid w:val="00696FCE"/>
    <w:rsid w:val="00697106"/>
    <w:rsid w:val="006974EE"/>
    <w:rsid w:val="00697680"/>
    <w:rsid w:val="0069781C"/>
    <w:rsid w:val="006A0D5C"/>
    <w:rsid w:val="006A0D84"/>
    <w:rsid w:val="006A111F"/>
    <w:rsid w:val="006A11BA"/>
    <w:rsid w:val="006A15FE"/>
    <w:rsid w:val="006A1739"/>
    <w:rsid w:val="006A179E"/>
    <w:rsid w:val="006A2626"/>
    <w:rsid w:val="006A2945"/>
    <w:rsid w:val="006A2DC7"/>
    <w:rsid w:val="006A34CD"/>
    <w:rsid w:val="006A38A6"/>
    <w:rsid w:val="006A5189"/>
    <w:rsid w:val="006A5B82"/>
    <w:rsid w:val="006A60E0"/>
    <w:rsid w:val="006A6970"/>
    <w:rsid w:val="006A72C1"/>
    <w:rsid w:val="006A76F0"/>
    <w:rsid w:val="006A7E1F"/>
    <w:rsid w:val="006B02AA"/>
    <w:rsid w:val="006B0E9B"/>
    <w:rsid w:val="006B1A2C"/>
    <w:rsid w:val="006B21BA"/>
    <w:rsid w:val="006B23BF"/>
    <w:rsid w:val="006B379F"/>
    <w:rsid w:val="006B38E6"/>
    <w:rsid w:val="006B41E3"/>
    <w:rsid w:val="006B5A8B"/>
    <w:rsid w:val="006B64AE"/>
    <w:rsid w:val="006C03D8"/>
    <w:rsid w:val="006C0B38"/>
    <w:rsid w:val="006C0E73"/>
    <w:rsid w:val="006C1D61"/>
    <w:rsid w:val="006C3710"/>
    <w:rsid w:val="006C38DB"/>
    <w:rsid w:val="006C4675"/>
    <w:rsid w:val="006C4B5F"/>
    <w:rsid w:val="006C4C02"/>
    <w:rsid w:val="006C6512"/>
    <w:rsid w:val="006C7FDD"/>
    <w:rsid w:val="006D102A"/>
    <w:rsid w:val="006D6405"/>
    <w:rsid w:val="006D763E"/>
    <w:rsid w:val="006E0820"/>
    <w:rsid w:val="006E1449"/>
    <w:rsid w:val="006E2B31"/>
    <w:rsid w:val="006E2C51"/>
    <w:rsid w:val="006E3E1B"/>
    <w:rsid w:val="006E44F2"/>
    <w:rsid w:val="006E6B8A"/>
    <w:rsid w:val="006E6BD3"/>
    <w:rsid w:val="006F05FA"/>
    <w:rsid w:val="006F0B36"/>
    <w:rsid w:val="006F0E9C"/>
    <w:rsid w:val="006F121C"/>
    <w:rsid w:val="006F12F9"/>
    <w:rsid w:val="006F222D"/>
    <w:rsid w:val="006F2759"/>
    <w:rsid w:val="006F29F7"/>
    <w:rsid w:val="006F3C8A"/>
    <w:rsid w:val="006F6210"/>
    <w:rsid w:val="006F7514"/>
    <w:rsid w:val="006F7A17"/>
    <w:rsid w:val="0070080E"/>
    <w:rsid w:val="007010EB"/>
    <w:rsid w:val="007015E4"/>
    <w:rsid w:val="00701823"/>
    <w:rsid w:val="00701E72"/>
    <w:rsid w:val="007029E0"/>
    <w:rsid w:val="00703318"/>
    <w:rsid w:val="00703627"/>
    <w:rsid w:val="00703EA7"/>
    <w:rsid w:val="00704BA9"/>
    <w:rsid w:val="00706295"/>
    <w:rsid w:val="00706C52"/>
    <w:rsid w:val="00706D4B"/>
    <w:rsid w:val="0070763C"/>
    <w:rsid w:val="00707E3E"/>
    <w:rsid w:val="00710FA0"/>
    <w:rsid w:val="00711227"/>
    <w:rsid w:val="00711567"/>
    <w:rsid w:val="007115BB"/>
    <w:rsid w:val="00711C26"/>
    <w:rsid w:val="00711F91"/>
    <w:rsid w:val="00712247"/>
    <w:rsid w:val="00714128"/>
    <w:rsid w:val="00714FC0"/>
    <w:rsid w:val="00715CF5"/>
    <w:rsid w:val="00716390"/>
    <w:rsid w:val="00716CCE"/>
    <w:rsid w:val="00716DF5"/>
    <w:rsid w:val="00717953"/>
    <w:rsid w:val="00717BA0"/>
    <w:rsid w:val="007210CC"/>
    <w:rsid w:val="00721D60"/>
    <w:rsid w:val="0072288A"/>
    <w:rsid w:val="00722B20"/>
    <w:rsid w:val="00722C04"/>
    <w:rsid w:val="00722F49"/>
    <w:rsid w:val="00724271"/>
    <w:rsid w:val="007248E8"/>
    <w:rsid w:val="00725838"/>
    <w:rsid w:val="0072585E"/>
    <w:rsid w:val="007303DE"/>
    <w:rsid w:val="0073055C"/>
    <w:rsid w:val="00730DF2"/>
    <w:rsid w:val="00730F70"/>
    <w:rsid w:val="00731F6C"/>
    <w:rsid w:val="00732C50"/>
    <w:rsid w:val="007343E1"/>
    <w:rsid w:val="00734B72"/>
    <w:rsid w:val="007355A6"/>
    <w:rsid w:val="00735919"/>
    <w:rsid w:val="00736880"/>
    <w:rsid w:val="00736CCF"/>
    <w:rsid w:val="007371CB"/>
    <w:rsid w:val="00740142"/>
    <w:rsid w:val="00740E5C"/>
    <w:rsid w:val="007417AC"/>
    <w:rsid w:val="007422DA"/>
    <w:rsid w:val="007428AE"/>
    <w:rsid w:val="00744E66"/>
    <w:rsid w:val="00745464"/>
    <w:rsid w:val="00745836"/>
    <w:rsid w:val="0074665A"/>
    <w:rsid w:val="00746AC3"/>
    <w:rsid w:val="00747639"/>
    <w:rsid w:val="00750699"/>
    <w:rsid w:val="007510DF"/>
    <w:rsid w:val="00751B6D"/>
    <w:rsid w:val="00751D9A"/>
    <w:rsid w:val="007524E6"/>
    <w:rsid w:val="00752869"/>
    <w:rsid w:val="00752CA6"/>
    <w:rsid w:val="00753228"/>
    <w:rsid w:val="007537DE"/>
    <w:rsid w:val="00756800"/>
    <w:rsid w:val="00756F35"/>
    <w:rsid w:val="00756F87"/>
    <w:rsid w:val="0075787D"/>
    <w:rsid w:val="00760E0B"/>
    <w:rsid w:val="0076225C"/>
    <w:rsid w:val="00763A8D"/>
    <w:rsid w:val="0077043D"/>
    <w:rsid w:val="00770F7D"/>
    <w:rsid w:val="007710ED"/>
    <w:rsid w:val="007718ED"/>
    <w:rsid w:val="0077366A"/>
    <w:rsid w:val="00773B35"/>
    <w:rsid w:val="00774167"/>
    <w:rsid w:val="00774412"/>
    <w:rsid w:val="00774821"/>
    <w:rsid w:val="00776870"/>
    <w:rsid w:val="00777328"/>
    <w:rsid w:val="007805CB"/>
    <w:rsid w:val="00780E84"/>
    <w:rsid w:val="007811E6"/>
    <w:rsid w:val="0078148F"/>
    <w:rsid w:val="0078154F"/>
    <w:rsid w:val="00781AD3"/>
    <w:rsid w:val="00781FC2"/>
    <w:rsid w:val="00782DC4"/>
    <w:rsid w:val="00784B5B"/>
    <w:rsid w:val="00785364"/>
    <w:rsid w:val="007863EC"/>
    <w:rsid w:val="0078767B"/>
    <w:rsid w:val="00790344"/>
    <w:rsid w:val="0079058E"/>
    <w:rsid w:val="007917E2"/>
    <w:rsid w:val="00791876"/>
    <w:rsid w:val="00791B20"/>
    <w:rsid w:val="00792613"/>
    <w:rsid w:val="00792DA3"/>
    <w:rsid w:val="0079348C"/>
    <w:rsid w:val="00793BF9"/>
    <w:rsid w:val="00794894"/>
    <w:rsid w:val="0079592E"/>
    <w:rsid w:val="0079664C"/>
    <w:rsid w:val="00797C92"/>
    <w:rsid w:val="00797D76"/>
    <w:rsid w:val="007A03F3"/>
    <w:rsid w:val="007A1410"/>
    <w:rsid w:val="007A18AB"/>
    <w:rsid w:val="007A2620"/>
    <w:rsid w:val="007A2F49"/>
    <w:rsid w:val="007A4B6B"/>
    <w:rsid w:val="007A5632"/>
    <w:rsid w:val="007A5EB1"/>
    <w:rsid w:val="007A68FA"/>
    <w:rsid w:val="007A7335"/>
    <w:rsid w:val="007A7A11"/>
    <w:rsid w:val="007B0241"/>
    <w:rsid w:val="007B078C"/>
    <w:rsid w:val="007B1C4C"/>
    <w:rsid w:val="007B1D36"/>
    <w:rsid w:val="007B2368"/>
    <w:rsid w:val="007B3AAC"/>
    <w:rsid w:val="007B3F99"/>
    <w:rsid w:val="007B45E9"/>
    <w:rsid w:val="007B5833"/>
    <w:rsid w:val="007B6D21"/>
    <w:rsid w:val="007B71FC"/>
    <w:rsid w:val="007B759A"/>
    <w:rsid w:val="007B76BD"/>
    <w:rsid w:val="007B796A"/>
    <w:rsid w:val="007B7F4F"/>
    <w:rsid w:val="007C0102"/>
    <w:rsid w:val="007C0DBB"/>
    <w:rsid w:val="007C14D9"/>
    <w:rsid w:val="007C152A"/>
    <w:rsid w:val="007C1C37"/>
    <w:rsid w:val="007C1DF9"/>
    <w:rsid w:val="007C23ED"/>
    <w:rsid w:val="007C3347"/>
    <w:rsid w:val="007C4523"/>
    <w:rsid w:val="007C47D8"/>
    <w:rsid w:val="007C565C"/>
    <w:rsid w:val="007C598B"/>
    <w:rsid w:val="007C6679"/>
    <w:rsid w:val="007C66A9"/>
    <w:rsid w:val="007C6815"/>
    <w:rsid w:val="007C6995"/>
    <w:rsid w:val="007C707D"/>
    <w:rsid w:val="007C7C97"/>
    <w:rsid w:val="007D0964"/>
    <w:rsid w:val="007D1A04"/>
    <w:rsid w:val="007D1A88"/>
    <w:rsid w:val="007D23CB"/>
    <w:rsid w:val="007D2BA0"/>
    <w:rsid w:val="007D3CA5"/>
    <w:rsid w:val="007D46F0"/>
    <w:rsid w:val="007D4B6A"/>
    <w:rsid w:val="007D4BE2"/>
    <w:rsid w:val="007D5154"/>
    <w:rsid w:val="007D72B2"/>
    <w:rsid w:val="007D7EC1"/>
    <w:rsid w:val="007E42D9"/>
    <w:rsid w:val="007E50ED"/>
    <w:rsid w:val="007E518A"/>
    <w:rsid w:val="007E58C5"/>
    <w:rsid w:val="007E7246"/>
    <w:rsid w:val="007E7517"/>
    <w:rsid w:val="007E75AB"/>
    <w:rsid w:val="007E768F"/>
    <w:rsid w:val="007E7879"/>
    <w:rsid w:val="007F0945"/>
    <w:rsid w:val="007F353D"/>
    <w:rsid w:val="007F4804"/>
    <w:rsid w:val="007F5505"/>
    <w:rsid w:val="007F561A"/>
    <w:rsid w:val="007F65BD"/>
    <w:rsid w:val="007F7CFC"/>
    <w:rsid w:val="0080195B"/>
    <w:rsid w:val="00801A1E"/>
    <w:rsid w:val="00801D20"/>
    <w:rsid w:val="00804691"/>
    <w:rsid w:val="00805849"/>
    <w:rsid w:val="00805DEB"/>
    <w:rsid w:val="00806792"/>
    <w:rsid w:val="00806DAD"/>
    <w:rsid w:val="00806E77"/>
    <w:rsid w:val="008070C9"/>
    <w:rsid w:val="00810F0F"/>
    <w:rsid w:val="00811A53"/>
    <w:rsid w:val="00811C64"/>
    <w:rsid w:val="00812839"/>
    <w:rsid w:val="008128B5"/>
    <w:rsid w:val="00813D89"/>
    <w:rsid w:val="00813D94"/>
    <w:rsid w:val="00813E13"/>
    <w:rsid w:val="00814319"/>
    <w:rsid w:val="008144C0"/>
    <w:rsid w:val="00814592"/>
    <w:rsid w:val="00814A7A"/>
    <w:rsid w:val="00814EAD"/>
    <w:rsid w:val="00814FBE"/>
    <w:rsid w:val="008156BB"/>
    <w:rsid w:val="008162AF"/>
    <w:rsid w:val="00816C8C"/>
    <w:rsid w:val="00817655"/>
    <w:rsid w:val="00817DD5"/>
    <w:rsid w:val="00822594"/>
    <w:rsid w:val="00822676"/>
    <w:rsid w:val="00823095"/>
    <w:rsid w:val="00823D87"/>
    <w:rsid w:val="008241EC"/>
    <w:rsid w:val="0082446F"/>
    <w:rsid w:val="008250D3"/>
    <w:rsid w:val="00825627"/>
    <w:rsid w:val="0082605D"/>
    <w:rsid w:val="00826159"/>
    <w:rsid w:val="008266F7"/>
    <w:rsid w:val="00827EE4"/>
    <w:rsid w:val="00830712"/>
    <w:rsid w:val="00831368"/>
    <w:rsid w:val="00831A46"/>
    <w:rsid w:val="00831C87"/>
    <w:rsid w:val="0083281D"/>
    <w:rsid w:val="0083289D"/>
    <w:rsid w:val="00834764"/>
    <w:rsid w:val="00834C49"/>
    <w:rsid w:val="008375EC"/>
    <w:rsid w:val="00837C28"/>
    <w:rsid w:val="00840932"/>
    <w:rsid w:val="00840C7D"/>
    <w:rsid w:val="008412E3"/>
    <w:rsid w:val="00842CE4"/>
    <w:rsid w:val="00842D60"/>
    <w:rsid w:val="008430B7"/>
    <w:rsid w:val="00843352"/>
    <w:rsid w:val="00844254"/>
    <w:rsid w:val="008443BB"/>
    <w:rsid w:val="0084473D"/>
    <w:rsid w:val="008447F0"/>
    <w:rsid w:val="00844AE0"/>
    <w:rsid w:val="00844F40"/>
    <w:rsid w:val="0084503F"/>
    <w:rsid w:val="008457AB"/>
    <w:rsid w:val="00845D9F"/>
    <w:rsid w:val="00845E1D"/>
    <w:rsid w:val="00846B2C"/>
    <w:rsid w:val="00846C33"/>
    <w:rsid w:val="008476BB"/>
    <w:rsid w:val="00851ECF"/>
    <w:rsid w:val="00852821"/>
    <w:rsid w:val="00853E9C"/>
    <w:rsid w:val="008548BB"/>
    <w:rsid w:val="00854E06"/>
    <w:rsid w:val="0085536F"/>
    <w:rsid w:val="00855C28"/>
    <w:rsid w:val="00856063"/>
    <w:rsid w:val="008563A2"/>
    <w:rsid w:val="00856483"/>
    <w:rsid w:val="00856587"/>
    <w:rsid w:val="00857699"/>
    <w:rsid w:val="00857824"/>
    <w:rsid w:val="00857F83"/>
    <w:rsid w:val="00857FD4"/>
    <w:rsid w:val="0086128B"/>
    <w:rsid w:val="00861BB0"/>
    <w:rsid w:val="00862CE5"/>
    <w:rsid w:val="00862FE4"/>
    <w:rsid w:val="00863ABD"/>
    <w:rsid w:val="00863F04"/>
    <w:rsid w:val="0086532A"/>
    <w:rsid w:val="00866126"/>
    <w:rsid w:val="0086675F"/>
    <w:rsid w:val="00866C0B"/>
    <w:rsid w:val="00867337"/>
    <w:rsid w:val="00867602"/>
    <w:rsid w:val="00870F06"/>
    <w:rsid w:val="00872394"/>
    <w:rsid w:val="0087272A"/>
    <w:rsid w:val="00872818"/>
    <w:rsid w:val="008732AD"/>
    <w:rsid w:val="00873385"/>
    <w:rsid w:val="00874202"/>
    <w:rsid w:val="00874237"/>
    <w:rsid w:val="00875AB6"/>
    <w:rsid w:val="0087667A"/>
    <w:rsid w:val="00877C8B"/>
    <w:rsid w:val="00877CD1"/>
    <w:rsid w:val="00877D4A"/>
    <w:rsid w:val="00880B99"/>
    <w:rsid w:val="008812F7"/>
    <w:rsid w:val="00881A28"/>
    <w:rsid w:val="00881BD1"/>
    <w:rsid w:val="00881E0E"/>
    <w:rsid w:val="00882D57"/>
    <w:rsid w:val="008847B0"/>
    <w:rsid w:val="00884D38"/>
    <w:rsid w:val="00885006"/>
    <w:rsid w:val="0088693E"/>
    <w:rsid w:val="00886A57"/>
    <w:rsid w:val="00886E22"/>
    <w:rsid w:val="00891AF7"/>
    <w:rsid w:val="00892CD6"/>
    <w:rsid w:val="00894D43"/>
    <w:rsid w:val="008951D0"/>
    <w:rsid w:val="00895482"/>
    <w:rsid w:val="00896B89"/>
    <w:rsid w:val="008A0545"/>
    <w:rsid w:val="008A0828"/>
    <w:rsid w:val="008A4005"/>
    <w:rsid w:val="008A46A4"/>
    <w:rsid w:val="008A5248"/>
    <w:rsid w:val="008A58BB"/>
    <w:rsid w:val="008A6837"/>
    <w:rsid w:val="008B078D"/>
    <w:rsid w:val="008B0EEF"/>
    <w:rsid w:val="008B1C33"/>
    <w:rsid w:val="008B1DAB"/>
    <w:rsid w:val="008B1F3E"/>
    <w:rsid w:val="008B26D0"/>
    <w:rsid w:val="008B3020"/>
    <w:rsid w:val="008B31E4"/>
    <w:rsid w:val="008B34A3"/>
    <w:rsid w:val="008B3546"/>
    <w:rsid w:val="008B36B3"/>
    <w:rsid w:val="008B4075"/>
    <w:rsid w:val="008B517E"/>
    <w:rsid w:val="008B7BB1"/>
    <w:rsid w:val="008C0386"/>
    <w:rsid w:val="008C1AD4"/>
    <w:rsid w:val="008C1B67"/>
    <w:rsid w:val="008C2E3C"/>
    <w:rsid w:val="008C35A9"/>
    <w:rsid w:val="008C3BD6"/>
    <w:rsid w:val="008C5185"/>
    <w:rsid w:val="008C53E6"/>
    <w:rsid w:val="008C5489"/>
    <w:rsid w:val="008C5543"/>
    <w:rsid w:val="008C6ED7"/>
    <w:rsid w:val="008C7059"/>
    <w:rsid w:val="008C7757"/>
    <w:rsid w:val="008D0371"/>
    <w:rsid w:val="008D15AD"/>
    <w:rsid w:val="008D15FB"/>
    <w:rsid w:val="008D64F1"/>
    <w:rsid w:val="008D695B"/>
    <w:rsid w:val="008D713D"/>
    <w:rsid w:val="008D7C08"/>
    <w:rsid w:val="008E2527"/>
    <w:rsid w:val="008E2783"/>
    <w:rsid w:val="008E286D"/>
    <w:rsid w:val="008E3C5F"/>
    <w:rsid w:val="008E3D47"/>
    <w:rsid w:val="008E5724"/>
    <w:rsid w:val="008E5B6B"/>
    <w:rsid w:val="008E5EED"/>
    <w:rsid w:val="008E6948"/>
    <w:rsid w:val="008E7408"/>
    <w:rsid w:val="008E7D3A"/>
    <w:rsid w:val="008F0BB2"/>
    <w:rsid w:val="008F1AA1"/>
    <w:rsid w:val="008F25EA"/>
    <w:rsid w:val="008F2B26"/>
    <w:rsid w:val="008F33F2"/>
    <w:rsid w:val="008F3EC8"/>
    <w:rsid w:val="008F4528"/>
    <w:rsid w:val="008F727D"/>
    <w:rsid w:val="008F7897"/>
    <w:rsid w:val="008F7D18"/>
    <w:rsid w:val="00900E7A"/>
    <w:rsid w:val="0090140D"/>
    <w:rsid w:val="00903435"/>
    <w:rsid w:val="00903F7E"/>
    <w:rsid w:val="00904014"/>
    <w:rsid w:val="009042DD"/>
    <w:rsid w:val="00905028"/>
    <w:rsid w:val="0090569D"/>
    <w:rsid w:val="00905FA4"/>
    <w:rsid w:val="00906138"/>
    <w:rsid w:val="00906139"/>
    <w:rsid w:val="0090781B"/>
    <w:rsid w:val="009106F3"/>
    <w:rsid w:val="00910C7F"/>
    <w:rsid w:val="00911EC1"/>
    <w:rsid w:val="00914D0B"/>
    <w:rsid w:val="00914DD0"/>
    <w:rsid w:val="00915C2A"/>
    <w:rsid w:val="00915CCF"/>
    <w:rsid w:val="009164B2"/>
    <w:rsid w:val="009166E5"/>
    <w:rsid w:val="00917067"/>
    <w:rsid w:val="00917976"/>
    <w:rsid w:val="00917A16"/>
    <w:rsid w:val="009200AB"/>
    <w:rsid w:val="009210C1"/>
    <w:rsid w:val="00921BDB"/>
    <w:rsid w:val="00921F99"/>
    <w:rsid w:val="0092261D"/>
    <w:rsid w:val="0092383E"/>
    <w:rsid w:val="00923CAA"/>
    <w:rsid w:val="0092402F"/>
    <w:rsid w:val="00924315"/>
    <w:rsid w:val="0092446A"/>
    <w:rsid w:val="00925109"/>
    <w:rsid w:val="00925207"/>
    <w:rsid w:val="0092550F"/>
    <w:rsid w:val="009258BB"/>
    <w:rsid w:val="00925C8A"/>
    <w:rsid w:val="0092612B"/>
    <w:rsid w:val="0092682D"/>
    <w:rsid w:val="00926AFF"/>
    <w:rsid w:val="0092740F"/>
    <w:rsid w:val="0092741D"/>
    <w:rsid w:val="00927743"/>
    <w:rsid w:val="009304B9"/>
    <w:rsid w:val="0093183E"/>
    <w:rsid w:val="00931A06"/>
    <w:rsid w:val="00932322"/>
    <w:rsid w:val="0093381C"/>
    <w:rsid w:val="00933CE1"/>
    <w:rsid w:val="00934070"/>
    <w:rsid w:val="0093599F"/>
    <w:rsid w:val="00935CD8"/>
    <w:rsid w:val="0093679F"/>
    <w:rsid w:val="00940A68"/>
    <w:rsid w:val="0094386E"/>
    <w:rsid w:val="0094479B"/>
    <w:rsid w:val="009451B0"/>
    <w:rsid w:val="00946C44"/>
    <w:rsid w:val="00947422"/>
    <w:rsid w:val="00947A46"/>
    <w:rsid w:val="00950D5D"/>
    <w:rsid w:val="00952962"/>
    <w:rsid w:val="009537BB"/>
    <w:rsid w:val="00953CF5"/>
    <w:rsid w:val="0095403E"/>
    <w:rsid w:val="00955814"/>
    <w:rsid w:val="009558C5"/>
    <w:rsid w:val="00955DB5"/>
    <w:rsid w:val="009561C4"/>
    <w:rsid w:val="00956750"/>
    <w:rsid w:val="00956AC0"/>
    <w:rsid w:val="009604CA"/>
    <w:rsid w:val="009609CE"/>
    <w:rsid w:val="00960B08"/>
    <w:rsid w:val="009611E1"/>
    <w:rsid w:val="00961BE9"/>
    <w:rsid w:val="00961D0C"/>
    <w:rsid w:val="00962920"/>
    <w:rsid w:val="009630E5"/>
    <w:rsid w:val="00964958"/>
    <w:rsid w:val="0096711B"/>
    <w:rsid w:val="0097035C"/>
    <w:rsid w:val="00970FA3"/>
    <w:rsid w:val="00971891"/>
    <w:rsid w:val="00973290"/>
    <w:rsid w:val="00973D4B"/>
    <w:rsid w:val="009744C5"/>
    <w:rsid w:val="009747A7"/>
    <w:rsid w:val="00974EF4"/>
    <w:rsid w:val="00975854"/>
    <w:rsid w:val="00976430"/>
    <w:rsid w:val="00977A36"/>
    <w:rsid w:val="009801FF"/>
    <w:rsid w:val="0098028E"/>
    <w:rsid w:val="009807C9"/>
    <w:rsid w:val="00980C4E"/>
    <w:rsid w:val="009810AD"/>
    <w:rsid w:val="00981200"/>
    <w:rsid w:val="0098129B"/>
    <w:rsid w:val="00981AB9"/>
    <w:rsid w:val="00982129"/>
    <w:rsid w:val="009840DE"/>
    <w:rsid w:val="009842F0"/>
    <w:rsid w:val="00984AC9"/>
    <w:rsid w:val="00984CDD"/>
    <w:rsid w:val="009859BA"/>
    <w:rsid w:val="00985F24"/>
    <w:rsid w:val="009868D1"/>
    <w:rsid w:val="00986BD0"/>
    <w:rsid w:val="00986CB0"/>
    <w:rsid w:val="0098758B"/>
    <w:rsid w:val="009900E5"/>
    <w:rsid w:val="009919F7"/>
    <w:rsid w:val="009928AB"/>
    <w:rsid w:val="00992CA0"/>
    <w:rsid w:val="00993AA2"/>
    <w:rsid w:val="009942E2"/>
    <w:rsid w:val="009950A0"/>
    <w:rsid w:val="009950B6"/>
    <w:rsid w:val="0099524F"/>
    <w:rsid w:val="00995762"/>
    <w:rsid w:val="00996C1B"/>
    <w:rsid w:val="00996DC9"/>
    <w:rsid w:val="0099709A"/>
    <w:rsid w:val="00997A0C"/>
    <w:rsid w:val="009A03A1"/>
    <w:rsid w:val="009A15D1"/>
    <w:rsid w:val="009A1AE5"/>
    <w:rsid w:val="009A1B5A"/>
    <w:rsid w:val="009A369F"/>
    <w:rsid w:val="009A377B"/>
    <w:rsid w:val="009A382A"/>
    <w:rsid w:val="009A3B3F"/>
    <w:rsid w:val="009A3D30"/>
    <w:rsid w:val="009A49C6"/>
    <w:rsid w:val="009A620B"/>
    <w:rsid w:val="009A69E9"/>
    <w:rsid w:val="009B0B80"/>
    <w:rsid w:val="009B0C88"/>
    <w:rsid w:val="009B1273"/>
    <w:rsid w:val="009B199D"/>
    <w:rsid w:val="009B1A2C"/>
    <w:rsid w:val="009B1F0B"/>
    <w:rsid w:val="009B1F35"/>
    <w:rsid w:val="009B281E"/>
    <w:rsid w:val="009B5036"/>
    <w:rsid w:val="009B52D5"/>
    <w:rsid w:val="009B74C3"/>
    <w:rsid w:val="009C3D92"/>
    <w:rsid w:val="009C4910"/>
    <w:rsid w:val="009C5025"/>
    <w:rsid w:val="009C504E"/>
    <w:rsid w:val="009C5944"/>
    <w:rsid w:val="009C5CD4"/>
    <w:rsid w:val="009C6809"/>
    <w:rsid w:val="009C6AC8"/>
    <w:rsid w:val="009C6ED2"/>
    <w:rsid w:val="009D0855"/>
    <w:rsid w:val="009D0A47"/>
    <w:rsid w:val="009D0B47"/>
    <w:rsid w:val="009D109D"/>
    <w:rsid w:val="009D14E6"/>
    <w:rsid w:val="009D2935"/>
    <w:rsid w:val="009D30CF"/>
    <w:rsid w:val="009D4F1A"/>
    <w:rsid w:val="009D626B"/>
    <w:rsid w:val="009D6FF6"/>
    <w:rsid w:val="009D7744"/>
    <w:rsid w:val="009D79A7"/>
    <w:rsid w:val="009E0AEF"/>
    <w:rsid w:val="009E12C6"/>
    <w:rsid w:val="009E2D5F"/>
    <w:rsid w:val="009E3C6B"/>
    <w:rsid w:val="009E413C"/>
    <w:rsid w:val="009E41D5"/>
    <w:rsid w:val="009E4273"/>
    <w:rsid w:val="009E4806"/>
    <w:rsid w:val="009E4F03"/>
    <w:rsid w:val="009E5957"/>
    <w:rsid w:val="009E5DB2"/>
    <w:rsid w:val="009E674F"/>
    <w:rsid w:val="009E67EA"/>
    <w:rsid w:val="009F0350"/>
    <w:rsid w:val="009F1A38"/>
    <w:rsid w:val="009F1BBA"/>
    <w:rsid w:val="009F1C39"/>
    <w:rsid w:val="009F3519"/>
    <w:rsid w:val="009F3F57"/>
    <w:rsid w:val="009F5007"/>
    <w:rsid w:val="009F5117"/>
    <w:rsid w:val="009F700C"/>
    <w:rsid w:val="009F7374"/>
    <w:rsid w:val="00A01C04"/>
    <w:rsid w:val="00A02F58"/>
    <w:rsid w:val="00A034E8"/>
    <w:rsid w:val="00A03EFE"/>
    <w:rsid w:val="00A03F0E"/>
    <w:rsid w:val="00A048E4"/>
    <w:rsid w:val="00A04B4D"/>
    <w:rsid w:val="00A059D6"/>
    <w:rsid w:val="00A078CF"/>
    <w:rsid w:val="00A11148"/>
    <w:rsid w:val="00A112E2"/>
    <w:rsid w:val="00A123A6"/>
    <w:rsid w:val="00A12E1E"/>
    <w:rsid w:val="00A12E71"/>
    <w:rsid w:val="00A132A2"/>
    <w:rsid w:val="00A13AEC"/>
    <w:rsid w:val="00A1414A"/>
    <w:rsid w:val="00A14162"/>
    <w:rsid w:val="00A150FB"/>
    <w:rsid w:val="00A153BD"/>
    <w:rsid w:val="00A167F9"/>
    <w:rsid w:val="00A1693E"/>
    <w:rsid w:val="00A16AE9"/>
    <w:rsid w:val="00A16CD3"/>
    <w:rsid w:val="00A16CE6"/>
    <w:rsid w:val="00A230BE"/>
    <w:rsid w:val="00A2346A"/>
    <w:rsid w:val="00A2396F"/>
    <w:rsid w:val="00A2511C"/>
    <w:rsid w:val="00A26563"/>
    <w:rsid w:val="00A26773"/>
    <w:rsid w:val="00A26ED1"/>
    <w:rsid w:val="00A27567"/>
    <w:rsid w:val="00A275B4"/>
    <w:rsid w:val="00A276BF"/>
    <w:rsid w:val="00A30092"/>
    <w:rsid w:val="00A31D29"/>
    <w:rsid w:val="00A320BC"/>
    <w:rsid w:val="00A3234D"/>
    <w:rsid w:val="00A32712"/>
    <w:rsid w:val="00A327D8"/>
    <w:rsid w:val="00A34659"/>
    <w:rsid w:val="00A3482F"/>
    <w:rsid w:val="00A35113"/>
    <w:rsid w:val="00A36428"/>
    <w:rsid w:val="00A36577"/>
    <w:rsid w:val="00A36591"/>
    <w:rsid w:val="00A377B2"/>
    <w:rsid w:val="00A37AC9"/>
    <w:rsid w:val="00A402D1"/>
    <w:rsid w:val="00A404F9"/>
    <w:rsid w:val="00A40E77"/>
    <w:rsid w:val="00A41750"/>
    <w:rsid w:val="00A417D4"/>
    <w:rsid w:val="00A41C8C"/>
    <w:rsid w:val="00A41E94"/>
    <w:rsid w:val="00A424A2"/>
    <w:rsid w:val="00A42817"/>
    <w:rsid w:val="00A42E50"/>
    <w:rsid w:val="00A4616F"/>
    <w:rsid w:val="00A466D0"/>
    <w:rsid w:val="00A46D19"/>
    <w:rsid w:val="00A503D7"/>
    <w:rsid w:val="00A515D0"/>
    <w:rsid w:val="00A51783"/>
    <w:rsid w:val="00A51805"/>
    <w:rsid w:val="00A5244B"/>
    <w:rsid w:val="00A543B8"/>
    <w:rsid w:val="00A543BC"/>
    <w:rsid w:val="00A54AAB"/>
    <w:rsid w:val="00A558A4"/>
    <w:rsid w:val="00A559B3"/>
    <w:rsid w:val="00A55A28"/>
    <w:rsid w:val="00A56081"/>
    <w:rsid w:val="00A56EF6"/>
    <w:rsid w:val="00A56F92"/>
    <w:rsid w:val="00A57084"/>
    <w:rsid w:val="00A57A77"/>
    <w:rsid w:val="00A609CA"/>
    <w:rsid w:val="00A61134"/>
    <w:rsid w:val="00A6157F"/>
    <w:rsid w:val="00A61D5C"/>
    <w:rsid w:val="00A62480"/>
    <w:rsid w:val="00A62F2A"/>
    <w:rsid w:val="00A6306B"/>
    <w:rsid w:val="00A63687"/>
    <w:rsid w:val="00A637B6"/>
    <w:rsid w:val="00A63C0A"/>
    <w:rsid w:val="00A64440"/>
    <w:rsid w:val="00A651F4"/>
    <w:rsid w:val="00A65403"/>
    <w:rsid w:val="00A65A97"/>
    <w:rsid w:val="00A65F07"/>
    <w:rsid w:val="00A662AB"/>
    <w:rsid w:val="00A6687A"/>
    <w:rsid w:val="00A66991"/>
    <w:rsid w:val="00A676B0"/>
    <w:rsid w:val="00A67BFC"/>
    <w:rsid w:val="00A67E3D"/>
    <w:rsid w:val="00A7024A"/>
    <w:rsid w:val="00A7083D"/>
    <w:rsid w:val="00A70E91"/>
    <w:rsid w:val="00A72BF6"/>
    <w:rsid w:val="00A72DE5"/>
    <w:rsid w:val="00A72E8E"/>
    <w:rsid w:val="00A72FA5"/>
    <w:rsid w:val="00A73A9E"/>
    <w:rsid w:val="00A7438A"/>
    <w:rsid w:val="00A754DE"/>
    <w:rsid w:val="00A75D35"/>
    <w:rsid w:val="00A7636C"/>
    <w:rsid w:val="00A7650A"/>
    <w:rsid w:val="00A76ED0"/>
    <w:rsid w:val="00A770FC"/>
    <w:rsid w:val="00A7728E"/>
    <w:rsid w:val="00A80261"/>
    <w:rsid w:val="00A80863"/>
    <w:rsid w:val="00A8195D"/>
    <w:rsid w:val="00A84EF3"/>
    <w:rsid w:val="00A858D2"/>
    <w:rsid w:val="00A858FC"/>
    <w:rsid w:val="00A85FCE"/>
    <w:rsid w:val="00A873E6"/>
    <w:rsid w:val="00A875A4"/>
    <w:rsid w:val="00A87A52"/>
    <w:rsid w:val="00A9112B"/>
    <w:rsid w:val="00A95734"/>
    <w:rsid w:val="00A9600C"/>
    <w:rsid w:val="00A97A9A"/>
    <w:rsid w:val="00AA081E"/>
    <w:rsid w:val="00AA100E"/>
    <w:rsid w:val="00AA111D"/>
    <w:rsid w:val="00AA1BD8"/>
    <w:rsid w:val="00AA20D7"/>
    <w:rsid w:val="00AA25C0"/>
    <w:rsid w:val="00AA3DB9"/>
    <w:rsid w:val="00AA551E"/>
    <w:rsid w:val="00AA634C"/>
    <w:rsid w:val="00AA63AF"/>
    <w:rsid w:val="00AA6BDF"/>
    <w:rsid w:val="00AA75D2"/>
    <w:rsid w:val="00AB21EC"/>
    <w:rsid w:val="00AB24EE"/>
    <w:rsid w:val="00AB2C05"/>
    <w:rsid w:val="00AB3DD0"/>
    <w:rsid w:val="00AB4527"/>
    <w:rsid w:val="00AB45BA"/>
    <w:rsid w:val="00AB4759"/>
    <w:rsid w:val="00AB48BD"/>
    <w:rsid w:val="00AB4C7F"/>
    <w:rsid w:val="00AB5E30"/>
    <w:rsid w:val="00AC01FD"/>
    <w:rsid w:val="00AC06DD"/>
    <w:rsid w:val="00AC0E8D"/>
    <w:rsid w:val="00AC1816"/>
    <w:rsid w:val="00AC2486"/>
    <w:rsid w:val="00AC3EDA"/>
    <w:rsid w:val="00AC42D7"/>
    <w:rsid w:val="00AC573D"/>
    <w:rsid w:val="00AC5FC0"/>
    <w:rsid w:val="00AC66AE"/>
    <w:rsid w:val="00AC7257"/>
    <w:rsid w:val="00AD1C3D"/>
    <w:rsid w:val="00AD1F46"/>
    <w:rsid w:val="00AD2826"/>
    <w:rsid w:val="00AD2E76"/>
    <w:rsid w:val="00AD2ED7"/>
    <w:rsid w:val="00AD4082"/>
    <w:rsid w:val="00AD4D8B"/>
    <w:rsid w:val="00AD58F7"/>
    <w:rsid w:val="00AD6184"/>
    <w:rsid w:val="00AD63AD"/>
    <w:rsid w:val="00AD680F"/>
    <w:rsid w:val="00AD71F1"/>
    <w:rsid w:val="00AD7C72"/>
    <w:rsid w:val="00AD7C8A"/>
    <w:rsid w:val="00AE0447"/>
    <w:rsid w:val="00AE0BBA"/>
    <w:rsid w:val="00AE1B50"/>
    <w:rsid w:val="00AE1D30"/>
    <w:rsid w:val="00AE1F41"/>
    <w:rsid w:val="00AE2569"/>
    <w:rsid w:val="00AE2892"/>
    <w:rsid w:val="00AE34CA"/>
    <w:rsid w:val="00AE36BC"/>
    <w:rsid w:val="00AE37AD"/>
    <w:rsid w:val="00AE4FE8"/>
    <w:rsid w:val="00AE6191"/>
    <w:rsid w:val="00AE6363"/>
    <w:rsid w:val="00AE6525"/>
    <w:rsid w:val="00AE69DD"/>
    <w:rsid w:val="00AE6A4D"/>
    <w:rsid w:val="00AE76F5"/>
    <w:rsid w:val="00AF14E2"/>
    <w:rsid w:val="00AF14F7"/>
    <w:rsid w:val="00AF26D0"/>
    <w:rsid w:val="00AF2ECC"/>
    <w:rsid w:val="00AF364C"/>
    <w:rsid w:val="00AF380B"/>
    <w:rsid w:val="00AF4B70"/>
    <w:rsid w:val="00AF554C"/>
    <w:rsid w:val="00AF5752"/>
    <w:rsid w:val="00AF6A7C"/>
    <w:rsid w:val="00AF6E9E"/>
    <w:rsid w:val="00B0098F"/>
    <w:rsid w:val="00B01FF7"/>
    <w:rsid w:val="00B02B2B"/>
    <w:rsid w:val="00B03DAD"/>
    <w:rsid w:val="00B04BDE"/>
    <w:rsid w:val="00B06763"/>
    <w:rsid w:val="00B07F7E"/>
    <w:rsid w:val="00B1012E"/>
    <w:rsid w:val="00B10BD4"/>
    <w:rsid w:val="00B11172"/>
    <w:rsid w:val="00B12289"/>
    <w:rsid w:val="00B12394"/>
    <w:rsid w:val="00B14EE4"/>
    <w:rsid w:val="00B14EF6"/>
    <w:rsid w:val="00B15D83"/>
    <w:rsid w:val="00B170D9"/>
    <w:rsid w:val="00B1790C"/>
    <w:rsid w:val="00B17FF6"/>
    <w:rsid w:val="00B20BBD"/>
    <w:rsid w:val="00B20F82"/>
    <w:rsid w:val="00B23A08"/>
    <w:rsid w:val="00B24141"/>
    <w:rsid w:val="00B24CAE"/>
    <w:rsid w:val="00B2545A"/>
    <w:rsid w:val="00B25C78"/>
    <w:rsid w:val="00B26814"/>
    <w:rsid w:val="00B273E0"/>
    <w:rsid w:val="00B27B5F"/>
    <w:rsid w:val="00B27D7E"/>
    <w:rsid w:val="00B30404"/>
    <w:rsid w:val="00B31484"/>
    <w:rsid w:val="00B3194C"/>
    <w:rsid w:val="00B32A48"/>
    <w:rsid w:val="00B32D52"/>
    <w:rsid w:val="00B32D84"/>
    <w:rsid w:val="00B33142"/>
    <w:rsid w:val="00B34B9B"/>
    <w:rsid w:val="00B34D95"/>
    <w:rsid w:val="00B35E85"/>
    <w:rsid w:val="00B36217"/>
    <w:rsid w:val="00B36322"/>
    <w:rsid w:val="00B3660C"/>
    <w:rsid w:val="00B37922"/>
    <w:rsid w:val="00B40730"/>
    <w:rsid w:val="00B40739"/>
    <w:rsid w:val="00B410CA"/>
    <w:rsid w:val="00B41376"/>
    <w:rsid w:val="00B42B39"/>
    <w:rsid w:val="00B43000"/>
    <w:rsid w:val="00B43087"/>
    <w:rsid w:val="00B431DA"/>
    <w:rsid w:val="00B43838"/>
    <w:rsid w:val="00B43B90"/>
    <w:rsid w:val="00B43DC3"/>
    <w:rsid w:val="00B4499E"/>
    <w:rsid w:val="00B457E5"/>
    <w:rsid w:val="00B462A8"/>
    <w:rsid w:val="00B46568"/>
    <w:rsid w:val="00B46E26"/>
    <w:rsid w:val="00B46F97"/>
    <w:rsid w:val="00B50202"/>
    <w:rsid w:val="00B50CB6"/>
    <w:rsid w:val="00B50E15"/>
    <w:rsid w:val="00B5179F"/>
    <w:rsid w:val="00B526EF"/>
    <w:rsid w:val="00B52C7E"/>
    <w:rsid w:val="00B57271"/>
    <w:rsid w:val="00B602E6"/>
    <w:rsid w:val="00B6139B"/>
    <w:rsid w:val="00B619F2"/>
    <w:rsid w:val="00B61EFE"/>
    <w:rsid w:val="00B63C65"/>
    <w:rsid w:val="00B64176"/>
    <w:rsid w:val="00B6503F"/>
    <w:rsid w:val="00B65261"/>
    <w:rsid w:val="00B655D4"/>
    <w:rsid w:val="00B65960"/>
    <w:rsid w:val="00B667C5"/>
    <w:rsid w:val="00B66DE2"/>
    <w:rsid w:val="00B67015"/>
    <w:rsid w:val="00B6716A"/>
    <w:rsid w:val="00B674D8"/>
    <w:rsid w:val="00B7151C"/>
    <w:rsid w:val="00B71FAD"/>
    <w:rsid w:val="00B7210F"/>
    <w:rsid w:val="00B72AF5"/>
    <w:rsid w:val="00B7321F"/>
    <w:rsid w:val="00B73B5A"/>
    <w:rsid w:val="00B748C9"/>
    <w:rsid w:val="00B748F9"/>
    <w:rsid w:val="00B74D3A"/>
    <w:rsid w:val="00B74DD1"/>
    <w:rsid w:val="00B81F76"/>
    <w:rsid w:val="00B822A8"/>
    <w:rsid w:val="00B82D48"/>
    <w:rsid w:val="00B853B2"/>
    <w:rsid w:val="00B85DFA"/>
    <w:rsid w:val="00B8629E"/>
    <w:rsid w:val="00B86B25"/>
    <w:rsid w:val="00B87FE0"/>
    <w:rsid w:val="00B9079C"/>
    <w:rsid w:val="00B90D7D"/>
    <w:rsid w:val="00B926FF"/>
    <w:rsid w:val="00B94072"/>
    <w:rsid w:val="00B9433F"/>
    <w:rsid w:val="00B9499B"/>
    <w:rsid w:val="00B95F17"/>
    <w:rsid w:val="00B971A7"/>
    <w:rsid w:val="00B97C0C"/>
    <w:rsid w:val="00BA0024"/>
    <w:rsid w:val="00BA18D4"/>
    <w:rsid w:val="00BA19FA"/>
    <w:rsid w:val="00BA24EF"/>
    <w:rsid w:val="00BA5D21"/>
    <w:rsid w:val="00BA60C5"/>
    <w:rsid w:val="00BA7190"/>
    <w:rsid w:val="00BA7360"/>
    <w:rsid w:val="00BA7734"/>
    <w:rsid w:val="00BA7824"/>
    <w:rsid w:val="00BB0707"/>
    <w:rsid w:val="00BB0C75"/>
    <w:rsid w:val="00BB14CD"/>
    <w:rsid w:val="00BB3B03"/>
    <w:rsid w:val="00BB3DA6"/>
    <w:rsid w:val="00BB3ED9"/>
    <w:rsid w:val="00BB4569"/>
    <w:rsid w:val="00BB4BCE"/>
    <w:rsid w:val="00BB52C9"/>
    <w:rsid w:val="00BB70FE"/>
    <w:rsid w:val="00BB7533"/>
    <w:rsid w:val="00BB799F"/>
    <w:rsid w:val="00BC0081"/>
    <w:rsid w:val="00BC0EFE"/>
    <w:rsid w:val="00BC1FA8"/>
    <w:rsid w:val="00BC2E31"/>
    <w:rsid w:val="00BC61A2"/>
    <w:rsid w:val="00BC6A7E"/>
    <w:rsid w:val="00BC6DE2"/>
    <w:rsid w:val="00BC7E57"/>
    <w:rsid w:val="00BD00EF"/>
    <w:rsid w:val="00BD00F1"/>
    <w:rsid w:val="00BD04C0"/>
    <w:rsid w:val="00BD1266"/>
    <w:rsid w:val="00BD16B5"/>
    <w:rsid w:val="00BD3AA0"/>
    <w:rsid w:val="00BD4159"/>
    <w:rsid w:val="00BD48DF"/>
    <w:rsid w:val="00BD4F1C"/>
    <w:rsid w:val="00BD51CF"/>
    <w:rsid w:val="00BD6668"/>
    <w:rsid w:val="00BD7C43"/>
    <w:rsid w:val="00BD7D49"/>
    <w:rsid w:val="00BE06B8"/>
    <w:rsid w:val="00BE106B"/>
    <w:rsid w:val="00BE20C9"/>
    <w:rsid w:val="00BE5720"/>
    <w:rsid w:val="00BE5CFC"/>
    <w:rsid w:val="00BE5D6D"/>
    <w:rsid w:val="00BE61A6"/>
    <w:rsid w:val="00BE64B8"/>
    <w:rsid w:val="00BE672D"/>
    <w:rsid w:val="00BE6E6E"/>
    <w:rsid w:val="00BE71DE"/>
    <w:rsid w:val="00BE78A9"/>
    <w:rsid w:val="00BF1FD6"/>
    <w:rsid w:val="00BF2E03"/>
    <w:rsid w:val="00BF399E"/>
    <w:rsid w:val="00BF3E47"/>
    <w:rsid w:val="00BF4694"/>
    <w:rsid w:val="00BF4921"/>
    <w:rsid w:val="00BF4D22"/>
    <w:rsid w:val="00BF5C4C"/>
    <w:rsid w:val="00BF60A6"/>
    <w:rsid w:val="00BF612C"/>
    <w:rsid w:val="00BF6808"/>
    <w:rsid w:val="00BF70DB"/>
    <w:rsid w:val="00BF75C3"/>
    <w:rsid w:val="00C000F8"/>
    <w:rsid w:val="00C00189"/>
    <w:rsid w:val="00C003E8"/>
    <w:rsid w:val="00C006AB"/>
    <w:rsid w:val="00C01046"/>
    <w:rsid w:val="00C0132C"/>
    <w:rsid w:val="00C013EB"/>
    <w:rsid w:val="00C01827"/>
    <w:rsid w:val="00C039FA"/>
    <w:rsid w:val="00C04113"/>
    <w:rsid w:val="00C05C9B"/>
    <w:rsid w:val="00C05CCC"/>
    <w:rsid w:val="00C05EA8"/>
    <w:rsid w:val="00C05EC5"/>
    <w:rsid w:val="00C0670D"/>
    <w:rsid w:val="00C06D71"/>
    <w:rsid w:val="00C101FE"/>
    <w:rsid w:val="00C1148C"/>
    <w:rsid w:val="00C115EB"/>
    <w:rsid w:val="00C11ECD"/>
    <w:rsid w:val="00C1379E"/>
    <w:rsid w:val="00C1401D"/>
    <w:rsid w:val="00C205F4"/>
    <w:rsid w:val="00C21124"/>
    <w:rsid w:val="00C21979"/>
    <w:rsid w:val="00C21ED5"/>
    <w:rsid w:val="00C23B1D"/>
    <w:rsid w:val="00C23B4C"/>
    <w:rsid w:val="00C25A83"/>
    <w:rsid w:val="00C2730A"/>
    <w:rsid w:val="00C30515"/>
    <w:rsid w:val="00C307BA"/>
    <w:rsid w:val="00C308D9"/>
    <w:rsid w:val="00C309B1"/>
    <w:rsid w:val="00C32413"/>
    <w:rsid w:val="00C324E2"/>
    <w:rsid w:val="00C32BC4"/>
    <w:rsid w:val="00C32F1F"/>
    <w:rsid w:val="00C3344E"/>
    <w:rsid w:val="00C33534"/>
    <w:rsid w:val="00C33BC1"/>
    <w:rsid w:val="00C34306"/>
    <w:rsid w:val="00C34A08"/>
    <w:rsid w:val="00C36F64"/>
    <w:rsid w:val="00C3752C"/>
    <w:rsid w:val="00C3764D"/>
    <w:rsid w:val="00C37B1A"/>
    <w:rsid w:val="00C37E56"/>
    <w:rsid w:val="00C4083E"/>
    <w:rsid w:val="00C42936"/>
    <w:rsid w:val="00C459BB"/>
    <w:rsid w:val="00C4603C"/>
    <w:rsid w:val="00C464E7"/>
    <w:rsid w:val="00C4721D"/>
    <w:rsid w:val="00C47948"/>
    <w:rsid w:val="00C50A0C"/>
    <w:rsid w:val="00C51472"/>
    <w:rsid w:val="00C51544"/>
    <w:rsid w:val="00C5326B"/>
    <w:rsid w:val="00C54024"/>
    <w:rsid w:val="00C54E5D"/>
    <w:rsid w:val="00C5666E"/>
    <w:rsid w:val="00C6159A"/>
    <w:rsid w:val="00C64B4F"/>
    <w:rsid w:val="00C651CE"/>
    <w:rsid w:val="00C654A6"/>
    <w:rsid w:val="00C65F5D"/>
    <w:rsid w:val="00C65F7F"/>
    <w:rsid w:val="00C67F48"/>
    <w:rsid w:val="00C70622"/>
    <w:rsid w:val="00C70EB2"/>
    <w:rsid w:val="00C72073"/>
    <w:rsid w:val="00C72CAD"/>
    <w:rsid w:val="00C7311B"/>
    <w:rsid w:val="00C7367F"/>
    <w:rsid w:val="00C746DC"/>
    <w:rsid w:val="00C74DD0"/>
    <w:rsid w:val="00C74EB8"/>
    <w:rsid w:val="00C76584"/>
    <w:rsid w:val="00C7770B"/>
    <w:rsid w:val="00C77C14"/>
    <w:rsid w:val="00C77FBA"/>
    <w:rsid w:val="00C80599"/>
    <w:rsid w:val="00C81538"/>
    <w:rsid w:val="00C81D21"/>
    <w:rsid w:val="00C822F8"/>
    <w:rsid w:val="00C82B9A"/>
    <w:rsid w:val="00C82F99"/>
    <w:rsid w:val="00C83FBD"/>
    <w:rsid w:val="00C858C3"/>
    <w:rsid w:val="00C85C09"/>
    <w:rsid w:val="00C85F86"/>
    <w:rsid w:val="00C87069"/>
    <w:rsid w:val="00C87874"/>
    <w:rsid w:val="00C87F82"/>
    <w:rsid w:val="00C90008"/>
    <w:rsid w:val="00C90134"/>
    <w:rsid w:val="00C90157"/>
    <w:rsid w:val="00C9161C"/>
    <w:rsid w:val="00C925D8"/>
    <w:rsid w:val="00C93423"/>
    <w:rsid w:val="00C93620"/>
    <w:rsid w:val="00C94BA0"/>
    <w:rsid w:val="00C954BB"/>
    <w:rsid w:val="00C95542"/>
    <w:rsid w:val="00C97B46"/>
    <w:rsid w:val="00CA0E37"/>
    <w:rsid w:val="00CA12E8"/>
    <w:rsid w:val="00CA137F"/>
    <w:rsid w:val="00CA148F"/>
    <w:rsid w:val="00CA2578"/>
    <w:rsid w:val="00CA2F4F"/>
    <w:rsid w:val="00CA32D9"/>
    <w:rsid w:val="00CA34B9"/>
    <w:rsid w:val="00CA41A1"/>
    <w:rsid w:val="00CA5157"/>
    <w:rsid w:val="00CA52A4"/>
    <w:rsid w:val="00CA6035"/>
    <w:rsid w:val="00CA622E"/>
    <w:rsid w:val="00CA672A"/>
    <w:rsid w:val="00CA6881"/>
    <w:rsid w:val="00CA721F"/>
    <w:rsid w:val="00CA725C"/>
    <w:rsid w:val="00CB006D"/>
    <w:rsid w:val="00CB2B8A"/>
    <w:rsid w:val="00CB2C4A"/>
    <w:rsid w:val="00CB2D56"/>
    <w:rsid w:val="00CB384F"/>
    <w:rsid w:val="00CB4098"/>
    <w:rsid w:val="00CB432F"/>
    <w:rsid w:val="00CB5451"/>
    <w:rsid w:val="00CB62D9"/>
    <w:rsid w:val="00CB73FA"/>
    <w:rsid w:val="00CB7961"/>
    <w:rsid w:val="00CC026A"/>
    <w:rsid w:val="00CC137B"/>
    <w:rsid w:val="00CC15FC"/>
    <w:rsid w:val="00CC1AC6"/>
    <w:rsid w:val="00CC2A7B"/>
    <w:rsid w:val="00CC42BE"/>
    <w:rsid w:val="00CC5EE2"/>
    <w:rsid w:val="00CC77BC"/>
    <w:rsid w:val="00CD0723"/>
    <w:rsid w:val="00CD08C9"/>
    <w:rsid w:val="00CD0D47"/>
    <w:rsid w:val="00CD143D"/>
    <w:rsid w:val="00CD3FB9"/>
    <w:rsid w:val="00CD5397"/>
    <w:rsid w:val="00CD609B"/>
    <w:rsid w:val="00CD60CC"/>
    <w:rsid w:val="00CD6BBC"/>
    <w:rsid w:val="00CD7582"/>
    <w:rsid w:val="00CD7895"/>
    <w:rsid w:val="00CD79F7"/>
    <w:rsid w:val="00CE006A"/>
    <w:rsid w:val="00CE0A2B"/>
    <w:rsid w:val="00CE0EC7"/>
    <w:rsid w:val="00CE14CC"/>
    <w:rsid w:val="00CE2FAF"/>
    <w:rsid w:val="00CE3683"/>
    <w:rsid w:val="00CE3D11"/>
    <w:rsid w:val="00CE48A0"/>
    <w:rsid w:val="00CE4B02"/>
    <w:rsid w:val="00CE513B"/>
    <w:rsid w:val="00CE5912"/>
    <w:rsid w:val="00CE5B40"/>
    <w:rsid w:val="00CE5DF5"/>
    <w:rsid w:val="00CE62C5"/>
    <w:rsid w:val="00CE7BBF"/>
    <w:rsid w:val="00CF03AB"/>
    <w:rsid w:val="00CF1A12"/>
    <w:rsid w:val="00CF27B1"/>
    <w:rsid w:val="00CF40E6"/>
    <w:rsid w:val="00CF454E"/>
    <w:rsid w:val="00CF6092"/>
    <w:rsid w:val="00CF61AD"/>
    <w:rsid w:val="00CF61BA"/>
    <w:rsid w:val="00D00038"/>
    <w:rsid w:val="00D00493"/>
    <w:rsid w:val="00D007CD"/>
    <w:rsid w:val="00D00B8C"/>
    <w:rsid w:val="00D00C08"/>
    <w:rsid w:val="00D02E95"/>
    <w:rsid w:val="00D03CD3"/>
    <w:rsid w:val="00D0472F"/>
    <w:rsid w:val="00D04A50"/>
    <w:rsid w:val="00D04C55"/>
    <w:rsid w:val="00D04CC3"/>
    <w:rsid w:val="00D04D25"/>
    <w:rsid w:val="00D05045"/>
    <w:rsid w:val="00D0536B"/>
    <w:rsid w:val="00D062B0"/>
    <w:rsid w:val="00D06B92"/>
    <w:rsid w:val="00D06C54"/>
    <w:rsid w:val="00D07234"/>
    <w:rsid w:val="00D0778E"/>
    <w:rsid w:val="00D0786B"/>
    <w:rsid w:val="00D07AD2"/>
    <w:rsid w:val="00D1008B"/>
    <w:rsid w:val="00D108AB"/>
    <w:rsid w:val="00D1130D"/>
    <w:rsid w:val="00D11D9F"/>
    <w:rsid w:val="00D12597"/>
    <w:rsid w:val="00D13C42"/>
    <w:rsid w:val="00D1454F"/>
    <w:rsid w:val="00D14E2F"/>
    <w:rsid w:val="00D15093"/>
    <w:rsid w:val="00D1518D"/>
    <w:rsid w:val="00D220CD"/>
    <w:rsid w:val="00D22211"/>
    <w:rsid w:val="00D2462E"/>
    <w:rsid w:val="00D25279"/>
    <w:rsid w:val="00D26512"/>
    <w:rsid w:val="00D26552"/>
    <w:rsid w:val="00D27331"/>
    <w:rsid w:val="00D278DF"/>
    <w:rsid w:val="00D3113E"/>
    <w:rsid w:val="00D326D4"/>
    <w:rsid w:val="00D32A0A"/>
    <w:rsid w:val="00D3467A"/>
    <w:rsid w:val="00D34B29"/>
    <w:rsid w:val="00D35329"/>
    <w:rsid w:val="00D355B5"/>
    <w:rsid w:val="00D36120"/>
    <w:rsid w:val="00D36FC2"/>
    <w:rsid w:val="00D40476"/>
    <w:rsid w:val="00D40C2D"/>
    <w:rsid w:val="00D41BED"/>
    <w:rsid w:val="00D43339"/>
    <w:rsid w:val="00D44045"/>
    <w:rsid w:val="00D44C10"/>
    <w:rsid w:val="00D45A09"/>
    <w:rsid w:val="00D467CF"/>
    <w:rsid w:val="00D4714B"/>
    <w:rsid w:val="00D50145"/>
    <w:rsid w:val="00D5151C"/>
    <w:rsid w:val="00D5229D"/>
    <w:rsid w:val="00D524E9"/>
    <w:rsid w:val="00D534D6"/>
    <w:rsid w:val="00D53635"/>
    <w:rsid w:val="00D53BD9"/>
    <w:rsid w:val="00D5421E"/>
    <w:rsid w:val="00D54713"/>
    <w:rsid w:val="00D552E1"/>
    <w:rsid w:val="00D55CBA"/>
    <w:rsid w:val="00D560E2"/>
    <w:rsid w:val="00D566E0"/>
    <w:rsid w:val="00D56F2A"/>
    <w:rsid w:val="00D57307"/>
    <w:rsid w:val="00D57A2A"/>
    <w:rsid w:val="00D60574"/>
    <w:rsid w:val="00D60873"/>
    <w:rsid w:val="00D614D2"/>
    <w:rsid w:val="00D62FE5"/>
    <w:rsid w:val="00D64461"/>
    <w:rsid w:val="00D6696E"/>
    <w:rsid w:val="00D66981"/>
    <w:rsid w:val="00D70E64"/>
    <w:rsid w:val="00D71DDB"/>
    <w:rsid w:val="00D72171"/>
    <w:rsid w:val="00D723AE"/>
    <w:rsid w:val="00D74213"/>
    <w:rsid w:val="00D743AB"/>
    <w:rsid w:val="00D7450F"/>
    <w:rsid w:val="00D74722"/>
    <w:rsid w:val="00D74746"/>
    <w:rsid w:val="00D74979"/>
    <w:rsid w:val="00D75E2C"/>
    <w:rsid w:val="00D75E32"/>
    <w:rsid w:val="00D76604"/>
    <w:rsid w:val="00D7729A"/>
    <w:rsid w:val="00D804C3"/>
    <w:rsid w:val="00D813B7"/>
    <w:rsid w:val="00D819A9"/>
    <w:rsid w:val="00D828BD"/>
    <w:rsid w:val="00D82A4E"/>
    <w:rsid w:val="00D82E27"/>
    <w:rsid w:val="00D834F3"/>
    <w:rsid w:val="00D836B1"/>
    <w:rsid w:val="00D8399B"/>
    <w:rsid w:val="00D83CCA"/>
    <w:rsid w:val="00D849A9"/>
    <w:rsid w:val="00D84B1C"/>
    <w:rsid w:val="00D84EAF"/>
    <w:rsid w:val="00D84EB7"/>
    <w:rsid w:val="00D85143"/>
    <w:rsid w:val="00D854B3"/>
    <w:rsid w:val="00D9154A"/>
    <w:rsid w:val="00D9187B"/>
    <w:rsid w:val="00D91C9D"/>
    <w:rsid w:val="00D91D45"/>
    <w:rsid w:val="00D91E59"/>
    <w:rsid w:val="00D92886"/>
    <w:rsid w:val="00D92E8C"/>
    <w:rsid w:val="00D93372"/>
    <w:rsid w:val="00D9381A"/>
    <w:rsid w:val="00D941D6"/>
    <w:rsid w:val="00D9483B"/>
    <w:rsid w:val="00D956C4"/>
    <w:rsid w:val="00D970DE"/>
    <w:rsid w:val="00D97EFA"/>
    <w:rsid w:val="00DA04A4"/>
    <w:rsid w:val="00DA06E8"/>
    <w:rsid w:val="00DA0886"/>
    <w:rsid w:val="00DA097F"/>
    <w:rsid w:val="00DA1AD7"/>
    <w:rsid w:val="00DA1D32"/>
    <w:rsid w:val="00DA26B2"/>
    <w:rsid w:val="00DA276B"/>
    <w:rsid w:val="00DA2F40"/>
    <w:rsid w:val="00DA3760"/>
    <w:rsid w:val="00DA3ADF"/>
    <w:rsid w:val="00DA3D9F"/>
    <w:rsid w:val="00DA474A"/>
    <w:rsid w:val="00DA4D65"/>
    <w:rsid w:val="00DA4F38"/>
    <w:rsid w:val="00DA594E"/>
    <w:rsid w:val="00DA5999"/>
    <w:rsid w:val="00DA670B"/>
    <w:rsid w:val="00DA6824"/>
    <w:rsid w:val="00DA68AD"/>
    <w:rsid w:val="00DA6DAF"/>
    <w:rsid w:val="00DA787A"/>
    <w:rsid w:val="00DB0791"/>
    <w:rsid w:val="00DB130B"/>
    <w:rsid w:val="00DB21EE"/>
    <w:rsid w:val="00DB2DCB"/>
    <w:rsid w:val="00DB3876"/>
    <w:rsid w:val="00DB3A9D"/>
    <w:rsid w:val="00DB3C31"/>
    <w:rsid w:val="00DB412C"/>
    <w:rsid w:val="00DB48CE"/>
    <w:rsid w:val="00DB5882"/>
    <w:rsid w:val="00DB59A7"/>
    <w:rsid w:val="00DB5E00"/>
    <w:rsid w:val="00DB7206"/>
    <w:rsid w:val="00DB7E79"/>
    <w:rsid w:val="00DB7EB4"/>
    <w:rsid w:val="00DC1294"/>
    <w:rsid w:val="00DC19CC"/>
    <w:rsid w:val="00DC1F80"/>
    <w:rsid w:val="00DC3A3C"/>
    <w:rsid w:val="00DC4BD0"/>
    <w:rsid w:val="00DC4EAD"/>
    <w:rsid w:val="00DC760F"/>
    <w:rsid w:val="00DC7AE9"/>
    <w:rsid w:val="00DD0530"/>
    <w:rsid w:val="00DD05E4"/>
    <w:rsid w:val="00DD0A7F"/>
    <w:rsid w:val="00DD19DA"/>
    <w:rsid w:val="00DD1D87"/>
    <w:rsid w:val="00DD2286"/>
    <w:rsid w:val="00DD3802"/>
    <w:rsid w:val="00DD3CD9"/>
    <w:rsid w:val="00DD3EEE"/>
    <w:rsid w:val="00DD472E"/>
    <w:rsid w:val="00DD4BF1"/>
    <w:rsid w:val="00DD6169"/>
    <w:rsid w:val="00DD68D2"/>
    <w:rsid w:val="00DD6F99"/>
    <w:rsid w:val="00DD7ECE"/>
    <w:rsid w:val="00DE0F99"/>
    <w:rsid w:val="00DE1986"/>
    <w:rsid w:val="00DE1BDC"/>
    <w:rsid w:val="00DE2B2D"/>
    <w:rsid w:val="00DE4E6F"/>
    <w:rsid w:val="00DE5CCF"/>
    <w:rsid w:val="00DE6F52"/>
    <w:rsid w:val="00DF03FD"/>
    <w:rsid w:val="00DF0B1F"/>
    <w:rsid w:val="00DF1726"/>
    <w:rsid w:val="00DF28D6"/>
    <w:rsid w:val="00DF2D83"/>
    <w:rsid w:val="00DF3E29"/>
    <w:rsid w:val="00DF58D2"/>
    <w:rsid w:val="00DF65D5"/>
    <w:rsid w:val="00DF67E1"/>
    <w:rsid w:val="00DF6D97"/>
    <w:rsid w:val="00DF7F2F"/>
    <w:rsid w:val="00DF7FCA"/>
    <w:rsid w:val="00E00AB9"/>
    <w:rsid w:val="00E00D37"/>
    <w:rsid w:val="00E010B4"/>
    <w:rsid w:val="00E01DBF"/>
    <w:rsid w:val="00E0262D"/>
    <w:rsid w:val="00E0520E"/>
    <w:rsid w:val="00E05244"/>
    <w:rsid w:val="00E05947"/>
    <w:rsid w:val="00E06A3E"/>
    <w:rsid w:val="00E06A6B"/>
    <w:rsid w:val="00E0755F"/>
    <w:rsid w:val="00E07A11"/>
    <w:rsid w:val="00E100BD"/>
    <w:rsid w:val="00E1173E"/>
    <w:rsid w:val="00E11C5C"/>
    <w:rsid w:val="00E139EA"/>
    <w:rsid w:val="00E13A3A"/>
    <w:rsid w:val="00E13D35"/>
    <w:rsid w:val="00E13EA6"/>
    <w:rsid w:val="00E1484C"/>
    <w:rsid w:val="00E14CF2"/>
    <w:rsid w:val="00E1664F"/>
    <w:rsid w:val="00E16BA7"/>
    <w:rsid w:val="00E17272"/>
    <w:rsid w:val="00E20337"/>
    <w:rsid w:val="00E205C8"/>
    <w:rsid w:val="00E206C7"/>
    <w:rsid w:val="00E21C21"/>
    <w:rsid w:val="00E223CC"/>
    <w:rsid w:val="00E23F90"/>
    <w:rsid w:val="00E261C9"/>
    <w:rsid w:val="00E26392"/>
    <w:rsid w:val="00E26CD7"/>
    <w:rsid w:val="00E270FA"/>
    <w:rsid w:val="00E30B9E"/>
    <w:rsid w:val="00E31FD3"/>
    <w:rsid w:val="00E32765"/>
    <w:rsid w:val="00E331CE"/>
    <w:rsid w:val="00E3533B"/>
    <w:rsid w:val="00E35776"/>
    <w:rsid w:val="00E35CAD"/>
    <w:rsid w:val="00E36609"/>
    <w:rsid w:val="00E408E4"/>
    <w:rsid w:val="00E4118C"/>
    <w:rsid w:val="00E425B4"/>
    <w:rsid w:val="00E429CA"/>
    <w:rsid w:val="00E42CC2"/>
    <w:rsid w:val="00E43333"/>
    <w:rsid w:val="00E43723"/>
    <w:rsid w:val="00E44DF5"/>
    <w:rsid w:val="00E4570D"/>
    <w:rsid w:val="00E457DD"/>
    <w:rsid w:val="00E457E3"/>
    <w:rsid w:val="00E4655D"/>
    <w:rsid w:val="00E4720A"/>
    <w:rsid w:val="00E47ACF"/>
    <w:rsid w:val="00E5003E"/>
    <w:rsid w:val="00E53658"/>
    <w:rsid w:val="00E54851"/>
    <w:rsid w:val="00E54EAE"/>
    <w:rsid w:val="00E5570D"/>
    <w:rsid w:val="00E55859"/>
    <w:rsid w:val="00E55957"/>
    <w:rsid w:val="00E56E1F"/>
    <w:rsid w:val="00E571D4"/>
    <w:rsid w:val="00E601D1"/>
    <w:rsid w:val="00E60607"/>
    <w:rsid w:val="00E6154F"/>
    <w:rsid w:val="00E6172A"/>
    <w:rsid w:val="00E62975"/>
    <w:rsid w:val="00E62F01"/>
    <w:rsid w:val="00E637CA"/>
    <w:rsid w:val="00E6678B"/>
    <w:rsid w:val="00E66D13"/>
    <w:rsid w:val="00E700B9"/>
    <w:rsid w:val="00E70688"/>
    <w:rsid w:val="00E7415A"/>
    <w:rsid w:val="00E74AF0"/>
    <w:rsid w:val="00E7531C"/>
    <w:rsid w:val="00E75520"/>
    <w:rsid w:val="00E76257"/>
    <w:rsid w:val="00E7644C"/>
    <w:rsid w:val="00E76975"/>
    <w:rsid w:val="00E7713D"/>
    <w:rsid w:val="00E77AA1"/>
    <w:rsid w:val="00E80E99"/>
    <w:rsid w:val="00E81271"/>
    <w:rsid w:val="00E81BB4"/>
    <w:rsid w:val="00E82D09"/>
    <w:rsid w:val="00E842F5"/>
    <w:rsid w:val="00E84839"/>
    <w:rsid w:val="00E85AFF"/>
    <w:rsid w:val="00E86733"/>
    <w:rsid w:val="00E86826"/>
    <w:rsid w:val="00E86D11"/>
    <w:rsid w:val="00E87220"/>
    <w:rsid w:val="00E906EB"/>
    <w:rsid w:val="00E927A3"/>
    <w:rsid w:val="00E93FED"/>
    <w:rsid w:val="00E9435A"/>
    <w:rsid w:val="00E9464C"/>
    <w:rsid w:val="00E95944"/>
    <w:rsid w:val="00E95C34"/>
    <w:rsid w:val="00E96757"/>
    <w:rsid w:val="00E97F11"/>
    <w:rsid w:val="00EA0049"/>
    <w:rsid w:val="00EA012B"/>
    <w:rsid w:val="00EA054E"/>
    <w:rsid w:val="00EA0C8A"/>
    <w:rsid w:val="00EA0D00"/>
    <w:rsid w:val="00EA1004"/>
    <w:rsid w:val="00EA16A5"/>
    <w:rsid w:val="00EA185F"/>
    <w:rsid w:val="00EA2739"/>
    <w:rsid w:val="00EA29C9"/>
    <w:rsid w:val="00EA30A2"/>
    <w:rsid w:val="00EA3F59"/>
    <w:rsid w:val="00EA4C3A"/>
    <w:rsid w:val="00EA54E3"/>
    <w:rsid w:val="00EA5BDD"/>
    <w:rsid w:val="00EA6F04"/>
    <w:rsid w:val="00EB0047"/>
    <w:rsid w:val="00EB0C8D"/>
    <w:rsid w:val="00EB0E89"/>
    <w:rsid w:val="00EB10AD"/>
    <w:rsid w:val="00EB1597"/>
    <w:rsid w:val="00EB1C49"/>
    <w:rsid w:val="00EB211B"/>
    <w:rsid w:val="00EB3316"/>
    <w:rsid w:val="00EB41F8"/>
    <w:rsid w:val="00EB42ED"/>
    <w:rsid w:val="00EB53CE"/>
    <w:rsid w:val="00EB6636"/>
    <w:rsid w:val="00EB66A4"/>
    <w:rsid w:val="00EB7E16"/>
    <w:rsid w:val="00EB7F2E"/>
    <w:rsid w:val="00EC0BD0"/>
    <w:rsid w:val="00EC13E6"/>
    <w:rsid w:val="00EC188B"/>
    <w:rsid w:val="00EC4151"/>
    <w:rsid w:val="00EC4216"/>
    <w:rsid w:val="00EC536B"/>
    <w:rsid w:val="00EC5537"/>
    <w:rsid w:val="00EC5DB9"/>
    <w:rsid w:val="00EC7A26"/>
    <w:rsid w:val="00ED1107"/>
    <w:rsid w:val="00ED1502"/>
    <w:rsid w:val="00ED5158"/>
    <w:rsid w:val="00ED624D"/>
    <w:rsid w:val="00ED6890"/>
    <w:rsid w:val="00ED6951"/>
    <w:rsid w:val="00ED6F02"/>
    <w:rsid w:val="00ED7402"/>
    <w:rsid w:val="00EE2A06"/>
    <w:rsid w:val="00EE3CAD"/>
    <w:rsid w:val="00EE4472"/>
    <w:rsid w:val="00EE5E63"/>
    <w:rsid w:val="00EE62C0"/>
    <w:rsid w:val="00EE77A8"/>
    <w:rsid w:val="00EE78D3"/>
    <w:rsid w:val="00EF0271"/>
    <w:rsid w:val="00EF0600"/>
    <w:rsid w:val="00EF07A2"/>
    <w:rsid w:val="00EF08D4"/>
    <w:rsid w:val="00EF1188"/>
    <w:rsid w:val="00EF35FE"/>
    <w:rsid w:val="00EF41B6"/>
    <w:rsid w:val="00EF53E6"/>
    <w:rsid w:val="00F0087A"/>
    <w:rsid w:val="00F01112"/>
    <w:rsid w:val="00F01BDF"/>
    <w:rsid w:val="00F02111"/>
    <w:rsid w:val="00F02E5E"/>
    <w:rsid w:val="00F03CD4"/>
    <w:rsid w:val="00F041F0"/>
    <w:rsid w:val="00F043EA"/>
    <w:rsid w:val="00F04DBF"/>
    <w:rsid w:val="00F057BE"/>
    <w:rsid w:val="00F05A39"/>
    <w:rsid w:val="00F05A8A"/>
    <w:rsid w:val="00F06472"/>
    <w:rsid w:val="00F07042"/>
    <w:rsid w:val="00F07C17"/>
    <w:rsid w:val="00F10B3D"/>
    <w:rsid w:val="00F10DE7"/>
    <w:rsid w:val="00F11A44"/>
    <w:rsid w:val="00F11CC8"/>
    <w:rsid w:val="00F12CB7"/>
    <w:rsid w:val="00F1492F"/>
    <w:rsid w:val="00F14947"/>
    <w:rsid w:val="00F14EC6"/>
    <w:rsid w:val="00F156FC"/>
    <w:rsid w:val="00F16174"/>
    <w:rsid w:val="00F1678B"/>
    <w:rsid w:val="00F172AD"/>
    <w:rsid w:val="00F20882"/>
    <w:rsid w:val="00F2092C"/>
    <w:rsid w:val="00F20CDF"/>
    <w:rsid w:val="00F211D8"/>
    <w:rsid w:val="00F22235"/>
    <w:rsid w:val="00F22BC4"/>
    <w:rsid w:val="00F236A1"/>
    <w:rsid w:val="00F238B6"/>
    <w:rsid w:val="00F24923"/>
    <w:rsid w:val="00F255B3"/>
    <w:rsid w:val="00F261FC"/>
    <w:rsid w:val="00F2735C"/>
    <w:rsid w:val="00F2778B"/>
    <w:rsid w:val="00F278DD"/>
    <w:rsid w:val="00F302D2"/>
    <w:rsid w:val="00F303F4"/>
    <w:rsid w:val="00F30653"/>
    <w:rsid w:val="00F31A8D"/>
    <w:rsid w:val="00F32153"/>
    <w:rsid w:val="00F3277B"/>
    <w:rsid w:val="00F339F1"/>
    <w:rsid w:val="00F33B05"/>
    <w:rsid w:val="00F36169"/>
    <w:rsid w:val="00F365DA"/>
    <w:rsid w:val="00F37329"/>
    <w:rsid w:val="00F3734B"/>
    <w:rsid w:val="00F40099"/>
    <w:rsid w:val="00F409BD"/>
    <w:rsid w:val="00F40F51"/>
    <w:rsid w:val="00F42E99"/>
    <w:rsid w:val="00F4369F"/>
    <w:rsid w:val="00F44319"/>
    <w:rsid w:val="00F44A16"/>
    <w:rsid w:val="00F4589E"/>
    <w:rsid w:val="00F459BF"/>
    <w:rsid w:val="00F460F0"/>
    <w:rsid w:val="00F46513"/>
    <w:rsid w:val="00F4697F"/>
    <w:rsid w:val="00F46CE6"/>
    <w:rsid w:val="00F4704D"/>
    <w:rsid w:val="00F502D4"/>
    <w:rsid w:val="00F5114A"/>
    <w:rsid w:val="00F51CC2"/>
    <w:rsid w:val="00F51E45"/>
    <w:rsid w:val="00F520A4"/>
    <w:rsid w:val="00F52BBE"/>
    <w:rsid w:val="00F53967"/>
    <w:rsid w:val="00F53A59"/>
    <w:rsid w:val="00F54416"/>
    <w:rsid w:val="00F54ABE"/>
    <w:rsid w:val="00F55EE5"/>
    <w:rsid w:val="00F562C8"/>
    <w:rsid w:val="00F56BAC"/>
    <w:rsid w:val="00F57455"/>
    <w:rsid w:val="00F57720"/>
    <w:rsid w:val="00F57743"/>
    <w:rsid w:val="00F606D5"/>
    <w:rsid w:val="00F6179A"/>
    <w:rsid w:val="00F617B2"/>
    <w:rsid w:val="00F62D4A"/>
    <w:rsid w:val="00F64A1E"/>
    <w:rsid w:val="00F64DBD"/>
    <w:rsid w:val="00F6795D"/>
    <w:rsid w:val="00F67C88"/>
    <w:rsid w:val="00F703AD"/>
    <w:rsid w:val="00F70526"/>
    <w:rsid w:val="00F70C4E"/>
    <w:rsid w:val="00F714B7"/>
    <w:rsid w:val="00F71553"/>
    <w:rsid w:val="00F71B4B"/>
    <w:rsid w:val="00F724B8"/>
    <w:rsid w:val="00F72A06"/>
    <w:rsid w:val="00F72C96"/>
    <w:rsid w:val="00F72D00"/>
    <w:rsid w:val="00F73F04"/>
    <w:rsid w:val="00F75A7B"/>
    <w:rsid w:val="00F7732B"/>
    <w:rsid w:val="00F77EEA"/>
    <w:rsid w:val="00F80438"/>
    <w:rsid w:val="00F81F57"/>
    <w:rsid w:val="00F82F2C"/>
    <w:rsid w:val="00F83338"/>
    <w:rsid w:val="00F852AA"/>
    <w:rsid w:val="00F853A2"/>
    <w:rsid w:val="00F857A5"/>
    <w:rsid w:val="00F85860"/>
    <w:rsid w:val="00F85DDD"/>
    <w:rsid w:val="00F8662B"/>
    <w:rsid w:val="00F90724"/>
    <w:rsid w:val="00F91C40"/>
    <w:rsid w:val="00F93FB8"/>
    <w:rsid w:val="00F947E8"/>
    <w:rsid w:val="00F94A6A"/>
    <w:rsid w:val="00F94ADE"/>
    <w:rsid w:val="00F959EA"/>
    <w:rsid w:val="00F9689B"/>
    <w:rsid w:val="00F96EA1"/>
    <w:rsid w:val="00F9717F"/>
    <w:rsid w:val="00FA075C"/>
    <w:rsid w:val="00FA10C7"/>
    <w:rsid w:val="00FA2D35"/>
    <w:rsid w:val="00FA5508"/>
    <w:rsid w:val="00FA67C6"/>
    <w:rsid w:val="00FB107B"/>
    <w:rsid w:val="00FB3137"/>
    <w:rsid w:val="00FB342E"/>
    <w:rsid w:val="00FB353C"/>
    <w:rsid w:val="00FB37C4"/>
    <w:rsid w:val="00FB3BE5"/>
    <w:rsid w:val="00FB452C"/>
    <w:rsid w:val="00FB4A09"/>
    <w:rsid w:val="00FB5578"/>
    <w:rsid w:val="00FB5E67"/>
    <w:rsid w:val="00FB6B8B"/>
    <w:rsid w:val="00FB7912"/>
    <w:rsid w:val="00FC0DB2"/>
    <w:rsid w:val="00FC113B"/>
    <w:rsid w:val="00FC3E1E"/>
    <w:rsid w:val="00FC40C0"/>
    <w:rsid w:val="00FC43F2"/>
    <w:rsid w:val="00FC4857"/>
    <w:rsid w:val="00FC4C1F"/>
    <w:rsid w:val="00FC6A89"/>
    <w:rsid w:val="00FC6E69"/>
    <w:rsid w:val="00FC7803"/>
    <w:rsid w:val="00FD041A"/>
    <w:rsid w:val="00FD14B8"/>
    <w:rsid w:val="00FD1798"/>
    <w:rsid w:val="00FD2801"/>
    <w:rsid w:val="00FD2932"/>
    <w:rsid w:val="00FD514C"/>
    <w:rsid w:val="00FD5316"/>
    <w:rsid w:val="00FD54D9"/>
    <w:rsid w:val="00FD5F07"/>
    <w:rsid w:val="00FD6B99"/>
    <w:rsid w:val="00FD7BD4"/>
    <w:rsid w:val="00FE0D57"/>
    <w:rsid w:val="00FE19B3"/>
    <w:rsid w:val="00FE1FA9"/>
    <w:rsid w:val="00FE2D39"/>
    <w:rsid w:val="00FE37AA"/>
    <w:rsid w:val="00FE48C0"/>
    <w:rsid w:val="00FE4D99"/>
    <w:rsid w:val="00FE4F24"/>
    <w:rsid w:val="00FF0A7A"/>
    <w:rsid w:val="00FF0E61"/>
    <w:rsid w:val="00FF19FA"/>
    <w:rsid w:val="00FF2367"/>
    <w:rsid w:val="00FF2C31"/>
    <w:rsid w:val="00FF345D"/>
    <w:rsid w:val="00FF6EB5"/>
    <w:rsid w:val="00FF7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8C5CC71"/>
  <w15:docId w15:val="{C93F5F56-B75F-41D1-BFC5-00980D7E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10"/>
    <w:pPr>
      <w:tabs>
        <w:tab w:val="right" w:pos="2835"/>
        <w:tab w:val="right" w:pos="5670"/>
        <w:tab w:val="right" w:pos="9016"/>
      </w:tabs>
      <w:spacing w:before="120" w:after="220"/>
    </w:pPr>
    <w:rPr>
      <w:rFonts w:ascii="Arial" w:eastAsiaTheme="minorEastAsia" w:hAnsi="Arial"/>
      <w:noProof/>
      <w:lang w:eastAsia="en-GB"/>
    </w:rPr>
  </w:style>
  <w:style w:type="paragraph" w:styleId="Heading1">
    <w:name w:val="heading 1"/>
    <w:basedOn w:val="Normal"/>
    <w:next w:val="Normal"/>
    <w:link w:val="Heading1Char"/>
    <w:uiPriority w:val="9"/>
    <w:qFormat/>
    <w:rsid w:val="00422C7A"/>
    <w:pPr>
      <w:keepNext/>
      <w:keepLines/>
      <w:spacing w:before="0" w:after="0"/>
      <w:outlineLvl w:val="0"/>
    </w:pPr>
    <w:rPr>
      <w:rFonts w:eastAsia="Arial" w:cstheme="majorBidi"/>
      <w:b/>
      <w:bCs/>
      <w:color w:val="4F81BD" w:themeColor="accent1"/>
      <w:spacing w:val="2"/>
      <w:sz w:val="40"/>
    </w:rPr>
  </w:style>
  <w:style w:type="paragraph" w:styleId="Heading2">
    <w:name w:val="heading 2"/>
    <w:basedOn w:val="Normal"/>
    <w:next w:val="Normal"/>
    <w:link w:val="Heading2Char"/>
    <w:autoRedefine/>
    <w:uiPriority w:val="9"/>
    <w:unhideWhenUsed/>
    <w:qFormat/>
    <w:rsid w:val="00F714B7"/>
    <w:pPr>
      <w:keepNext/>
      <w:keepLines/>
      <w:spacing w:before="200" w:after="0"/>
      <w:outlineLvl w:val="1"/>
    </w:pPr>
    <w:rPr>
      <w:rFonts w:eastAsia="Arial" w:cs="Arial"/>
      <w:b/>
      <w:bCs/>
      <w:color w:val="548DD4" w:themeColor="text2" w:themeTint="99"/>
      <w:sz w:val="28"/>
      <w:szCs w:val="28"/>
      <w:lang w:val="en-US"/>
    </w:rPr>
  </w:style>
  <w:style w:type="paragraph" w:styleId="Heading3">
    <w:name w:val="heading 3"/>
    <w:basedOn w:val="Normal"/>
    <w:next w:val="Normal"/>
    <w:link w:val="Heading3Char"/>
    <w:uiPriority w:val="9"/>
    <w:unhideWhenUsed/>
    <w:qFormat/>
    <w:rsid w:val="00B14EE4"/>
    <w:pPr>
      <w:keepNext/>
      <w:keepLines/>
      <w:spacing w:before="200" w:after="0"/>
      <w:outlineLvl w:val="2"/>
    </w:pPr>
    <w:rPr>
      <w:rFonts w:eastAsiaTheme="majorEastAsia" w:cstheme="majorBidi"/>
      <w:b/>
      <w:bCs/>
      <w:color w:val="4F81BD" w:themeColor="accent1"/>
      <w:sz w:val="24"/>
    </w:rPr>
  </w:style>
  <w:style w:type="paragraph" w:styleId="Heading4">
    <w:name w:val="heading 4"/>
    <w:basedOn w:val="Normal"/>
    <w:next w:val="Normal"/>
    <w:link w:val="Heading4Char"/>
    <w:uiPriority w:val="9"/>
    <w:unhideWhenUsed/>
    <w:qFormat/>
    <w:rsid w:val="00B86B2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12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C47D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72AF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5A7B93"/>
    <w:pPr>
      <w:ind w:left="720"/>
      <w:contextualSpacing/>
    </w:pPr>
  </w:style>
  <w:style w:type="character" w:customStyle="1" w:styleId="Heading1Char">
    <w:name w:val="Heading 1 Char"/>
    <w:basedOn w:val="DefaultParagraphFont"/>
    <w:link w:val="Heading1"/>
    <w:uiPriority w:val="9"/>
    <w:rsid w:val="00422C7A"/>
    <w:rPr>
      <w:rFonts w:ascii="Arial" w:eastAsia="Arial" w:hAnsi="Arial" w:cstheme="majorBidi"/>
      <w:b/>
      <w:bCs/>
      <w:noProof/>
      <w:color w:val="4F81BD" w:themeColor="accent1"/>
      <w:spacing w:val="2"/>
      <w:sz w:val="40"/>
      <w:lang w:eastAsia="en-GB"/>
    </w:rPr>
  </w:style>
  <w:style w:type="paragraph" w:styleId="TOC1">
    <w:name w:val="toc 1"/>
    <w:basedOn w:val="Normal"/>
    <w:next w:val="Normal"/>
    <w:autoRedefine/>
    <w:uiPriority w:val="39"/>
    <w:unhideWhenUsed/>
    <w:qFormat/>
    <w:rsid w:val="00AA1BD8"/>
    <w:pPr>
      <w:tabs>
        <w:tab w:val="clear" w:pos="2835"/>
        <w:tab w:val="clear" w:pos="5670"/>
        <w:tab w:val="clear" w:pos="9016"/>
        <w:tab w:val="right" w:leader="dot" w:pos="9639"/>
      </w:tabs>
      <w:spacing w:after="100"/>
    </w:pPr>
    <w:rPr>
      <w:rFonts w:eastAsiaTheme="majorEastAsia" w:cs="Arial"/>
      <w:bCs/>
    </w:rPr>
  </w:style>
  <w:style w:type="character" w:styleId="Hyperlink">
    <w:name w:val="Hyperlink"/>
    <w:basedOn w:val="DefaultParagraphFont"/>
    <w:uiPriority w:val="99"/>
    <w:unhideWhenUsed/>
    <w:rsid w:val="00717953"/>
    <w:rPr>
      <w:color w:val="0000FF" w:themeColor="hyperlink"/>
      <w:u w:val="single"/>
    </w:rPr>
  </w:style>
  <w:style w:type="character" w:customStyle="1" w:styleId="Heading2Char">
    <w:name w:val="Heading 2 Char"/>
    <w:basedOn w:val="DefaultParagraphFont"/>
    <w:link w:val="Heading2"/>
    <w:uiPriority w:val="9"/>
    <w:rsid w:val="00F714B7"/>
    <w:rPr>
      <w:rFonts w:ascii="Arial" w:eastAsia="Arial" w:hAnsi="Arial" w:cs="Arial"/>
      <w:b/>
      <w:bCs/>
      <w:noProof/>
      <w:color w:val="548DD4" w:themeColor="text2" w:themeTint="99"/>
      <w:sz w:val="28"/>
      <w:szCs w:val="28"/>
      <w:lang w:val="en-US" w:eastAsia="en-GB"/>
    </w:rPr>
  </w:style>
  <w:style w:type="character" w:customStyle="1" w:styleId="Heading3Char">
    <w:name w:val="Heading 3 Char"/>
    <w:basedOn w:val="DefaultParagraphFont"/>
    <w:link w:val="Heading3"/>
    <w:uiPriority w:val="9"/>
    <w:rsid w:val="00B14EE4"/>
    <w:rPr>
      <w:rFonts w:ascii="Arial" w:eastAsiaTheme="majorEastAsia" w:hAnsi="Arial" w:cstheme="majorBidi"/>
      <w:b/>
      <w:bCs/>
      <w:noProof/>
      <w:color w:val="4F81BD" w:themeColor="accent1"/>
      <w:sz w:val="24"/>
      <w:lang w:eastAsia="en-GB"/>
    </w:rPr>
  </w:style>
  <w:style w:type="paragraph" w:styleId="NormalWeb">
    <w:name w:val="Normal (Web)"/>
    <w:basedOn w:val="Normal"/>
    <w:uiPriority w:val="99"/>
    <w:unhideWhenUsed/>
    <w:rsid w:val="00717953"/>
    <w:pPr>
      <w:spacing w:after="0" w:line="240" w:lineRule="auto"/>
    </w:pPr>
    <w:rPr>
      <w:rFonts w:ascii="Times New Roman" w:eastAsia="Times New Roman" w:hAnsi="Times New Roman" w:cs="Times New Roman"/>
      <w:sz w:val="24"/>
      <w:szCs w:val="24"/>
    </w:rPr>
  </w:style>
  <w:style w:type="paragraph" w:customStyle="1" w:styleId="Normal1">
    <w:name w:val="Normal1"/>
    <w:basedOn w:val="Normal"/>
    <w:rsid w:val="00717953"/>
    <w:pPr>
      <w:spacing w:after="0" w:line="240" w:lineRule="auto"/>
    </w:pPr>
    <w:rPr>
      <w:rFonts w:eastAsia="Times New Roman" w:cs="Arial"/>
      <w:sz w:val="24"/>
      <w:szCs w:val="24"/>
    </w:rPr>
  </w:style>
  <w:style w:type="paragraph" w:customStyle="1" w:styleId="list0020paragraph">
    <w:name w:val="list_0020paragraph"/>
    <w:basedOn w:val="Normal"/>
    <w:rsid w:val="00717953"/>
    <w:pPr>
      <w:spacing w:after="0" w:line="240" w:lineRule="auto"/>
      <w:ind w:left="720"/>
    </w:pPr>
    <w:rPr>
      <w:rFonts w:eastAsia="Times New Roman" w:cs="Arial"/>
      <w:sz w:val="24"/>
      <w:szCs w:val="24"/>
    </w:rPr>
  </w:style>
  <w:style w:type="paragraph" w:customStyle="1" w:styleId="nhs0020cb0020no0020paragragh0020number">
    <w:name w:val="nhs_0020cb_0020no_0020paragragh_0020number"/>
    <w:basedOn w:val="Normal"/>
    <w:rsid w:val="00717953"/>
    <w:pPr>
      <w:spacing w:after="120" w:line="360" w:lineRule="atLeast"/>
    </w:pPr>
    <w:rPr>
      <w:rFonts w:eastAsia="Times New Roman" w:cs="Arial"/>
      <w:sz w:val="24"/>
      <w:szCs w:val="24"/>
    </w:rPr>
  </w:style>
  <w:style w:type="paragraph" w:customStyle="1" w:styleId="body0020text">
    <w:name w:val="body_0020text"/>
    <w:basedOn w:val="Normal"/>
    <w:rsid w:val="00717953"/>
    <w:pPr>
      <w:spacing w:after="0" w:line="240" w:lineRule="auto"/>
      <w:ind w:left="360" w:hanging="360"/>
    </w:pPr>
    <w:rPr>
      <w:rFonts w:eastAsia="Times New Roman" w:cs="Arial"/>
      <w:sz w:val="24"/>
      <w:szCs w:val="24"/>
    </w:rPr>
  </w:style>
  <w:style w:type="character" w:customStyle="1" w:styleId="normalchar1">
    <w:name w:val="normal__char1"/>
    <w:basedOn w:val="DefaultParagraphFont"/>
    <w:rsid w:val="00717953"/>
    <w:rPr>
      <w:rFonts w:ascii="Arial" w:hAnsi="Arial" w:cs="Arial" w:hint="default"/>
      <w:sz w:val="24"/>
      <w:szCs w:val="24"/>
    </w:rPr>
  </w:style>
  <w:style w:type="character" w:customStyle="1" w:styleId="list0020paragraphchar1">
    <w:name w:val="list_0020paragraph__char1"/>
    <w:basedOn w:val="DefaultParagraphFont"/>
    <w:rsid w:val="00717953"/>
    <w:rPr>
      <w:rFonts w:ascii="Arial" w:hAnsi="Arial" w:cs="Arial" w:hint="default"/>
      <w:sz w:val="24"/>
      <w:szCs w:val="24"/>
    </w:rPr>
  </w:style>
  <w:style w:type="paragraph" w:customStyle="1" w:styleId="table0020grid1">
    <w:name w:val="table_0020grid1"/>
    <w:basedOn w:val="Normal"/>
    <w:rsid w:val="00717953"/>
    <w:pPr>
      <w:spacing w:after="0" w:line="240" w:lineRule="auto"/>
    </w:pPr>
    <w:rPr>
      <w:rFonts w:ascii="Times New Roman" w:eastAsia="Times New Roman" w:hAnsi="Times New Roman" w:cs="Times New Roman"/>
      <w:sz w:val="24"/>
      <w:szCs w:val="24"/>
    </w:rPr>
  </w:style>
  <w:style w:type="character" w:customStyle="1" w:styleId="table0020gridchar">
    <w:name w:val="table_0020grid__char"/>
    <w:basedOn w:val="DefaultParagraphFont"/>
    <w:rsid w:val="00717953"/>
  </w:style>
  <w:style w:type="character" w:customStyle="1" w:styleId="nhs0020cb0020no0020paragragh0020numberchar1">
    <w:name w:val="nhs_0020cb_0020no_0020paragragh_0020number__char1"/>
    <w:basedOn w:val="DefaultParagraphFont"/>
    <w:rsid w:val="00717953"/>
    <w:rPr>
      <w:rFonts w:ascii="Arial" w:hAnsi="Arial" w:cs="Arial" w:hint="default"/>
      <w:sz w:val="24"/>
      <w:szCs w:val="24"/>
    </w:rPr>
  </w:style>
  <w:style w:type="character" w:customStyle="1" w:styleId="s5char">
    <w:name w:val="s5__char"/>
    <w:basedOn w:val="DefaultParagraphFont"/>
    <w:rsid w:val="00717953"/>
  </w:style>
  <w:style w:type="character" w:customStyle="1" w:styleId="body0020textchar1">
    <w:name w:val="body_0020text__char1"/>
    <w:basedOn w:val="DefaultParagraphFont"/>
    <w:rsid w:val="00717953"/>
    <w:rPr>
      <w:rFonts w:ascii="Arial" w:hAnsi="Arial" w:cs="Arial" w:hint="default"/>
      <w:sz w:val="24"/>
      <w:szCs w:val="24"/>
    </w:rPr>
  </w:style>
  <w:style w:type="paragraph" w:customStyle="1" w:styleId="normal0020table1">
    <w:name w:val="normal_0020table1"/>
    <w:basedOn w:val="Normal"/>
    <w:rsid w:val="00717953"/>
    <w:pPr>
      <w:spacing w:after="0" w:line="240" w:lineRule="auto"/>
    </w:pPr>
    <w:rPr>
      <w:rFonts w:ascii="Times New Roman" w:eastAsia="Times New Roman" w:hAnsi="Times New Roman" w:cs="Times New Roman"/>
      <w:sz w:val="24"/>
      <w:szCs w:val="24"/>
    </w:rPr>
  </w:style>
  <w:style w:type="character" w:customStyle="1" w:styleId="normal0020tablechar">
    <w:name w:val="normal_0020table__char"/>
    <w:basedOn w:val="DefaultParagraphFont"/>
    <w:rsid w:val="00717953"/>
  </w:style>
  <w:style w:type="character" w:styleId="CommentReference">
    <w:name w:val="annotation reference"/>
    <w:basedOn w:val="DefaultParagraphFont"/>
    <w:uiPriority w:val="99"/>
    <w:semiHidden/>
    <w:unhideWhenUsed/>
    <w:rsid w:val="00717953"/>
    <w:rPr>
      <w:sz w:val="16"/>
      <w:szCs w:val="16"/>
    </w:rPr>
  </w:style>
  <w:style w:type="paragraph" w:styleId="CommentText">
    <w:name w:val="annotation text"/>
    <w:basedOn w:val="Normal"/>
    <w:link w:val="CommentTextChar"/>
    <w:uiPriority w:val="99"/>
    <w:unhideWhenUsed/>
    <w:rsid w:val="00717953"/>
    <w:pPr>
      <w:spacing w:line="240" w:lineRule="auto"/>
    </w:pPr>
    <w:rPr>
      <w:sz w:val="20"/>
      <w:szCs w:val="20"/>
    </w:rPr>
  </w:style>
  <w:style w:type="character" w:customStyle="1" w:styleId="CommentTextChar">
    <w:name w:val="Comment Text Char"/>
    <w:basedOn w:val="DefaultParagraphFont"/>
    <w:link w:val="CommentText"/>
    <w:uiPriority w:val="99"/>
    <w:rsid w:val="00717953"/>
    <w:rPr>
      <w:sz w:val="20"/>
      <w:szCs w:val="20"/>
    </w:rPr>
  </w:style>
  <w:style w:type="paragraph" w:styleId="CommentSubject">
    <w:name w:val="annotation subject"/>
    <w:basedOn w:val="CommentText"/>
    <w:next w:val="CommentText"/>
    <w:link w:val="CommentSubjectChar"/>
    <w:uiPriority w:val="99"/>
    <w:semiHidden/>
    <w:unhideWhenUsed/>
    <w:rsid w:val="00717953"/>
    <w:rPr>
      <w:b/>
      <w:bCs/>
    </w:rPr>
  </w:style>
  <w:style w:type="character" w:customStyle="1" w:styleId="CommentSubjectChar">
    <w:name w:val="Comment Subject Char"/>
    <w:basedOn w:val="CommentTextChar"/>
    <w:link w:val="CommentSubject"/>
    <w:uiPriority w:val="99"/>
    <w:semiHidden/>
    <w:rsid w:val="00717953"/>
    <w:rPr>
      <w:b/>
      <w:bCs/>
      <w:sz w:val="20"/>
      <w:szCs w:val="20"/>
    </w:rPr>
  </w:style>
  <w:style w:type="paragraph" w:styleId="BalloonText">
    <w:name w:val="Balloon Text"/>
    <w:basedOn w:val="Normal"/>
    <w:link w:val="BalloonTextChar"/>
    <w:uiPriority w:val="99"/>
    <w:semiHidden/>
    <w:unhideWhenUsed/>
    <w:rsid w:val="00717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953"/>
    <w:rPr>
      <w:rFonts w:ascii="Tahoma" w:hAnsi="Tahoma" w:cs="Tahoma"/>
      <w:sz w:val="16"/>
      <w:szCs w:val="16"/>
    </w:rPr>
  </w:style>
  <w:style w:type="paragraph" w:styleId="ListNumber">
    <w:name w:val="List Number"/>
    <w:basedOn w:val="Normal"/>
    <w:uiPriority w:val="99"/>
    <w:unhideWhenUsed/>
    <w:rsid w:val="00717953"/>
    <w:pPr>
      <w:numPr>
        <w:numId w:val="1"/>
      </w:numPr>
      <w:contextualSpacing/>
    </w:pPr>
  </w:style>
  <w:style w:type="paragraph" w:styleId="Header">
    <w:name w:val="header"/>
    <w:basedOn w:val="Normal"/>
    <w:link w:val="HeaderChar"/>
    <w:uiPriority w:val="99"/>
    <w:unhideWhenUsed/>
    <w:rsid w:val="00717953"/>
    <w:pPr>
      <w:tabs>
        <w:tab w:val="clear" w:pos="9016"/>
        <w:tab w:val="center" w:pos="4513"/>
        <w:tab w:val="right" w:pos="9026"/>
      </w:tabs>
      <w:spacing w:after="0" w:line="240" w:lineRule="auto"/>
    </w:pPr>
  </w:style>
  <w:style w:type="character" w:customStyle="1" w:styleId="HeaderChar">
    <w:name w:val="Header Char"/>
    <w:basedOn w:val="DefaultParagraphFont"/>
    <w:link w:val="Header"/>
    <w:uiPriority w:val="99"/>
    <w:rsid w:val="00717953"/>
  </w:style>
  <w:style w:type="paragraph" w:styleId="Footer">
    <w:name w:val="footer"/>
    <w:basedOn w:val="Normal"/>
    <w:link w:val="FooterChar"/>
    <w:uiPriority w:val="99"/>
    <w:unhideWhenUsed/>
    <w:rsid w:val="00717953"/>
    <w:pPr>
      <w:tabs>
        <w:tab w:val="clear" w:pos="9016"/>
        <w:tab w:val="center" w:pos="4513"/>
        <w:tab w:val="right" w:pos="9026"/>
      </w:tabs>
      <w:spacing w:after="0" w:line="240" w:lineRule="auto"/>
    </w:pPr>
  </w:style>
  <w:style w:type="character" w:customStyle="1" w:styleId="FooterChar">
    <w:name w:val="Footer Char"/>
    <w:basedOn w:val="DefaultParagraphFont"/>
    <w:link w:val="Footer"/>
    <w:uiPriority w:val="99"/>
    <w:rsid w:val="00717953"/>
  </w:style>
  <w:style w:type="paragraph" w:customStyle="1" w:styleId="Default">
    <w:name w:val="Default"/>
    <w:basedOn w:val="Normal"/>
    <w:rsid w:val="00717953"/>
    <w:pPr>
      <w:autoSpaceDE w:val="0"/>
      <w:autoSpaceDN w:val="0"/>
      <w:spacing w:after="0" w:line="240" w:lineRule="auto"/>
    </w:pPr>
    <w:rPr>
      <w:rFonts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717953"/>
  </w:style>
  <w:style w:type="table" w:styleId="TableGrid">
    <w:name w:val="Table Grid"/>
    <w:aliases w:val="Blue Table Style"/>
    <w:basedOn w:val="TableNormal"/>
    <w:uiPriority w:val="59"/>
    <w:rsid w:val="0071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n heading"/>
    <w:basedOn w:val="Normal"/>
    <w:link w:val="NoSpacingChar"/>
    <w:uiPriority w:val="1"/>
    <w:qFormat/>
    <w:rsid w:val="003846C7"/>
    <w:pPr>
      <w:spacing w:after="0" w:line="240" w:lineRule="auto"/>
    </w:pPr>
    <w:rPr>
      <w:rFonts w:cs="Calibri"/>
      <w:b/>
      <w:color w:val="4F81BD" w:themeColor="accent1"/>
      <w:sz w:val="24"/>
    </w:rPr>
  </w:style>
  <w:style w:type="paragraph" w:styleId="Revision">
    <w:name w:val="Revision"/>
    <w:hidden/>
    <w:uiPriority w:val="99"/>
    <w:semiHidden/>
    <w:rsid w:val="00717953"/>
    <w:pPr>
      <w:spacing w:after="0" w:line="240" w:lineRule="auto"/>
    </w:pPr>
  </w:style>
  <w:style w:type="paragraph" w:styleId="FootnoteText">
    <w:name w:val="footnote text"/>
    <w:basedOn w:val="Normal"/>
    <w:link w:val="FootnoteTextChar"/>
    <w:uiPriority w:val="99"/>
    <w:unhideWhenUsed/>
    <w:rsid w:val="00717953"/>
    <w:pPr>
      <w:spacing w:after="0" w:line="240" w:lineRule="auto"/>
    </w:pPr>
    <w:rPr>
      <w:sz w:val="20"/>
      <w:szCs w:val="20"/>
    </w:rPr>
  </w:style>
  <w:style w:type="character" w:customStyle="1" w:styleId="FootnoteTextChar">
    <w:name w:val="Footnote Text Char"/>
    <w:basedOn w:val="DefaultParagraphFont"/>
    <w:link w:val="FootnoteText"/>
    <w:uiPriority w:val="99"/>
    <w:rsid w:val="00717953"/>
    <w:rPr>
      <w:sz w:val="20"/>
      <w:szCs w:val="20"/>
    </w:rPr>
  </w:style>
  <w:style w:type="character" w:styleId="FootnoteReference">
    <w:name w:val="footnote reference"/>
    <w:uiPriority w:val="99"/>
    <w:rsid w:val="00717953"/>
    <w:rPr>
      <w:vertAlign w:val="superscript"/>
    </w:rPr>
  </w:style>
  <w:style w:type="paragraph" w:styleId="PlainText">
    <w:name w:val="Plain Text"/>
    <w:basedOn w:val="Normal"/>
    <w:link w:val="PlainTextChar"/>
    <w:uiPriority w:val="99"/>
    <w:unhideWhenUsed/>
    <w:rsid w:val="0071795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17953"/>
    <w:rPr>
      <w:rFonts w:ascii="Calibri" w:hAnsi="Calibri"/>
      <w:szCs w:val="21"/>
    </w:rPr>
  </w:style>
  <w:style w:type="paragraph" w:styleId="TOCHeading">
    <w:name w:val="TOC Heading"/>
    <w:basedOn w:val="Heading1"/>
    <w:next w:val="Normal"/>
    <w:uiPriority w:val="39"/>
    <w:unhideWhenUsed/>
    <w:qFormat/>
    <w:rsid w:val="00717953"/>
    <w:pPr>
      <w:outlineLvl w:val="9"/>
    </w:pPr>
    <w:rPr>
      <w:lang w:val="en-US" w:eastAsia="ja-JP"/>
    </w:rPr>
  </w:style>
  <w:style w:type="paragraph" w:styleId="TOC2">
    <w:name w:val="toc 2"/>
    <w:basedOn w:val="Normal"/>
    <w:next w:val="Normal"/>
    <w:autoRedefine/>
    <w:uiPriority w:val="39"/>
    <w:unhideWhenUsed/>
    <w:qFormat/>
    <w:rsid w:val="00AA1BD8"/>
    <w:pPr>
      <w:tabs>
        <w:tab w:val="clear" w:pos="2835"/>
        <w:tab w:val="clear" w:pos="5670"/>
        <w:tab w:val="clear" w:pos="9016"/>
        <w:tab w:val="right" w:leader="dot" w:pos="9639"/>
      </w:tabs>
      <w:spacing w:after="100"/>
      <w:ind w:left="440"/>
    </w:pPr>
    <w:rPr>
      <w:lang w:val="en-US" w:eastAsia="ja-JP"/>
    </w:rPr>
  </w:style>
  <w:style w:type="paragraph" w:styleId="TOC3">
    <w:name w:val="toc 3"/>
    <w:basedOn w:val="Normal"/>
    <w:next w:val="Normal"/>
    <w:autoRedefine/>
    <w:uiPriority w:val="39"/>
    <w:unhideWhenUsed/>
    <w:qFormat/>
    <w:rsid w:val="00E05244"/>
    <w:pPr>
      <w:tabs>
        <w:tab w:val="clear" w:pos="2835"/>
        <w:tab w:val="clear" w:pos="5670"/>
        <w:tab w:val="clear" w:pos="9016"/>
        <w:tab w:val="right" w:leader="dot" w:pos="9639"/>
      </w:tabs>
      <w:spacing w:after="100"/>
      <w:ind w:left="440" w:right="1023"/>
    </w:pPr>
    <w:rPr>
      <w:lang w:val="en-US" w:eastAsia="ja-JP"/>
    </w:rPr>
  </w:style>
  <w:style w:type="table" w:customStyle="1" w:styleId="TableGrid4">
    <w:name w:val="Table Grid4"/>
    <w:basedOn w:val="TableNormal"/>
    <w:next w:val="TableGrid"/>
    <w:uiPriority w:val="59"/>
    <w:rsid w:val="0071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1">
    <w:name w:val="s11"/>
    <w:basedOn w:val="Normal"/>
    <w:rsid w:val="00717953"/>
    <w:pPr>
      <w:spacing w:before="100" w:beforeAutospacing="1" w:after="100" w:afterAutospacing="1" w:line="240" w:lineRule="auto"/>
    </w:pPr>
    <w:rPr>
      <w:rFonts w:ascii="Times New Roman" w:hAnsi="Times New Roman" w:cs="Times New Roman"/>
      <w:sz w:val="24"/>
      <w:szCs w:val="24"/>
    </w:rPr>
  </w:style>
  <w:style w:type="paragraph" w:customStyle="1" w:styleId="pa0">
    <w:name w:val="pa0"/>
    <w:basedOn w:val="Normal"/>
    <w:rsid w:val="00717953"/>
    <w:pPr>
      <w:spacing w:before="100" w:beforeAutospacing="1" w:after="100" w:afterAutospacing="1" w:line="240" w:lineRule="auto"/>
    </w:pPr>
    <w:rPr>
      <w:rFonts w:ascii="Times New Roman" w:hAnsi="Times New Roman" w:cs="Times New Roman"/>
      <w:sz w:val="24"/>
      <w:szCs w:val="24"/>
    </w:rPr>
  </w:style>
  <w:style w:type="character" w:customStyle="1" w:styleId="s29">
    <w:name w:val="s29"/>
    <w:basedOn w:val="DefaultParagraphFont"/>
    <w:rsid w:val="00422ACF"/>
  </w:style>
  <w:style w:type="paragraph" w:customStyle="1" w:styleId="Pa00">
    <w:name w:val="Pa0"/>
    <w:basedOn w:val="Normal"/>
    <w:next w:val="Normal"/>
    <w:uiPriority w:val="99"/>
    <w:rsid w:val="000A61E1"/>
    <w:pPr>
      <w:autoSpaceDE w:val="0"/>
      <w:autoSpaceDN w:val="0"/>
      <w:adjustRightInd w:val="0"/>
      <w:spacing w:after="0" w:line="241" w:lineRule="atLeast"/>
    </w:pPr>
    <w:rPr>
      <w:rFonts w:ascii="Frutiger 45 Light" w:hAnsi="Frutiger 45 Light"/>
      <w:sz w:val="24"/>
      <w:szCs w:val="24"/>
    </w:rPr>
  </w:style>
  <w:style w:type="character" w:customStyle="1" w:styleId="Heading4Char">
    <w:name w:val="Heading 4 Char"/>
    <w:basedOn w:val="DefaultParagraphFont"/>
    <w:link w:val="Heading4"/>
    <w:uiPriority w:val="9"/>
    <w:rsid w:val="00B86B25"/>
    <w:rPr>
      <w:rFonts w:asciiTheme="majorHAnsi" w:eastAsiaTheme="majorEastAsia" w:hAnsiTheme="majorHAnsi" w:cstheme="majorBidi"/>
      <w:b/>
      <w:bCs/>
      <w:i/>
      <w:iCs/>
      <w:color w:val="4F81BD" w:themeColor="accent1"/>
    </w:rPr>
  </w:style>
  <w:style w:type="table" w:customStyle="1" w:styleId="TableGrid2">
    <w:name w:val="Table Grid2"/>
    <w:basedOn w:val="TableNormal"/>
    <w:next w:val="TableGrid"/>
    <w:uiPriority w:val="59"/>
    <w:rsid w:val="005E3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5E3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E3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CBNoParagraghNumber">
    <w:name w:val="NHS CB No Paragragh Number"/>
    <w:basedOn w:val="Normal"/>
    <w:uiPriority w:val="99"/>
    <w:qFormat/>
    <w:rsid w:val="005E3421"/>
    <w:pPr>
      <w:spacing w:after="120" w:line="360" w:lineRule="auto"/>
      <w:jc w:val="both"/>
    </w:pPr>
    <w:rPr>
      <w:rFonts w:eastAsia="Times New Roman" w:cs="Arial"/>
    </w:rPr>
  </w:style>
  <w:style w:type="table" w:customStyle="1" w:styleId="TableGrid1">
    <w:name w:val="Table Grid1"/>
    <w:basedOn w:val="TableNormal"/>
    <w:next w:val="TableGrid"/>
    <w:uiPriority w:val="59"/>
    <w:rsid w:val="005E3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E3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5E3421"/>
    <w:pPr>
      <w:autoSpaceDE w:val="0"/>
      <w:autoSpaceDN w:val="0"/>
      <w:adjustRightInd w:val="0"/>
      <w:spacing w:after="0" w:line="181" w:lineRule="atLeast"/>
    </w:pPr>
    <w:rPr>
      <w:rFonts w:ascii="Frutiger 45 Light" w:hAnsi="Frutiger 45 Light"/>
      <w:sz w:val="24"/>
      <w:szCs w:val="24"/>
    </w:rPr>
  </w:style>
  <w:style w:type="numbering" w:customStyle="1" w:styleId="NoList1">
    <w:name w:val="No List1"/>
    <w:next w:val="NoList"/>
    <w:uiPriority w:val="99"/>
    <w:semiHidden/>
    <w:unhideWhenUsed/>
    <w:rsid w:val="005E3421"/>
  </w:style>
  <w:style w:type="table" w:customStyle="1" w:styleId="TableGrid5">
    <w:name w:val="Table Grid5"/>
    <w:basedOn w:val="TableNormal"/>
    <w:next w:val="TableGrid"/>
    <w:uiPriority w:val="39"/>
    <w:rsid w:val="005E3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E3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5E3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E3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E3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E3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E3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E3421"/>
  </w:style>
  <w:style w:type="table" w:customStyle="1" w:styleId="TableGrid6">
    <w:name w:val="Table Grid6"/>
    <w:basedOn w:val="TableNormal"/>
    <w:next w:val="TableGrid"/>
    <w:uiPriority w:val="59"/>
    <w:rsid w:val="005E3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Normal"/>
    <w:uiPriority w:val="99"/>
    <w:rsid w:val="00067A43"/>
    <w:pPr>
      <w:autoSpaceDE w:val="0"/>
      <w:autoSpaceDN w:val="0"/>
      <w:spacing w:after="0" w:line="281" w:lineRule="atLeast"/>
    </w:pPr>
    <w:rPr>
      <w:rFonts w:ascii="Frutiger 45 Light" w:hAnsi="Frutiger 45 Light" w:cs="Times New Roman"/>
      <w:sz w:val="24"/>
      <w:szCs w:val="24"/>
    </w:rPr>
  </w:style>
  <w:style w:type="table" w:customStyle="1" w:styleId="TableGrid42">
    <w:name w:val="Table Grid42"/>
    <w:basedOn w:val="TableNormal"/>
    <w:next w:val="TableGrid"/>
    <w:uiPriority w:val="59"/>
    <w:rsid w:val="00633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CBTableParagraph">
    <w:name w:val="NHS CB Table Paragraph"/>
    <w:basedOn w:val="Normal"/>
    <w:qFormat/>
    <w:rsid w:val="00633F7D"/>
    <w:pPr>
      <w:spacing w:after="0" w:line="360" w:lineRule="auto"/>
      <w:ind w:left="-11" w:firstLine="11"/>
    </w:pPr>
    <w:rPr>
      <w:rFonts w:cs="Arial"/>
      <w:b/>
      <w:i/>
    </w:rPr>
  </w:style>
  <w:style w:type="paragraph" w:customStyle="1" w:styleId="Pa17">
    <w:name w:val="Pa17"/>
    <w:basedOn w:val="Normal"/>
    <w:next w:val="Normal"/>
    <w:uiPriority w:val="99"/>
    <w:rsid w:val="00633F7D"/>
    <w:pPr>
      <w:autoSpaceDE w:val="0"/>
      <w:autoSpaceDN w:val="0"/>
      <w:adjustRightInd w:val="0"/>
      <w:spacing w:after="0" w:line="161" w:lineRule="atLeast"/>
    </w:pPr>
    <w:rPr>
      <w:rFonts w:ascii="Frutiger 45 Light" w:hAnsi="Frutiger 45 Light"/>
      <w:sz w:val="24"/>
      <w:szCs w:val="24"/>
    </w:rPr>
  </w:style>
  <w:style w:type="character" w:customStyle="1" w:styleId="s3">
    <w:name w:val="s3"/>
    <w:basedOn w:val="DefaultParagraphFont"/>
    <w:rsid w:val="00B65960"/>
  </w:style>
  <w:style w:type="character" w:customStyle="1" w:styleId="s24">
    <w:name w:val="s24"/>
    <w:basedOn w:val="DefaultParagraphFont"/>
    <w:rsid w:val="00D0786B"/>
  </w:style>
  <w:style w:type="character" w:styleId="FollowedHyperlink">
    <w:name w:val="FollowedHyperlink"/>
    <w:basedOn w:val="DefaultParagraphFont"/>
    <w:uiPriority w:val="99"/>
    <w:semiHidden/>
    <w:unhideWhenUsed/>
    <w:rsid w:val="00240D44"/>
    <w:rPr>
      <w:color w:val="800080"/>
      <w:u w:val="single"/>
    </w:rPr>
  </w:style>
  <w:style w:type="paragraph" w:customStyle="1" w:styleId="xl41603">
    <w:name w:val="xl41603"/>
    <w:basedOn w:val="Normal"/>
    <w:rsid w:val="00240D4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604">
    <w:name w:val="xl41604"/>
    <w:basedOn w:val="Normal"/>
    <w:rsid w:val="00240D44"/>
    <w:pPr>
      <w:shd w:val="clear" w:color="000000" w:fill="FFFFFF"/>
      <w:spacing w:before="100" w:beforeAutospacing="1" w:after="100" w:afterAutospacing="1" w:line="240" w:lineRule="auto"/>
      <w:jc w:val="center"/>
    </w:pPr>
    <w:rPr>
      <w:rFonts w:eastAsia="Times New Roman" w:cs="Arial"/>
      <w:b/>
      <w:bCs/>
      <w:sz w:val="24"/>
      <w:szCs w:val="24"/>
    </w:rPr>
  </w:style>
  <w:style w:type="paragraph" w:customStyle="1" w:styleId="xl41605">
    <w:name w:val="xl41605"/>
    <w:basedOn w:val="Normal"/>
    <w:rsid w:val="00240D44"/>
    <w:pPr>
      <w:shd w:val="clear" w:color="000000" w:fill="FFFFFF"/>
      <w:spacing w:before="100" w:beforeAutospacing="1" w:after="100" w:afterAutospacing="1" w:line="240" w:lineRule="auto"/>
      <w:jc w:val="center"/>
    </w:pPr>
    <w:rPr>
      <w:rFonts w:eastAsia="Times New Roman" w:cs="Arial"/>
      <w:b/>
      <w:bCs/>
      <w:sz w:val="24"/>
      <w:szCs w:val="24"/>
    </w:rPr>
  </w:style>
  <w:style w:type="paragraph" w:customStyle="1" w:styleId="xl41606">
    <w:name w:val="xl41606"/>
    <w:basedOn w:val="Normal"/>
    <w:rsid w:val="00240D4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607">
    <w:name w:val="xl41607"/>
    <w:basedOn w:val="Normal"/>
    <w:rsid w:val="00240D44"/>
    <w:pPr>
      <w:shd w:val="clear" w:color="000000" w:fill="FFFFFF"/>
      <w:spacing w:before="100" w:beforeAutospacing="1" w:after="100" w:afterAutospacing="1" w:line="240" w:lineRule="auto"/>
    </w:pPr>
    <w:rPr>
      <w:rFonts w:eastAsia="Times New Roman" w:cs="Arial"/>
      <w:sz w:val="24"/>
      <w:szCs w:val="24"/>
    </w:rPr>
  </w:style>
  <w:style w:type="paragraph" w:customStyle="1" w:styleId="xl41608">
    <w:name w:val="xl41608"/>
    <w:basedOn w:val="Normal"/>
    <w:rsid w:val="00240D44"/>
    <w:pPr>
      <w:pBdr>
        <w:top w:val="single" w:sz="4" w:space="0" w:color="auto"/>
        <w:bottom w:val="single" w:sz="4" w:space="0" w:color="auto"/>
      </w:pBdr>
      <w:shd w:val="clear" w:color="000000" w:fill="FFFFFF"/>
      <w:spacing w:before="100" w:beforeAutospacing="1" w:after="100" w:afterAutospacing="1" w:line="240" w:lineRule="auto"/>
    </w:pPr>
    <w:rPr>
      <w:rFonts w:eastAsia="Times New Roman" w:cs="Arial"/>
      <w:b/>
      <w:bCs/>
      <w:sz w:val="24"/>
      <w:szCs w:val="24"/>
    </w:rPr>
  </w:style>
  <w:style w:type="paragraph" w:customStyle="1" w:styleId="xl41609">
    <w:name w:val="xl41609"/>
    <w:basedOn w:val="Normal"/>
    <w:rsid w:val="00240D44"/>
    <w:pPr>
      <w:shd w:val="clear" w:color="000000" w:fill="FFFFFF"/>
      <w:spacing w:before="100" w:beforeAutospacing="1" w:after="100" w:afterAutospacing="1" w:line="240" w:lineRule="auto"/>
    </w:pPr>
    <w:rPr>
      <w:rFonts w:eastAsia="Times New Roman" w:cs="Arial"/>
      <w:b/>
      <w:bCs/>
      <w:sz w:val="24"/>
      <w:szCs w:val="24"/>
    </w:rPr>
  </w:style>
  <w:style w:type="paragraph" w:customStyle="1" w:styleId="xl41610">
    <w:name w:val="xl41610"/>
    <w:basedOn w:val="Normal"/>
    <w:rsid w:val="00240D44"/>
    <w:pPr>
      <w:shd w:val="clear" w:color="000000" w:fill="FFFFFF"/>
      <w:spacing w:before="100" w:beforeAutospacing="1" w:after="100" w:afterAutospacing="1" w:line="240" w:lineRule="auto"/>
      <w:jc w:val="center"/>
    </w:pPr>
    <w:rPr>
      <w:rFonts w:eastAsia="Times New Roman" w:cs="Arial"/>
      <w:sz w:val="24"/>
      <w:szCs w:val="24"/>
    </w:rPr>
  </w:style>
  <w:style w:type="paragraph" w:customStyle="1" w:styleId="xl41611">
    <w:name w:val="xl41611"/>
    <w:basedOn w:val="Normal"/>
    <w:rsid w:val="00240D44"/>
    <w:pPr>
      <w:shd w:val="clear" w:color="000000" w:fill="FFFFFF"/>
      <w:spacing w:before="100" w:beforeAutospacing="1" w:after="100" w:afterAutospacing="1" w:line="240" w:lineRule="auto"/>
    </w:pPr>
    <w:rPr>
      <w:rFonts w:eastAsia="Times New Roman" w:cs="Arial"/>
      <w:b/>
      <w:bCs/>
      <w:sz w:val="24"/>
      <w:szCs w:val="24"/>
    </w:rPr>
  </w:style>
  <w:style w:type="paragraph" w:customStyle="1" w:styleId="xl41612">
    <w:name w:val="xl41612"/>
    <w:basedOn w:val="Normal"/>
    <w:rsid w:val="00240D44"/>
    <w:pPr>
      <w:shd w:val="clear" w:color="000000" w:fill="FFFFFF"/>
      <w:spacing w:before="100" w:beforeAutospacing="1" w:after="100" w:afterAutospacing="1" w:line="240" w:lineRule="auto"/>
      <w:jc w:val="center"/>
    </w:pPr>
    <w:rPr>
      <w:rFonts w:eastAsia="Times New Roman" w:cs="Arial"/>
      <w:sz w:val="24"/>
      <w:szCs w:val="24"/>
    </w:rPr>
  </w:style>
  <w:style w:type="paragraph" w:customStyle="1" w:styleId="xl41613">
    <w:name w:val="xl41613"/>
    <w:basedOn w:val="Normal"/>
    <w:rsid w:val="00240D44"/>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614">
    <w:name w:val="xl41614"/>
    <w:basedOn w:val="Normal"/>
    <w:rsid w:val="00240D44"/>
    <w:pPr>
      <w:shd w:val="clear" w:color="000000" w:fill="FFFFFF"/>
      <w:spacing w:before="100" w:beforeAutospacing="1" w:after="100" w:afterAutospacing="1" w:line="240" w:lineRule="auto"/>
    </w:pPr>
    <w:rPr>
      <w:rFonts w:eastAsia="Times New Roman" w:cs="Arial"/>
      <w:b/>
      <w:bCs/>
      <w:sz w:val="24"/>
      <w:szCs w:val="24"/>
    </w:rPr>
  </w:style>
  <w:style w:type="paragraph" w:customStyle="1" w:styleId="xl41615">
    <w:name w:val="xl41615"/>
    <w:basedOn w:val="Normal"/>
    <w:rsid w:val="00240D44"/>
    <w:pPr>
      <w:spacing w:before="100" w:beforeAutospacing="1" w:after="100" w:afterAutospacing="1" w:line="240" w:lineRule="auto"/>
    </w:pPr>
    <w:rPr>
      <w:rFonts w:eastAsia="Times New Roman" w:cs="Arial"/>
      <w:sz w:val="24"/>
      <w:szCs w:val="24"/>
    </w:rPr>
  </w:style>
  <w:style w:type="paragraph" w:customStyle="1" w:styleId="xl41616">
    <w:name w:val="xl41616"/>
    <w:basedOn w:val="Normal"/>
    <w:rsid w:val="00240D44"/>
    <w:pPr>
      <w:shd w:val="clear" w:color="000000" w:fill="FFFFFF"/>
      <w:spacing w:before="100" w:beforeAutospacing="1" w:after="100" w:afterAutospacing="1" w:line="240" w:lineRule="auto"/>
    </w:pPr>
    <w:rPr>
      <w:rFonts w:eastAsia="Times New Roman" w:cs="Arial"/>
      <w:sz w:val="24"/>
      <w:szCs w:val="24"/>
    </w:rPr>
  </w:style>
  <w:style w:type="paragraph" w:customStyle="1" w:styleId="xl41617">
    <w:name w:val="xl41617"/>
    <w:basedOn w:val="Normal"/>
    <w:rsid w:val="00240D44"/>
    <w:pPr>
      <w:spacing w:before="100" w:beforeAutospacing="1" w:after="100" w:afterAutospacing="1" w:line="240" w:lineRule="auto"/>
    </w:pPr>
    <w:rPr>
      <w:rFonts w:eastAsia="Times New Roman" w:cs="Arial"/>
      <w:b/>
      <w:bCs/>
      <w:sz w:val="24"/>
      <w:szCs w:val="24"/>
    </w:rPr>
  </w:style>
  <w:style w:type="paragraph" w:customStyle="1" w:styleId="xl41618">
    <w:name w:val="xl41618"/>
    <w:basedOn w:val="Normal"/>
    <w:rsid w:val="00240D44"/>
    <w:pPr>
      <w:shd w:val="clear" w:color="000000" w:fill="FFFFFF"/>
      <w:spacing w:before="100" w:beforeAutospacing="1" w:after="100" w:afterAutospacing="1" w:line="240" w:lineRule="auto"/>
    </w:pPr>
    <w:rPr>
      <w:rFonts w:eastAsia="Times New Roman" w:cs="Arial"/>
      <w:sz w:val="24"/>
      <w:szCs w:val="24"/>
    </w:rPr>
  </w:style>
  <w:style w:type="paragraph" w:customStyle="1" w:styleId="xl41619">
    <w:name w:val="xl41619"/>
    <w:basedOn w:val="Normal"/>
    <w:rsid w:val="00240D4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620">
    <w:name w:val="xl41620"/>
    <w:basedOn w:val="Normal"/>
    <w:rsid w:val="00240D44"/>
    <w:pPr>
      <w:shd w:val="clear" w:color="000000" w:fill="FFFFFF"/>
      <w:spacing w:before="100" w:beforeAutospacing="1" w:after="100" w:afterAutospacing="1" w:line="240" w:lineRule="auto"/>
    </w:pPr>
    <w:rPr>
      <w:rFonts w:eastAsia="Times New Roman" w:cs="Arial"/>
      <w:b/>
      <w:bCs/>
      <w:sz w:val="32"/>
      <w:szCs w:val="32"/>
    </w:rPr>
  </w:style>
  <w:style w:type="paragraph" w:customStyle="1" w:styleId="xl41621">
    <w:name w:val="xl41621"/>
    <w:basedOn w:val="Normal"/>
    <w:rsid w:val="00240D44"/>
    <w:pPr>
      <w:spacing w:before="100" w:beforeAutospacing="1" w:after="100" w:afterAutospacing="1" w:line="240" w:lineRule="auto"/>
    </w:pPr>
    <w:rPr>
      <w:rFonts w:eastAsia="Times New Roman" w:cs="Arial"/>
      <w:b/>
      <w:bCs/>
      <w:sz w:val="24"/>
      <w:szCs w:val="24"/>
    </w:rPr>
  </w:style>
  <w:style w:type="paragraph" w:customStyle="1" w:styleId="xl41622">
    <w:name w:val="xl41622"/>
    <w:basedOn w:val="Normal"/>
    <w:rsid w:val="00240D44"/>
    <w:pPr>
      <w:pBdr>
        <w:bottom w:val="single" w:sz="4" w:space="0" w:color="auto"/>
      </w:pBdr>
      <w:shd w:val="clear" w:color="000000" w:fill="FFFFFF"/>
      <w:spacing w:before="100" w:beforeAutospacing="1" w:after="100" w:afterAutospacing="1" w:line="240" w:lineRule="auto"/>
      <w:jc w:val="center"/>
    </w:pPr>
    <w:rPr>
      <w:rFonts w:eastAsia="Times New Roman" w:cs="Arial"/>
      <w:b/>
      <w:bCs/>
      <w:sz w:val="24"/>
      <w:szCs w:val="24"/>
    </w:rPr>
  </w:style>
  <w:style w:type="paragraph" w:customStyle="1" w:styleId="xl41623">
    <w:name w:val="xl41623"/>
    <w:basedOn w:val="Normal"/>
    <w:rsid w:val="00240D44"/>
    <w:pPr>
      <w:spacing w:before="100" w:beforeAutospacing="1" w:after="100" w:afterAutospacing="1" w:line="240" w:lineRule="auto"/>
    </w:pPr>
    <w:rPr>
      <w:rFonts w:eastAsia="Times New Roman" w:cs="Arial"/>
      <w:sz w:val="24"/>
      <w:szCs w:val="24"/>
    </w:rPr>
  </w:style>
  <w:style w:type="paragraph" w:customStyle="1" w:styleId="xl41624">
    <w:name w:val="xl41624"/>
    <w:basedOn w:val="Normal"/>
    <w:rsid w:val="00240D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625">
    <w:name w:val="xl41625"/>
    <w:basedOn w:val="Normal"/>
    <w:rsid w:val="00240D4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626">
    <w:name w:val="xl41626"/>
    <w:basedOn w:val="Normal"/>
    <w:rsid w:val="00240D44"/>
    <w:pPr>
      <w:spacing w:before="100" w:beforeAutospacing="1" w:after="100" w:afterAutospacing="1" w:line="240" w:lineRule="auto"/>
      <w:textAlignment w:val="top"/>
    </w:pPr>
    <w:rPr>
      <w:rFonts w:eastAsia="Times New Roman" w:cs="Arial"/>
      <w:sz w:val="24"/>
      <w:szCs w:val="24"/>
    </w:rPr>
  </w:style>
  <w:style w:type="paragraph" w:customStyle="1" w:styleId="xl41627">
    <w:name w:val="xl41627"/>
    <w:basedOn w:val="Normal"/>
    <w:rsid w:val="00240D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3D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3D92"/>
    <w:rPr>
      <w:sz w:val="20"/>
      <w:szCs w:val="20"/>
    </w:rPr>
  </w:style>
  <w:style w:type="character" w:styleId="EndnoteReference">
    <w:name w:val="endnote reference"/>
    <w:basedOn w:val="DefaultParagraphFont"/>
    <w:uiPriority w:val="99"/>
    <w:semiHidden/>
    <w:unhideWhenUsed/>
    <w:rsid w:val="009C3D92"/>
    <w:rPr>
      <w:vertAlign w:val="superscript"/>
    </w:rPr>
  </w:style>
  <w:style w:type="character" w:styleId="Strong">
    <w:name w:val="Strong"/>
    <w:uiPriority w:val="22"/>
    <w:qFormat/>
    <w:rsid w:val="008F727D"/>
    <w:rPr>
      <w:b/>
      <w:bCs/>
    </w:rPr>
  </w:style>
  <w:style w:type="character" w:customStyle="1" w:styleId="apple-converted-space">
    <w:name w:val="apple-converted-space"/>
    <w:rsid w:val="008F727D"/>
  </w:style>
  <w:style w:type="paragraph" w:customStyle="1" w:styleId="xmsonormal">
    <w:name w:val="x_msonormal"/>
    <w:basedOn w:val="Normal"/>
    <w:rsid w:val="008B0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HSCBBulletPoint">
    <w:name w:val="NHS CB Bullet Point"/>
    <w:basedOn w:val="Normal"/>
    <w:rsid w:val="0054387C"/>
    <w:pPr>
      <w:numPr>
        <w:numId w:val="3"/>
      </w:numPr>
      <w:spacing w:after="120" w:line="360" w:lineRule="auto"/>
    </w:pPr>
    <w:rPr>
      <w:rFonts w:eastAsia="SimSun" w:cs="Times New Roman"/>
      <w:sz w:val="24"/>
      <w:szCs w:val="20"/>
    </w:rPr>
  </w:style>
  <w:style w:type="paragraph" w:customStyle="1" w:styleId="NHSCBChapterAnnex">
    <w:name w:val="NHS CB Chapter Annex"/>
    <w:next w:val="NHSCBNoParagraghNumber"/>
    <w:uiPriority w:val="99"/>
    <w:qFormat/>
    <w:rsid w:val="0054387C"/>
    <w:pPr>
      <w:spacing w:after="240" w:line="360" w:lineRule="auto"/>
    </w:pPr>
    <w:rPr>
      <w:rFonts w:ascii="Arial" w:eastAsia="Times" w:hAnsi="Arial" w:cs="Times New Roman"/>
      <w:color w:val="0072C6"/>
      <w:sz w:val="28"/>
      <w:szCs w:val="20"/>
    </w:rPr>
  </w:style>
  <w:style w:type="paragraph" w:customStyle="1" w:styleId="NHSCBNoParagraphNumberBulletPoint">
    <w:name w:val="NHS CB No Paragraph Number Bullet Point"/>
    <w:basedOn w:val="Normal"/>
    <w:uiPriority w:val="99"/>
    <w:qFormat/>
    <w:rsid w:val="0054387C"/>
    <w:pPr>
      <w:tabs>
        <w:tab w:val="num" w:pos="360"/>
      </w:tabs>
      <w:spacing w:after="120" w:line="360" w:lineRule="auto"/>
      <w:ind w:left="567" w:hanging="567"/>
    </w:pPr>
    <w:rPr>
      <w:rFonts w:eastAsia="SimSun" w:cs="Times New Roman"/>
      <w:sz w:val="24"/>
      <w:szCs w:val="20"/>
    </w:rPr>
  </w:style>
  <w:style w:type="character" w:customStyle="1" w:styleId="Heading5Char">
    <w:name w:val="Heading 5 Char"/>
    <w:basedOn w:val="DefaultParagraphFont"/>
    <w:link w:val="Heading5"/>
    <w:uiPriority w:val="9"/>
    <w:rsid w:val="0058127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72AFC"/>
    <w:rPr>
      <w:rFonts w:asciiTheme="majorHAnsi" w:eastAsiaTheme="majorEastAsia" w:hAnsiTheme="majorHAnsi" w:cstheme="majorBidi"/>
      <w:i/>
      <w:iCs/>
      <w:color w:val="404040" w:themeColor="text1" w:themeTint="BF"/>
    </w:rPr>
  </w:style>
  <w:style w:type="character" w:customStyle="1" w:styleId="NoSpacingChar">
    <w:name w:val="No Spacing Char"/>
    <w:aliases w:val="non heading Char"/>
    <w:basedOn w:val="DefaultParagraphFont"/>
    <w:link w:val="NoSpacing"/>
    <w:uiPriority w:val="1"/>
    <w:locked/>
    <w:rsid w:val="003846C7"/>
    <w:rPr>
      <w:rFonts w:ascii="Arial" w:eastAsiaTheme="minorEastAsia" w:hAnsi="Arial" w:cs="Calibri"/>
      <w:b/>
      <w:noProof/>
      <w:color w:val="4F81BD" w:themeColor="accent1"/>
      <w:sz w:val="24"/>
      <w:lang w:eastAsia="en-GB"/>
    </w:rPr>
  </w:style>
  <w:style w:type="paragraph" w:styleId="Title">
    <w:name w:val="Title"/>
    <w:basedOn w:val="Normal"/>
    <w:next w:val="Normal"/>
    <w:link w:val="TitleChar"/>
    <w:uiPriority w:val="10"/>
    <w:qFormat/>
    <w:rsid w:val="00272AFC"/>
    <w:pPr>
      <w:widowControl w:val="0"/>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272AFC"/>
    <w:rPr>
      <w:rFonts w:asciiTheme="majorHAnsi" w:eastAsiaTheme="majorEastAsia" w:hAnsiTheme="majorHAnsi" w:cstheme="majorBidi"/>
      <w:color w:val="17365D" w:themeColor="text2" w:themeShade="BF"/>
      <w:spacing w:val="5"/>
      <w:kern w:val="28"/>
      <w:sz w:val="52"/>
      <w:szCs w:val="52"/>
      <w:lang w:val="en-US"/>
    </w:rPr>
  </w:style>
  <w:style w:type="paragraph" w:styleId="BodyTextIndent">
    <w:name w:val="Body Text Indent"/>
    <w:basedOn w:val="Normal"/>
    <w:link w:val="BodyTextIndentChar"/>
    <w:uiPriority w:val="99"/>
    <w:semiHidden/>
    <w:unhideWhenUsed/>
    <w:rsid w:val="00272AFC"/>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272AFC"/>
    <w:rPr>
      <w:rFonts w:ascii="Times New Roman" w:eastAsia="Times New Roman" w:hAnsi="Times New Roman" w:cs="Times New Roman"/>
      <w:sz w:val="24"/>
      <w:szCs w:val="24"/>
    </w:rPr>
  </w:style>
  <w:style w:type="paragraph" w:customStyle="1" w:styleId="PageHeaderRight">
    <w:name w:val="Page Header Right"/>
    <w:basedOn w:val="Normal"/>
    <w:uiPriority w:val="99"/>
    <w:qFormat/>
    <w:rsid w:val="00272AFC"/>
    <w:pPr>
      <w:spacing w:after="120" w:line="240" w:lineRule="auto"/>
    </w:pPr>
    <w:rPr>
      <w:color w:val="767878"/>
      <w:sz w:val="18"/>
      <w:szCs w:val="24"/>
      <w:lang w:val="en-US"/>
    </w:rPr>
  </w:style>
  <w:style w:type="paragraph" w:customStyle="1" w:styleId="PageHeaderLeft">
    <w:name w:val="Page Header Left"/>
    <w:basedOn w:val="PageHeaderRight"/>
    <w:uiPriority w:val="99"/>
    <w:qFormat/>
    <w:rsid w:val="00272AFC"/>
    <w:pPr>
      <w:jc w:val="right"/>
    </w:pPr>
  </w:style>
  <w:style w:type="paragraph" w:customStyle="1" w:styleId="Abstract">
    <w:name w:val="Abstract"/>
    <w:basedOn w:val="Normal"/>
    <w:uiPriority w:val="99"/>
    <w:rsid w:val="00272AFC"/>
    <w:pPr>
      <w:spacing w:before="360" w:after="600" w:line="288" w:lineRule="auto"/>
      <w:ind w:left="144" w:right="144"/>
    </w:pPr>
    <w:rPr>
      <w:rFonts w:ascii="Cambria" w:eastAsia="Times New Roman" w:hAnsi="Cambria" w:cs="Times New Roman"/>
      <w:i/>
      <w:iCs/>
      <w:color w:val="7F7F7F"/>
      <w:kern w:val="20"/>
      <w:sz w:val="28"/>
      <w:szCs w:val="20"/>
      <w:lang w:val="en-US" w:eastAsia="ja-JP"/>
    </w:rPr>
  </w:style>
  <w:style w:type="paragraph" w:customStyle="1" w:styleId="xmsobodytextindent">
    <w:name w:val="x_msobodytextindent"/>
    <w:basedOn w:val="Normal"/>
    <w:uiPriority w:val="99"/>
    <w:rsid w:val="00272AFC"/>
    <w:pPr>
      <w:autoSpaceDE w:val="0"/>
      <w:autoSpaceDN w:val="0"/>
      <w:spacing w:after="0" w:line="240" w:lineRule="auto"/>
      <w:ind w:left="720" w:hanging="720"/>
    </w:pPr>
    <w:rPr>
      <w:rFonts w:cs="Arial"/>
    </w:rPr>
  </w:style>
  <w:style w:type="character" w:customStyle="1" w:styleId="A10">
    <w:name w:val="A10"/>
    <w:basedOn w:val="DefaultParagraphFont"/>
    <w:uiPriority w:val="99"/>
    <w:rsid w:val="00272AFC"/>
    <w:rPr>
      <w:rFonts w:ascii="Frutiger 45 Light" w:hAnsi="Frutiger 45 Light" w:hint="default"/>
      <w:color w:val="000000"/>
    </w:rPr>
  </w:style>
  <w:style w:type="character" w:customStyle="1" w:styleId="emailstyle21">
    <w:name w:val="emailstyle21"/>
    <w:basedOn w:val="DefaultParagraphFont"/>
    <w:semiHidden/>
    <w:rsid w:val="00272AFC"/>
    <w:rPr>
      <w:rFonts w:ascii="Calibri" w:hAnsi="Calibri" w:hint="default"/>
      <w:color w:val="auto"/>
    </w:rPr>
  </w:style>
  <w:style w:type="character" w:customStyle="1" w:styleId="emailstyle23">
    <w:name w:val="emailstyle23"/>
    <w:basedOn w:val="DefaultParagraphFont"/>
    <w:semiHidden/>
    <w:rsid w:val="00272AFC"/>
    <w:rPr>
      <w:rFonts w:ascii="Gill Sans MT" w:hAnsi="Gill Sans MT" w:hint="default"/>
      <w:color w:val="auto"/>
    </w:rPr>
  </w:style>
  <w:style w:type="character" w:customStyle="1" w:styleId="emailstyle24">
    <w:name w:val="emailstyle24"/>
    <w:basedOn w:val="DefaultParagraphFont"/>
    <w:semiHidden/>
    <w:rsid w:val="00272AFC"/>
    <w:rPr>
      <w:rFonts w:ascii="Calibri" w:hAnsi="Calibri" w:hint="default"/>
      <w:color w:val="1F497D"/>
    </w:rPr>
  </w:style>
  <w:style w:type="table" w:customStyle="1" w:styleId="TableGrid12">
    <w:name w:val="Table Grid12"/>
    <w:basedOn w:val="TableNormal"/>
    <w:next w:val="TableGrid"/>
    <w:uiPriority w:val="59"/>
    <w:rsid w:val="00272AFC"/>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
    <w:name w:val="Imported Style 10"/>
    <w:rsid w:val="003171F6"/>
    <w:pPr>
      <w:numPr>
        <w:numId w:val="5"/>
      </w:numPr>
    </w:pPr>
  </w:style>
  <w:style w:type="numbering" w:customStyle="1" w:styleId="NoList11">
    <w:name w:val="No List11"/>
    <w:next w:val="NoList"/>
    <w:uiPriority w:val="99"/>
    <w:semiHidden/>
    <w:unhideWhenUsed/>
    <w:rsid w:val="00174C28"/>
  </w:style>
  <w:style w:type="character" w:customStyle="1" w:styleId="A8">
    <w:name w:val="A8"/>
    <w:uiPriority w:val="99"/>
    <w:rsid w:val="00233AFA"/>
    <w:rPr>
      <w:rFonts w:cs="Minion Pro"/>
      <w:color w:val="000000"/>
      <w:sz w:val="25"/>
      <w:szCs w:val="25"/>
    </w:rPr>
  </w:style>
  <w:style w:type="paragraph" w:styleId="TOC4">
    <w:name w:val="toc 4"/>
    <w:basedOn w:val="Normal"/>
    <w:next w:val="Normal"/>
    <w:autoRedefine/>
    <w:uiPriority w:val="39"/>
    <w:unhideWhenUsed/>
    <w:rsid w:val="001957B6"/>
    <w:pPr>
      <w:spacing w:after="100"/>
      <w:ind w:left="660"/>
    </w:pPr>
  </w:style>
  <w:style w:type="paragraph" w:styleId="TOC5">
    <w:name w:val="toc 5"/>
    <w:basedOn w:val="Normal"/>
    <w:next w:val="Normal"/>
    <w:autoRedefine/>
    <w:uiPriority w:val="39"/>
    <w:unhideWhenUsed/>
    <w:rsid w:val="001957B6"/>
    <w:pPr>
      <w:spacing w:after="100"/>
      <w:ind w:left="880"/>
    </w:pPr>
  </w:style>
  <w:style w:type="paragraph" w:styleId="TOC6">
    <w:name w:val="toc 6"/>
    <w:basedOn w:val="Normal"/>
    <w:next w:val="Normal"/>
    <w:autoRedefine/>
    <w:uiPriority w:val="39"/>
    <w:unhideWhenUsed/>
    <w:rsid w:val="001957B6"/>
    <w:pPr>
      <w:spacing w:after="100"/>
      <w:ind w:left="1100"/>
    </w:pPr>
  </w:style>
  <w:style w:type="paragraph" w:styleId="TOC7">
    <w:name w:val="toc 7"/>
    <w:basedOn w:val="Normal"/>
    <w:next w:val="Normal"/>
    <w:autoRedefine/>
    <w:uiPriority w:val="39"/>
    <w:unhideWhenUsed/>
    <w:rsid w:val="001957B6"/>
    <w:pPr>
      <w:spacing w:after="100"/>
      <w:ind w:left="1320"/>
    </w:pPr>
  </w:style>
  <w:style w:type="paragraph" w:styleId="TOC8">
    <w:name w:val="toc 8"/>
    <w:basedOn w:val="Normal"/>
    <w:next w:val="Normal"/>
    <w:autoRedefine/>
    <w:uiPriority w:val="39"/>
    <w:unhideWhenUsed/>
    <w:rsid w:val="001957B6"/>
    <w:pPr>
      <w:spacing w:after="100"/>
      <w:ind w:left="1540"/>
    </w:pPr>
  </w:style>
  <w:style w:type="paragraph" w:styleId="TOC9">
    <w:name w:val="toc 9"/>
    <w:basedOn w:val="Normal"/>
    <w:next w:val="Normal"/>
    <w:autoRedefine/>
    <w:uiPriority w:val="39"/>
    <w:unhideWhenUsed/>
    <w:rsid w:val="001957B6"/>
    <w:pPr>
      <w:spacing w:after="100"/>
      <w:ind w:left="1760"/>
    </w:pPr>
  </w:style>
  <w:style w:type="table" w:customStyle="1" w:styleId="TableGrid7">
    <w:name w:val="Table Grid7"/>
    <w:basedOn w:val="TableNormal"/>
    <w:next w:val="TableGrid"/>
    <w:uiPriority w:val="59"/>
    <w:rsid w:val="0045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7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F3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C33534"/>
    <w:pPr>
      <w:tabs>
        <w:tab w:val="clear" w:pos="2835"/>
        <w:tab w:val="clear" w:pos="5670"/>
        <w:tab w:val="clear" w:pos="9016"/>
      </w:tabs>
      <w:autoSpaceDE w:val="0"/>
      <w:autoSpaceDN w:val="0"/>
      <w:adjustRightInd w:val="0"/>
      <w:spacing w:before="0" w:after="0" w:line="241" w:lineRule="atLeast"/>
    </w:pPr>
    <w:rPr>
      <w:rFonts w:ascii="Source Sans Pro" w:eastAsiaTheme="minorHAnsi" w:hAnsi="Source Sans Pro"/>
      <w:noProof w:val="0"/>
      <w:sz w:val="24"/>
      <w:szCs w:val="24"/>
      <w:lang w:eastAsia="en-US"/>
    </w:rPr>
  </w:style>
  <w:style w:type="character" w:styleId="Emphasis">
    <w:name w:val="Emphasis"/>
    <w:basedOn w:val="DefaultParagraphFont"/>
    <w:uiPriority w:val="20"/>
    <w:qFormat/>
    <w:rsid w:val="00DA06E8"/>
    <w:rPr>
      <w:i/>
      <w:iCs/>
    </w:rPr>
  </w:style>
  <w:style w:type="paragraph" w:customStyle="1" w:styleId="text-with-value-header">
    <w:name w:val="text-with-value-header"/>
    <w:basedOn w:val="Normal"/>
    <w:rsid w:val="00EB7E16"/>
    <w:pPr>
      <w:tabs>
        <w:tab w:val="clear" w:pos="2835"/>
        <w:tab w:val="clear" w:pos="5670"/>
        <w:tab w:val="clear" w:pos="9016"/>
      </w:tabs>
      <w:spacing w:before="100" w:beforeAutospacing="1" w:after="100" w:afterAutospacing="1" w:line="240" w:lineRule="auto"/>
    </w:pPr>
    <w:rPr>
      <w:rFonts w:ascii="Times New Roman" w:eastAsia="Times New Roman" w:hAnsi="Times New Roman" w:cs="Times New Roman"/>
      <w:noProof w:val="0"/>
      <w:sz w:val="24"/>
      <w:szCs w:val="24"/>
    </w:rPr>
  </w:style>
  <w:style w:type="numbering" w:customStyle="1" w:styleId="NoList111">
    <w:name w:val="No List111"/>
    <w:next w:val="NoList"/>
    <w:uiPriority w:val="99"/>
    <w:semiHidden/>
    <w:unhideWhenUsed/>
    <w:rsid w:val="00731F6C"/>
  </w:style>
  <w:style w:type="paragraph" w:styleId="BodyText">
    <w:name w:val="Body Text"/>
    <w:basedOn w:val="Normal"/>
    <w:link w:val="BodyTextChar"/>
    <w:uiPriority w:val="99"/>
    <w:semiHidden/>
    <w:unhideWhenUsed/>
    <w:rsid w:val="00D1518D"/>
    <w:pPr>
      <w:spacing w:after="120"/>
    </w:pPr>
  </w:style>
  <w:style w:type="character" w:customStyle="1" w:styleId="BodyTextChar">
    <w:name w:val="Body Text Char"/>
    <w:basedOn w:val="DefaultParagraphFont"/>
    <w:link w:val="BodyText"/>
    <w:uiPriority w:val="99"/>
    <w:semiHidden/>
    <w:rsid w:val="00D1518D"/>
    <w:rPr>
      <w:rFonts w:ascii="Arial" w:eastAsiaTheme="minorEastAsia" w:hAnsi="Arial"/>
      <w:noProof/>
      <w:lang w:eastAsia="en-GB"/>
    </w:rPr>
  </w:style>
  <w:style w:type="paragraph" w:customStyle="1" w:styleId="TableParagraph">
    <w:name w:val="Table Paragraph"/>
    <w:basedOn w:val="Normal"/>
    <w:uiPriority w:val="1"/>
    <w:qFormat/>
    <w:rsid w:val="00D1518D"/>
    <w:pPr>
      <w:widowControl w:val="0"/>
      <w:tabs>
        <w:tab w:val="clear" w:pos="2835"/>
        <w:tab w:val="clear" w:pos="5670"/>
        <w:tab w:val="clear" w:pos="9016"/>
      </w:tabs>
      <w:autoSpaceDE w:val="0"/>
      <w:autoSpaceDN w:val="0"/>
      <w:spacing w:before="18" w:after="0" w:line="240" w:lineRule="auto"/>
      <w:ind w:left="107"/>
    </w:pPr>
    <w:rPr>
      <w:rFonts w:eastAsia="Arial" w:cs="Arial"/>
      <w:noProof w:val="0"/>
      <w:lang w:bidi="en-GB"/>
    </w:rPr>
  </w:style>
  <w:style w:type="character" w:customStyle="1" w:styleId="Heading6Char">
    <w:name w:val="Heading 6 Char"/>
    <w:basedOn w:val="DefaultParagraphFont"/>
    <w:link w:val="Heading6"/>
    <w:uiPriority w:val="9"/>
    <w:rsid w:val="007C47D8"/>
    <w:rPr>
      <w:rFonts w:asciiTheme="majorHAnsi" w:eastAsiaTheme="majorEastAsia" w:hAnsiTheme="majorHAnsi" w:cstheme="majorBidi"/>
      <w:noProof/>
      <w:color w:val="243F60" w:themeColor="accent1" w:themeShade="7F"/>
      <w:lang w:eastAsia="en-GB"/>
    </w:rPr>
  </w:style>
  <w:style w:type="character" w:styleId="UnresolvedMention">
    <w:name w:val="Unresolved Mention"/>
    <w:basedOn w:val="DefaultParagraphFont"/>
    <w:uiPriority w:val="99"/>
    <w:semiHidden/>
    <w:unhideWhenUsed/>
    <w:rsid w:val="00E21C21"/>
    <w:rPr>
      <w:color w:val="605E5C"/>
      <w:shd w:val="clear" w:color="auto" w:fill="E1DFDD"/>
    </w:rPr>
  </w:style>
  <w:style w:type="character" w:customStyle="1" w:styleId="normaltextrun">
    <w:name w:val="normaltextrun"/>
    <w:basedOn w:val="DefaultParagraphFont"/>
    <w:rsid w:val="00EC4216"/>
  </w:style>
  <w:style w:type="character" w:customStyle="1" w:styleId="eop">
    <w:name w:val="eop"/>
    <w:basedOn w:val="DefaultParagraphFont"/>
    <w:rsid w:val="00EC4216"/>
  </w:style>
  <w:style w:type="paragraph" w:customStyle="1" w:styleId="xmsonormal0">
    <w:name w:val="xmsonormal"/>
    <w:basedOn w:val="Normal"/>
    <w:rsid w:val="009868D1"/>
    <w:pPr>
      <w:tabs>
        <w:tab w:val="clear" w:pos="2835"/>
        <w:tab w:val="clear" w:pos="5670"/>
        <w:tab w:val="clear" w:pos="9016"/>
      </w:tabs>
      <w:spacing w:before="100" w:beforeAutospacing="1" w:after="100" w:afterAutospacing="1" w:line="240" w:lineRule="auto"/>
    </w:pPr>
    <w:rPr>
      <w:rFonts w:ascii="Calibri" w:eastAsiaTheme="minorHAnsi" w:hAnsi="Calibri" w:cs="Calibri"/>
      <w:noProof w:val="0"/>
    </w:rPr>
  </w:style>
  <w:style w:type="paragraph" w:customStyle="1" w:styleId="xxmsonormal">
    <w:name w:val="x_xmsonormal"/>
    <w:basedOn w:val="Normal"/>
    <w:rsid w:val="009868D1"/>
    <w:pPr>
      <w:tabs>
        <w:tab w:val="clear" w:pos="2835"/>
        <w:tab w:val="clear" w:pos="5670"/>
        <w:tab w:val="clear" w:pos="9016"/>
      </w:tabs>
      <w:spacing w:before="0" w:after="0" w:line="240" w:lineRule="auto"/>
    </w:pPr>
    <w:rPr>
      <w:rFonts w:ascii="Calibri" w:eastAsiaTheme="minorHAnsi" w:hAnsi="Calibri" w:cs="Calibri"/>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061">
      <w:bodyDiv w:val="1"/>
      <w:marLeft w:val="0"/>
      <w:marRight w:val="0"/>
      <w:marTop w:val="0"/>
      <w:marBottom w:val="0"/>
      <w:divBdr>
        <w:top w:val="none" w:sz="0" w:space="0" w:color="auto"/>
        <w:left w:val="none" w:sz="0" w:space="0" w:color="auto"/>
        <w:bottom w:val="none" w:sz="0" w:space="0" w:color="auto"/>
        <w:right w:val="none" w:sz="0" w:space="0" w:color="auto"/>
      </w:divBdr>
    </w:div>
    <w:div w:id="17047431">
      <w:bodyDiv w:val="1"/>
      <w:marLeft w:val="0"/>
      <w:marRight w:val="0"/>
      <w:marTop w:val="0"/>
      <w:marBottom w:val="0"/>
      <w:divBdr>
        <w:top w:val="none" w:sz="0" w:space="0" w:color="auto"/>
        <w:left w:val="none" w:sz="0" w:space="0" w:color="auto"/>
        <w:bottom w:val="none" w:sz="0" w:space="0" w:color="auto"/>
        <w:right w:val="none" w:sz="0" w:space="0" w:color="auto"/>
      </w:divBdr>
    </w:div>
    <w:div w:id="35740925">
      <w:bodyDiv w:val="1"/>
      <w:marLeft w:val="0"/>
      <w:marRight w:val="0"/>
      <w:marTop w:val="0"/>
      <w:marBottom w:val="0"/>
      <w:divBdr>
        <w:top w:val="none" w:sz="0" w:space="0" w:color="auto"/>
        <w:left w:val="none" w:sz="0" w:space="0" w:color="auto"/>
        <w:bottom w:val="none" w:sz="0" w:space="0" w:color="auto"/>
        <w:right w:val="none" w:sz="0" w:space="0" w:color="auto"/>
      </w:divBdr>
    </w:div>
    <w:div w:id="43024168">
      <w:bodyDiv w:val="1"/>
      <w:marLeft w:val="0"/>
      <w:marRight w:val="0"/>
      <w:marTop w:val="0"/>
      <w:marBottom w:val="0"/>
      <w:divBdr>
        <w:top w:val="none" w:sz="0" w:space="0" w:color="auto"/>
        <w:left w:val="none" w:sz="0" w:space="0" w:color="auto"/>
        <w:bottom w:val="none" w:sz="0" w:space="0" w:color="auto"/>
        <w:right w:val="none" w:sz="0" w:space="0" w:color="auto"/>
      </w:divBdr>
    </w:div>
    <w:div w:id="55783336">
      <w:bodyDiv w:val="1"/>
      <w:marLeft w:val="0"/>
      <w:marRight w:val="0"/>
      <w:marTop w:val="0"/>
      <w:marBottom w:val="0"/>
      <w:divBdr>
        <w:top w:val="none" w:sz="0" w:space="0" w:color="auto"/>
        <w:left w:val="none" w:sz="0" w:space="0" w:color="auto"/>
        <w:bottom w:val="none" w:sz="0" w:space="0" w:color="auto"/>
        <w:right w:val="none" w:sz="0" w:space="0" w:color="auto"/>
      </w:divBdr>
    </w:div>
    <w:div w:id="58403437">
      <w:bodyDiv w:val="1"/>
      <w:marLeft w:val="0"/>
      <w:marRight w:val="0"/>
      <w:marTop w:val="0"/>
      <w:marBottom w:val="0"/>
      <w:divBdr>
        <w:top w:val="none" w:sz="0" w:space="0" w:color="auto"/>
        <w:left w:val="none" w:sz="0" w:space="0" w:color="auto"/>
        <w:bottom w:val="none" w:sz="0" w:space="0" w:color="auto"/>
        <w:right w:val="none" w:sz="0" w:space="0" w:color="auto"/>
      </w:divBdr>
    </w:div>
    <w:div w:id="63139202">
      <w:bodyDiv w:val="1"/>
      <w:marLeft w:val="0"/>
      <w:marRight w:val="0"/>
      <w:marTop w:val="0"/>
      <w:marBottom w:val="0"/>
      <w:divBdr>
        <w:top w:val="none" w:sz="0" w:space="0" w:color="auto"/>
        <w:left w:val="none" w:sz="0" w:space="0" w:color="auto"/>
        <w:bottom w:val="none" w:sz="0" w:space="0" w:color="auto"/>
        <w:right w:val="none" w:sz="0" w:space="0" w:color="auto"/>
      </w:divBdr>
    </w:div>
    <w:div w:id="70665283">
      <w:bodyDiv w:val="1"/>
      <w:marLeft w:val="0"/>
      <w:marRight w:val="0"/>
      <w:marTop w:val="0"/>
      <w:marBottom w:val="0"/>
      <w:divBdr>
        <w:top w:val="none" w:sz="0" w:space="0" w:color="auto"/>
        <w:left w:val="none" w:sz="0" w:space="0" w:color="auto"/>
        <w:bottom w:val="none" w:sz="0" w:space="0" w:color="auto"/>
        <w:right w:val="none" w:sz="0" w:space="0" w:color="auto"/>
      </w:divBdr>
    </w:div>
    <w:div w:id="75320939">
      <w:bodyDiv w:val="1"/>
      <w:marLeft w:val="0"/>
      <w:marRight w:val="0"/>
      <w:marTop w:val="0"/>
      <w:marBottom w:val="0"/>
      <w:divBdr>
        <w:top w:val="none" w:sz="0" w:space="0" w:color="auto"/>
        <w:left w:val="none" w:sz="0" w:space="0" w:color="auto"/>
        <w:bottom w:val="none" w:sz="0" w:space="0" w:color="auto"/>
        <w:right w:val="none" w:sz="0" w:space="0" w:color="auto"/>
      </w:divBdr>
    </w:div>
    <w:div w:id="77869401">
      <w:bodyDiv w:val="1"/>
      <w:marLeft w:val="0"/>
      <w:marRight w:val="0"/>
      <w:marTop w:val="0"/>
      <w:marBottom w:val="0"/>
      <w:divBdr>
        <w:top w:val="none" w:sz="0" w:space="0" w:color="auto"/>
        <w:left w:val="none" w:sz="0" w:space="0" w:color="auto"/>
        <w:bottom w:val="none" w:sz="0" w:space="0" w:color="auto"/>
        <w:right w:val="none" w:sz="0" w:space="0" w:color="auto"/>
      </w:divBdr>
    </w:div>
    <w:div w:id="81951468">
      <w:bodyDiv w:val="1"/>
      <w:marLeft w:val="0"/>
      <w:marRight w:val="0"/>
      <w:marTop w:val="0"/>
      <w:marBottom w:val="0"/>
      <w:divBdr>
        <w:top w:val="none" w:sz="0" w:space="0" w:color="auto"/>
        <w:left w:val="none" w:sz="0" w:space="0" w:color="auto"/>
        <w:bottom w:val="none" w:sz="0" w:space="0" w:color="auto"/>
        <w:right w:val="none" w:sz="0" w:space="0" w:color="auto"/>
      </w:divBdr>
    </w:div>
    <w:div w:id="87848372">
      <w:bodyDiv w:val="1"/>
      <w:marLeft w:val="0"/>
      <w:marRight w:val="0"/>
      <w:marTop w:val="0"/>
      <w:marBottom w:val="0"/>
      <w:divBdr>
        <w:top w:val="none" w:sz="0" w:space="0" w:color="auto"/>
        <w:left w:val="none" w:sz="0" w:space="0" w:color="auto"/>
        <w:bottom w:val="none" w:sz="0" w:space="0" w:color="auto"/>
        <w:right w:val="none" w:sz="0" w:space="0" w:color="auto"/>
      </w:divBdr>
    </w:div>
    <w:div w:id="95683599">
      <w:bodyDiv w:val="1"/>
      <w:marLeft w:val="0"/>
      <w:marRight w:val="0"/>
      <w:marTop w:val="0"/>
      <w:marBottom w:val="0"/>
      <w:divBdr>
        <w:top w:val="none" w:sz="0" w:space="0" w:color="auto"/>
        <w:left w:val="none" w:sz="0" w:space="0" w:color="auto"/>
        <w:bottom w:val="none" w:sz="0" w:space="0" w:color="auto"/>
        <w:right w:val="none" w:sz="0" w:space="0" w:color="auto"/>
      </w:divBdr>
    </w:div>
    <w:div w:id="96756546">
      <w:bodyDiv w:val="1"/>
      <w:marLeft w:val="0"/>
      <w:marRight w:val="0"/>
      <w:marTop w:val="0"/>
      <w:marBottom w:val="0"/>
      <w:divBdr>
        <w:top w:val="none" w:sz="0" w:space="0" w:color="auto"/>
        <w:left w:val="none" w:sz="0" w:space="0" w:color="auto"/>
        <w:bottom w:val="none" w:sz="0" w:space="0" w:color="auto"/>
        <w:right w:val="none" w:sz="0" w:space="0" w:color="auto"/>
      </w:divBdr>
    </w:div>
    <w:div w:id="108672672">
      <w:bodyDiv w:val="1"/>
      <w:marLeft w:val="0"/>
      <w:marRight w:val="0"/>
      <w:marTop w:val="0"/>
      <w:marBottom w:val="0"/>
      <w:divBdr>
        <w:top w:val="none" w:sz="0" w:space="0" w:color="auto"/>
        <w:left w:val="none" w:sz="0" w:space="0" w:color="auto"/>
        <w:bottom w:val="none" w:sz="0" w:space="0" w:color="auto"/>
        <w:right w:val="none" w:sz="0" w:space="0" w:color="auto"/>
      </w:divBdr>
    </w:div>
    <w:div w:id="135876843">
      <w:bodyDiv w:val="1"/>
      <w:marLeft w:val="0"/>
      <w:marRight w:val="0"/>
      <w:marTop w:val="0"/>
      <w:marBottom w:val="0"/>
      <w:divBdr>
        <w:top w:val="none" w:sz="0" w:space="0" w:color="auto"/>
        <w:left w:val="none" w:sz="0" w:space="0" w:color="auto"/>
        <w:bottom w:val="none" w:sz="0" w:space="0" w:color="auto"/>
        <w:right w:val="none" w:sz="0" w:space="0" w:color="auto"/>
      </w:divBdr>
    </w:div>
    <w:div w:id="150369687">
      <w:bodyDiv w:val="1"/>
      <w:marLeft w:val="0"/>
      <w:marRight w:val="0"/>
      <w:marTop w:val="0"/>
      <w:marBottom w:val="0"/>
      <w:divBdr>
        <w:top w:val="none" w:sz="0" w:space="0" w:color="auto"/>
        <w:left w:val="none" w:sz="0" w:space="0" w:color="auto"/>
        <w:bottom w:val="none" w:sz="0" w:space="0" w:color="auto"/>
        <w:right w:val="none" w:sz="0" w:space="0" w:color="auto"/>
      </w:divBdr>
    </w:div>
    <w:div w:id="155733647">
      <w:bodyDiv w:val="1"/>
      <w:marLeft w:val="0"/>
      <w:marRight w:val="0"/>
      <w:marTop w:val="0"/>
      <w:marBottom w:val="0"/>
      <w:divBdr>
        <w:top w:val="none" w:sz="0" w:space="0" w:color="auto"/>
        <w:left w:val="none" w:sz="0" w:space="0" w:color="auto"/>
        <w:bottom w:val="none" w:sz="0" w:space="0" w:color="auto"/>
        <w:right w:val="none" w:sz="0" w:space="0" w:color="auto"/>
      </w:divBdr>
    </w:div>
    <w:div w:id="156312902">
      <w:bodyDiv w:val="1"/>
      <w:marLeft w:val="0"/>
      <w:marRight w:val="0"/>
      <w:marTop w:val="0"/>
      <w:marBottom w:val="0"/>
      <w:divBdr>
        <w:top w:val="none" w:sz="0" w:space="0" w:color="auto"/>
        <w:left w:val="none" w:sz="0" w:space="0" w:color="auto"/>
        <w:bottom w:val="none" w:sz="0" w:space="0" w:color="auto"/>
        <w:right w:val="none" w:sz="0" w:space="0" w:color="auto"/>
      </w:divBdr>
    </w:div>
    <w:div w:id="169804619">
      <w:bodyDiv w:val="1"/>
      <w:marLeft w:val="0"/>
      <w:marRight w:val="0"/>
      <w:marTop w:val="0"/>
      <w:marBottom w:val="0"/>
      <w:divBdr>
        <w:top w:val="none" w:sz="0" w:space="0" w:color="auto"/>
        <w:left w:val="none" w:sz="0" w:space="0" w:color="auto"/>
        <w:bottom w:val="none" w:sz="0" w:space="0" w:color="auto"/>
        <w:right w:val="none" w:sz="0" w:space="0" w:color="auto"/>
      </w:divBdr>
    </w:div>
    <w:div w:id="177622917">
      <w:bodyDiv w:val="1"/>
      <w:marLeft w:val="0"/>
      <w:marRight w:val="0"/>
      <w:marTop w:val="0"/>
      <w:marBottom w:val="0"/>
      <w:divBdr>
        <w:top w:val="none" w:sz="0" w:space="0" w:color="auto"/>
        <w:left w:val="none" w:sz="0" w:space="0" w:color="auto"/>
        <w:bottom w:val="none" w:sz="0" w:space="0" w:color="auto"/>
        <w:right w:val="none" w:sz="0" w:space="0" w:color="auto"/>
      </w:divBdr>
    </w:div>
    <w:div w:id="182255790">
      <w:bodyDiv w:val="1"/>
      <w:marLeft w:val="0"/>
      <w:marRight w:val="0"/>
      <w:marTop w:val="0"/>
      <w:marBottom w:val="0"/>
      <w:divBdr>
        <w:top w:val="none" w:sz="0" w:space="0" w:color="auto"/>
        <w:left w:val="none" w:sz="0" w:space="0" w:color="auto"/>
        <w:bottom w:val="none" w:sz="0" w:space="0" w:color="auto"/>
        <w:right w:val="none" w:sz="0" w:space="0" w:color="auto"/>
      </w:divBdr>
    </w:div>
    <w:div w:id="182716824">
      <w:bodyDiv w:val="1"/>
      <w:marLeft w:val="0"/>
      <w:marRight w:val="0"/>
      <w:marTop w:val="0"/>
      <w:marBottom w:val="0"/>
      <w:divBdr>
        <w:top w:val="none" w:sz="0" w:space="0" w:color="auto"/>
        <w:left w:val="none" w:sz="0" w:space="0" w:color="auto"/>
        <w:bottom w:val="none" w:sz="0" w:space="0" w:color="auto"/>
        <w:right w:val="none" w:sz="0" w:space="0" w:color="auto"/>
      </w:divBdr>
    </w:div>
    <w:div w:id="183248055">
      <w:bodyDiv w:val="1"/>
      <w:marLeft w:val="0"/>
      <w:marRight w:val="0"/>
      <w:marTop w:val="0"/>
      <w:marBottom w:val="0"/>
      <w:divBdr>
        <w:top w:val="none" w:sz="0" w:space="0" w:color="auto"/>
        <w:left w:val="none" w:sz="0" w:space="0" w:color="auto"/>
        <w:bottom w:val="none" w:sz="0" w:space="0" w:color="auto"/>
        <w:right w:val="none" w:sz="0" w:space="0" w:color="auto"/>
      </w:divBdr>
      <w:divsChild>
        <w:div w:id="282928821">
          <w:marLeft w:val="446"/>
          <w:marRight w:val="0"/>
          <w:marTop w:val="106"/>
          <w:marBottom w:val="0"/>
          <w:divBdr>
            <w:top w:val="none" w:sz="0" w:space="0" w:color="auto"/>
            <w:left w:val="none" w:sz="0" w:space="0" w:color="auto"/>
            <w:bottom w:val="none" w:sz="0" w:space="0" w:color="auto"/>
            <w:right w:val="none" w:sz="0" w:space="0" w:color="auto"/>
          </w:divBdr>
        </w:div>
      </w:divsChild>
    </w:div>
    <w:div w:id="184095052">
      <w:bodyDiv w:val="1"/>
      <w:marLeft w:val="0"/>
      <w:marRight w:val="0"/>
      <w:marTop w:val="0"/>
      <w:marBottom w:val="0"/>
      <w:divBdr>
        <w:top w:val="none" w:sz="0" w:space="0" w:color="auto"/>
        <w:left w:val="none" w:sz="0" w:space="0" w:color="auto"/>
        <w:bottom w:val="none" w:sz="0" w:space="0" w:color="auto"/>
        <w:right w:val="none" w:sz="0" w:space="0" w:color="auto"/>
      </w:divBdr>
    </w:div>
    <w:div w:id="188177435">
      <w:bodyDiv w:val="1"/>
      <w:marLeft w:val="0"/>
      <w:marRight w:val="0"/>
      <w:marTop w:val="0"/>
      <w:marBottom w:val="0"/>
      <w:divBdr>
        <w:top w:val="none" w:sz="0" w:space="0" w:color="auto"/>
        <w:left w:val="none" w:sz="0" w:space="0" w:color="auto"/>
        <w:bottom w:val="none" w:sz="0" w:space="0" w:color="auto"/>
        <w:right w:val="none" w:sz="0" w:space="0" w:color="auto"/>
      </w:divBdr>
    </w:div>
    <w:div w:id="192311756">
      <w:bodyDiv w:val="1"/>
      <w:marLeft w:val="0"/>
      <w:marRight w:val="0"/>
      <w:marTop w:val="0"/>
      <w:marBottom w:val="0"/>
      <w:divBdr>
        <w:top w:val="none" w:sz="0" w:space="0" w:color="auto"/>
        <w:left w:val="none" w:sz="0" w:space="0" w:color="auto"/>
        <w:bottom w:val="none" w:sz="0" w:space="0" w:color="auto"/>
        <w:right w:val="none" w:sz="0" w:space="0" w:color="auto"/>
      </w:divBdr>
    </w:div>
    <w:div w:id="200753807">
      <w:bodyDiv w:val="1"/>
      <w:marLeft w:val="0"/>
      <w:marRight w:val="0"/>
      <w:marTop w:val="0"/>
      <w:marBottom w:val="0"/>
      <w:divBdr>
        <w:top w:val="none" w:sz="0" w:space="0" w:color="auto"/>
        <w:left w:val="none" w:sz="0" w:space="0" w:color="auto"/>
        <w:bottom w:val="none" w:sz="0" w:space="0" w:color="auto"/>
        <w:right w:val="none" w:sz="0" w:space="0" w:color="auto"/>
      </w:divBdr>
    </w:div>
    <w:div w:id="202720655">
      <w:bodyDiv w:val="1"/>
      <w:marLeft w:val="0"/>
      <w:marRight w:val="0"/>
      <w:marTop w:val="0"/>
      <w:marBottom w:val="0"/>
      <w:divBdr>
        <w:top w:val="none" w:sz="0" w:space="0" w:color="auto"/>
        <w:left w:val="none" w:sz="0" w:space="0" w:color="auto"/>
        <w:bottom w:val="none" w:sz="0" w:space="0" w:color="auto"/>
        <w:right w:val="none" w:sz="0" w:space="0" w:color="auto"/>
      </w:divBdr>
    </w:div>
    <w:div w:id="212040204">
      <w:bodyDiv w:val="1"/>
      <w:marLeft w:val="0"/>
      <w:marRight w:val="0"/>
      <w:marTop w:val="0"/>
      <w:marBottom w:val="0"/>
      <w:divBdr>
        <w:top w:val="none" w:sz="0" w:space="0" w:color="auto"/>
        <w:left w:val="none" w:sz="0" w:space="0" w:color="auto"/>
        <w:bottom w:val="none" w:sz="0" w:space="0" w:color="auto"/>
        <w:right w:val="none" w:sz="0" w:space="0" w:color="auto"/>
      </w:divBdr>
    </w:div>
    <w:div w:id="216598838">
      <w:bodyDiv w:val="1"/>
      <w:marLeft w:val="0"/>
      <w:marRight w:val="0"/>
      <w:marTop w:val="0"/>
      <w:marBottom w:val="0"/>
      <w:divBdr>
        <w:top w:val="none" w:sz="0" w:space="0" w:color="auto"/>
        <w:left w:val="none" w:sz="0" w:space="0" w:color="auto"/>
        <w:bottom w:val="none" w:sz="0" w:space="0" w:color="auto"/>
        <w:right w:val="none" w:sz="0" w:space="0" w:color="auto"/>
      </w:divBdr>
    </w:div>
    <w:div w:id="231086366">
      <w:bodyDiv w:val="1"/>
      <w:marLeft w:val="0"/>
      <w:marRight w:val="0"/>
      <w:marTop w:val="0"/>
      <w:marBottom w:val="0"/>
      <w:divBdr>
        <w:top w:val="none" w:sz="0" w:space="0" w:color="auto"/>
        <w:left w:val="none" w:sz="0" w:space="0" w:color="auto"/>
        <w:bottom w:val="none" w:sz="0" w:space="0" w:color="auto"/>
        <w:right w:val="none" w:sz="0" w:space="0" w:color="auto"/>
      </w:divBdr>
    </w:div>
    <w:div w:id="274097175">
      <w:bodyDiv w:val="1"/>
      <w:marLeft w:val="0"/>
      <w:marRight w:val="0"/>
      <w:marTop w:val="0"/>
      <w:marBottom w:val="0"/>
      <w:divBdr>
        <w:top w:val="none" w:sz="0" w:space="0" w:color="auto"/>
        <w:left w:val="none" w:sz="0" w:space="0" w:color="auto"/>
        <w:bottom w:val="none" w:sz="0" w:space="0" w:color="auto"/>
        <w:right w:val="none" w:sz="0" w:space="0" w:color="auto"/>
      </w:divBdr>
    </w:div>
    <w:div w:id="274405879">
      <w:bodyDiv w:val="1"/>
      <w:marLeft w:val="0"/>
      <w:marRight w:val="0"/>
      <w:marTop w:val="0"/>
      <w:marBottom w:val="0"/>
      <w:divBdr>
        <w:top w:val="none" w:sz="0" w:space="0" w:color="auto"/>
        <w:left w:val="none" w:sz="0" w:space="0" w:color="auto"/>
        <w:bottom w:val="none" w:sz="0" w:space="0" w:color="auto"/>
        <w:right w:val="none" w:sz="0" w:space="0" w:color="auto"/>
      </w:divBdr>
    </w:div>
    <w:div w:id="285626919">
      <w:bodyDiv w:val="1"/>
      <w:marLeft w:val="0"/>
      <w:marRight w:val="0"/>
      <w:marTop w:val="0"/>
      <w:marBottom w:val="0"/>
      <w:divBdr>
        <w:top w:val="none" w:sz="0" w:space="0" w:color="auto"/>
        <w:left w:val="none" w:sz="0" w:space="0" w:color="auto"/>
        <w:bottom w:val="none" w:sz="0" w:space="0" w:color="auto"/>
        <w:right w:val="none" w:sz="0" w:space="0" w:color="auto"/>
      </w:divBdr>
    </w:div>
    <w:div w:id="286131338">
      <w:bodyDiv w:val="1"/>
      <w:marLeft w:val="0"/>
      <w:marRight w:val="0"/>
      <w:marTop w:val="0"/>
      <w:marBottom w:val="0"/>
      <w:divBdr>
        <w:top w:val="none" w:sz="0" w:space="0" w:color="auto"/>
        <w:left w:val="none" w:sz="0" w:space="0" w:color="auto"/>
        <w:bottom w:val="none" w:sz="0" w:space="0" w:color="auto"/>
        <w:right w:val="none" w:sz="0" w:space="0" w:color="auto"/>
      </w:divBdr>
    </w:div>
    <w:div w:id="287974233">
      <w:bodyDiv w:val="1"/>
      <w:marLeft w:val="0"/>
      <w:marRight w:val="0"/>
      <w:marTop w:val="0"/>
      <w:marBottom w:val="0"/>
      <w:divBdr>
        <w:top w:val="none" w:sz="0" w:space="0" w:color="auto"/>
        <w:left w:val="none" w:sz="0" w:space="0" w:color="auto"/>
        <w:bottom w:val="none" w:sz="0" w:space="0" w:color="auto"/>
        <w:right w:val="none" w:sz="0" w:space="0" w:color="auto"/>
      </w:divBdr>
    </w:div>
    <w:div w:id="302538099">
      <w:bodyDiv w:val="1"/>
      <w:marLeft w:val="0"/>
      <w:marRight w:val="0"/>
      <w:marTop w:val="0"/>
      <w:marBottom w:val="0"/>
      <w:divBdr>
        <w:top w:val="none" w:sz="0" w:space="0" w:color="auto"/>
        <w:left w:val="none" w:sz="0" w:space="0" w:color="auto"/>
        <w:bottom w:val="none" w:sz="0" w:space="0" w:color="auto"/>
        <w:right w:val="none" w:sz="0" w:space="0" w:color="auto"/>
      </w:divBdr>
    </w:div>
    <w:div w:id="308368538">
      <w:bodyDiv w:val="1"/>
      <w:marLeft w:val="0"/>
      <w:marRight w:val="0"/>
      <w:marTop w:val="0"/>
      <w:marBottom w:val="0"/>
      <w:divBdr>
        <w:top w:val="none" w:sz="0" w:space="0" w:color="auto"/>
        <w:left w:val="none" w:sz="0" w:space="0" w:color="auto"/>
        <w:bottom w:val="none" w:sz="0" w:space="0" w:color="auto"/>
        <w:right w:val="none" w:sz="0" w:space="0" w:color="auto"/>
      </w:divBdr>
    </w:div>
    <w:div w:id="312372279">
      <w:bodyDiv w:val="1"/>
      <w:marLeft w:val="0"/>
      <w:marRight w:val="0"/>
      <w:marTop w:val="0"/>
      <w:marBottom w:val="0"/>
      <w:divBdr>
        <w:top w:val="none" w:sz="0" w:space="0" w:color="auto"/>
        <w:left w:val="none" w:sz="0" w:space="0" w:color="auto"/>
        <w:bottom w:val="none" w:sz="0" w:space="0" w:color="auto"/>
        <w:right w:val="none" w:sz="0" w:space="0" w:color="auto"/>
      </w:divBdr>
    </w:div>
    <w:div w:id="322128026">
      <w:bodyDiv w:val="1"/>
      <w:marLeft w:val="0"/>
      <w:marRight w:val="0"/>
      <w:marTop w:val="0"/>
      <w:marBottom w:val="0"/>
      <w:divBdr>
        <w:top w:val="none" w:sz="0" w:space="0" w:color="auto"/>
        <w:left w:val="none" w:sz="0" w:space="0" w:color="auto"/>
        <w:bottom w:val="none" w:sz="0" w:space="0" w:color="auto"/>
        <w:right w:val="none" w:sz="0" w:space="0" w:color="auto"/>
      </w:divBdr>
    </w:div>
    <w:div w:id="342098999">
      <w:bodyDiv w:val="1"/>
      <w:marLeft w:val="0"/>
      <w:marRight w:val="0"/>
      <w:marTop w:val="0"/>
      <w:marBottom w:val="0"/>
      <w:divBdr>
        <w:top w:val="none" w:sz="0" w:space="0" w:color="auto"/>
        <w:left w:val="none" w:sz="0" w:space="0" w:color="auto"/>
        <w:bottom w:val="none" w:sz="0" w:space="0" w:color="auto"/>
        <w:right w:val="none" w:sz="0" w:space="0" w:color="auto"/>
      </w:divBdr>
    </w:div>
    <w:div w:id="365372690">
      <w:bodyDiv w:val="1"/>
      <w:marLeft w:val="0"/>
      <w:marRight w:val="0"/>
      <w:marTop w:val="0"/>
      <w:marBottom w:val="0"/>
      <w:divBdr>
        <w:top w:val="none" w:sz="0" w:space="0" w:color="auto"/>
        <w:left w:val="none" w:sz="0" w:space="0" w:color="auto"/>
        <w:bottom w:val="none" w:sz="0" w:space="0" w:color="auto"/>
        <w:right w:val="none" w:sz="0" w:space="0" w:color="auto"/>
      </w:divBdr>
    </w:div>
    <w:div w:id="369457193">
      <w:bodyDiv w:val="1"/>
      <w:marLeft w:val="0"/>
      <w:marRight w:val="0"/>
      <w:marTop w:val="0"/>
      <w:marBottom w:val="0"/>
      <w:divBdr>
        <w:top w:val="none" w:sz="0" w:space="0" w:color="auto"/>
        <w:left w:val="none" w:sz="0" w:space="0" w:color="auto"/>
        <w:bottom w:val="none" w:sz="0" w:space="0" w:color="auto"/>
        <w:right w:val="none" w:sz="0" w:space="0" w:color="auto"/>
      </w:divBdr>
    </w:div>
    <w:div w:id="380978558">
      <w:bodyDiv w:val="1"/>
      <w:marLeft w:val="0"/>
      <w:marRight w:val="0"/>
      <w:marTop w:val="0"/>
      <w:marBottom w:val="0"/>
      <w:divBdr>
        <w:top w:val="none" w:sz="0" w:space="0" w:color="auto"/>
        <w:left w:val="none" w:sz="0" w:space="0" w:color="auto"/>
        <w:bottom w:val="none" w:sz="0" w:space="0" w:color="auto"/>
        <w:right w:val="none" w:sz="0" w:space="0" w:color="auto"/>
      </w:divBdr>
    </w:div>
    <w:div w:id="386029992">
      <w:bodyDiv w:val="1"/>
      <w:marLeft w:val="0"/>
      <w:marRight w:val="0"/>
      <w:marTop w:val="0"/>
      <w:marBottom w:val="0"/>
      <w:divBdr>
        <w:top w:val="none" w:sz="0" w:space="0" w:color="auto"/>
        <w:left w:val="none" w:sz="0" w:space="0" w:color="auto"/>
        <w:bottom w:val="none" w:sz="0" w:space="0" w:color="auto"/>
        <w:right w:val="none" w:sz="0" w:space="0" w:color="auto"/>
      </w:divBdr>
    </w:div>
    <w:div w:id="397482246">
      <w:bodyDiv w:val="1"/>
      <w:marLeft w:val="0"/>
      <w:marRight w:val="0"/>
      <w:marTop w:val="0"/>
      <w:marBottom w:val="0"/>
      <w:divBdr>
        <w:top w:val="none" w:sz="0" w:space="0" w:color="auto"/>
        <w:left w:val="none" w:sz="0" w:space="0" w:color="auto"/>
        <w:bottom w:val="none" w:sz="0" w:space="0" w:color="auto"/>
        <w:right w:val="none" w:sz="0" w:space="0" w:color="auto"/>
      </w:divBdr>
    </w:div>
    <w:div w:id="398330751">
      <w:bodyDiv w:val="1"/>
      <w:marLeft w:val="0"/>
      <w:marRight w:val="0"/>
      <w:marTop w:val="0"/>
      <w:marBottom w:val="0"/>
      <w:divBdr>
        <w:top w:val="none" w:sz="0" w:space="0" w:color="auto"/>
        <w:left w:val="none" w:sz="0" w:space="0" w:color="auto"/>
        <w:bottom w:val="none" w:sz="0" w:space="0" w:color="auto"/>
        <w:right w:val="none" w:sz="0" w:space="0" w:color="auto"/>
      </w:divBdr>
    </w:div>
    <w:div w:id="406613379">
      <w:bodyDiv w:val="1"/>
      <w:marLeft w:val="0"/>
      <w:marRight w:val="0"/>
      <w:marTop w:val="0"/>
      <w:marBottom w:val="0"/>
      <w:divBdr>
        <w:top w:val="none" w:sz="0" w:space="0" w:color="auto"/>
        <w:left w:val="none" w:sz="0" w:space="0" w:color="auto"/>
        <w:bottom w:val="none" w:sz="0" w:space="0" w:color="auto"/>
        <w:right w:val="none" w:sz="0" w:space="0" w:color="auto"/>
      </w:divBdr>
      <w:divsChild>
        <w:div w:id="1625505276">
          <w:marLeft w:val="0"/>
          <w:marRight w:val="0"/>
          <w:marTop w:val="100"/>
          <w:marBottom w:val="100"/>
          <w:divBdr>
            <w:top w:val="none" w:sz="0" w:space="0" w:color="auto"/>
            <w:left w:val="none" w:sz="0" w:space="0" w:color="auto"/>
            <w:bottom w:val="none" w:sz="0" w:space="0" w:color="auto"/>
            <w:right w:val="none" w:sz="0" w:space="0" w:color="auto"/>
          </w:divBdr>
          <w:divsChild>
            <w:div w:id="1190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5335">
      <w:bodyDiv w:val="1"/>
      <w:marLeft w:val="0"/>
      <w:marRight w:val="0"/>
      <w:marTop w:val="0"/>
      <w:marBottom w:val="0"/>
      <w:divBdr>
        <w:top w:val="none" w:sz="0" w:space="0" w:color="auto"/>
        <w:left w:val="none" w:sz="0" w:space="0" w:color="auto"/>
        <w:bottom w:val="none" w:sz="0" w:space="0" w:color="auto"/>
        <w:right w:val="none" w:sz="0" w:space="0" w:color="auto"/>
      </w:divBdr>
    </w:div>
    <w:div w:id="409887179">
      <w:bodyDiv w:val="1"/>
      <w:marLeft w:val="0"/>
      <w:marRight w:val="0"/>
      <w:marTop w:val="0"/>
      <w:marBottom w:val="0"/>
      <w:divBdr>
        <w:top w:val="none" w:sz="0" w:space="0" w:color="auto"/>
        <w:left w:val="none" w:sz="0" w:space="0" w:color="auto"/>
        <w:bottom w:val="none" w:sz="0" w:space="0" w:color="auto"/>
        <w:right w:val="none" w:sz="0" w:space="0" w:color="auto"/>
      </w:divBdr>
      <w:divsChild>
        <w:div w:id="203687374">
          <w:marLeft w:val="547"/>
          <w:marRight w:val="0"/>
          <w:marTop w:val="154"/>
          <w:marBottom w:val="0"/>
          <w:divBdr>
            <w:top w:val="none" w:sz="0" w:space="0" w:color="auto"/>
            <w:left w:val="none" w:sz="0" w:space="0" w:color="auto"/>
            <w:bottom w:val="none" w:sz="0" w:space="0" w:color="auto"/>
            <w:right w:val="none" w:sz="0" w:space="0" w:color="auto"/>
          </w:divBdr>
        </w:div>
        <w:div w:id="456680862">
          <w:marLeft w:val="547"/>
          <w:marRight w:val="0"/>
          <w:marTop w:val="154"/>
          <w:marBottom w:val="0"/>
          <w:divBdr>
            <w:top w:val="none" w:sz="0" w:space="0" w:color="auto"/>
            <w:left w:val="none" w:sz="0" w:space="0" w:color="auto"/>
            <w:bottom w:val="none" w:sz="0" w:space="0" w:color="auto"/>
            <w:right w:val="none" w:sz="0" w:space="0" w:color="auto"/>
          </w:divBdr>
        </w:div>
        <w:div w:id="717975290">
          <w:marLeft w:val="547"/>
          <w:marRight w:val="0"/>
          <w:marTop w:val="154"/>
          <w:marBottom w:val="0"/>
          <w:divBdr>
            <w:top w:val="none" w:sz="0" w:space="0" w:color="auto"/>
            <w:left w:val="none" w:sz="0" w:space="0" w:color="auto"/>
            <w:bottom w:val="none" w:sz="0" w:space="0" w:color="auto"/>
            <w:right w:val="none" w:sz="0" w:space="0" w:color="auto"/>
          </w:divBdr>
        </w:div>
      </w:divsChild>
    </w:div>
    <w:div w:id="410273987">
      <w:bodyDiv w:val="1"/>
      <w:marLeft w:val="0"/>
      <w:marRight w:val="0"/>
      <w:marTop w:val="0"/>
      <w:marBottom w:val="0"/>
      <w:divBdr>
        <w:top w:val="none" w:sz="0" w:space="0" w:color="auto"/>
        <w:left w:val="none" w:sz="0" w:space="0" w:color="auto"/>
        <w:bottom w:val="none" w:sz="0" w:space="0" w:color="auto"/>
        <w:right w:val="none" w:sz="0" w:space="0" w:color="auto"/>
      </w:divBdr>
    </w:div>
    <w:div w:id="412167064">
      <w:bodyDiv w:val="1"/>
      <w:marLeft w:val="0"/>
      <w:marRight w:val="0"/>
      <w:marTop w:val="0"/>
      <w:marBottom w:val="0"/>
      <w:divBdr>
        <w:top w:val="none" w:sz="0" w:space="0" w:color="auto"/>
        <w:left w:val="none" w:sz="0" w:space="0" w:color="auto"/>
        <w:bottom w:val="none" w:sz="0" w:space="0" w:color="auto"/>
        <w:right w:val="none" w:sz="0" w:space="0" w:color="auto"/>
      </w:divBdr>
    </w:div>
    <w:div w:id="414206272">
      <w:bodyDiv w:val="1"/>
      <w:marLeft w:val="0"/>
      <w:marRight w:val="0"/>
      <w:marTop w:val="0"/>
      <w:marBottom w:val="0"/>
      <w:divBdr>
        <w:top w:val="none" w:sz="0" w:space="0" w:color="auto"/>
        <w:left w:val="none" w:sz="0" w:space="0" w:color="auto"/>
        <w:bottom w:val="none" w:sz="0" w:space="0" w:color="auto"/>
        <w:right w:val="none" w:sz="0" w:space="0" w:color="auto"/>
      </w:divBdr>
    </w:div>
    <w:div w:id="421873452">
      <w:bodyDiv w:val="1"/>
      <w:marLeft w:val="0"/>
      <w:marRight w:val="0"/>
      <w:marTop w:val="0"/>
      <w:marBottom w:val="0"/>
      <w:divBdr>
        <w:top w:val="none" w:sz="0" w:space="0" w:color="auto"/>
        <w:left w:val="none" w:sz="0" w:space="0" w:color="auto"/>
        <w:bottom w:val="none" w:sz="0" w:space="0" w:color="auto"/>
        <w:right w:val="none" w:sz="0" w:space="0" w:color="auto"/>
      </w:divBdr>
    </w:div>
    <w:div w:id="422066700">
      <w:bodyDiv w:val="1"/>
      <w:marLeft w:val="0"/>
      <w:marRight w:val="0"/>
      <w:marTop w:val="0"/>
      <w:marBottom w:val="0"/>
      <w:divBdr>
        <w:top w:val="none" w:sz="0" w:space="0" w:color="auto"/>
        <w:left w:val="none" w:sz="0" w:space="0" w:color="auto"/>
        <w:bottom w:val="none" w:sz="0" w:space="0" w:color="auto"/>
        <w:right w:val="none" w:sz="0" w:space="0" w:color="auto"/>
      </w:divBdr>
    </w:div>
    <w:div w:id="423692544">
      <w:bodyDiv w:val="1"/>
      <w:marLeft w:val="0"/>
      <w:marRight w:val="0"/>
      <w:marTop w:val="0"/>
      <w:marBottom w:val="0"/>
      <w:divBdr>
        <w:top w:val="none" w:sz="0" w:space="0" w:color="auto"/>
        <w:left w:val="none" w:sz="0" w:space="0" w:color="auto"/>
        <w:bottom w:val="none" w:sz="0" w:space="0" w:color="auto"/>
        <w:right w:val="none" w:sz="0" w:space="0" w:color="auto"/>
      </w:divBdr>
    </w:div>
    <w:div w:id="425805062">
      <w:bodyDiv w:val="1"/>
      <w:marLeft w:val="0"/>
      <w:marRight w:val="0"/>
      <w:marTop w:val="0"/>
      <w:marBottom w:val="0"/>
      <w:divBdr>
        <w:top w:val="none" w:sz="0" w:space="0" w:color="auto"/>
        <w:left w:val="none" w:sz="0" w:space="0" w:color="auto"/>
        <w:bottom w:val="none" w:sz="0" w:space="0" w:color="auto"/>
        <w:right w:val="none" w:sz="0" w:space="0" w:color="auto"/>
      </w:divBdr>
    </w:div>
    <w:div w:id="431979604">
      <w:bodyDiv w:val="1"/>
      <w:marLeft w:val="0"/>
      <w:marRight w:val="0"/>
      <w:marTop w:val="0"/>
      <w:marBottom w:val="0"/>
      <w:divBdr>
        <w:top w:val="none" w:sz="0" w:space="0" w:color="auto"/>
        <w:left w:val="none" w:sz="0" w:space="0" w:color="auto"/>
        <w:bottom w:val="none" w:sz="0" w:space="0" w:color="auto"/>
        <w:right w:val="none" w:sz="0" w:space="0" w:color="auto"/>
      </w:divBdr>
    </w:div>
    <w:div w:id="438376068">
      <w:bodyDiv w:val="1"/>
      <w:marLeft w:val="0"/>
      <w:marRight w:val="0"/>
      <w:marTop w:val="0"/>
      <w:marBottom w:val="0"/>
      <w:divBdr>
        <w:top w:val="none" w:sz="0" w:space="0" w:color="auto"/>
        <w:left w:val="none" w:sz="0" w:space="0" w:color="auto"/>
        <w:bottom w:val="none" w:sz="0" w:space="0" w:color="auto"/>
        <w:right w:val="none" w:sz="0" w:space="0" w:color="auto"/>
      </w:divBdr>
    </w:div>
    <w:div w:id="447824298">
      <w:bodyDiv w:val="1"/>
      <w:marLeft w:val="0"/>
      <w:marRight w:val="0"/>
      <w:marTop w:val="0"/>
      <w:marBottom w:val="0"/>
      <w:divBdr>
        <w:top w:val="none" w:sz="0" w:space="0" w:color="auto"/>
        <w:left w:val="none" w:sz="0" w:space="0" w:color="auto"/>
        <w:bottom w:val="none" w:sz="0" w:space="0" w:color="auto"/>
        <w:right w:val="none" w:sz="0" w:space="0" w:color="auto"/>
      </w:divBdr>
    </w:div>
    <w:div w:id="477692697">
      <w:bodyDiv w:val="1"/>
      <w:marLeft w:val="0"/>
      <w:marRight w:val="0"/>
      <w:marTop w:val="0"/>
      <w:marBottom w:val="0"/>
      <w:divBdr>
        <w:top w:val="none" w:sz="0" w:space="0" w:color="auto"/>
        <w:left w:val="none" w:sz="0" w:space="0" w:color="auto"/>
        <w:bottom w:val="none" w:sz="0" w:space="0" w:color="auto"/>
        <w:right w:val="none" w:sz="0" w:space="0" w:color="auto"/>
      </w:divBdr>
    </w:div>
    <w:div w:id="480660667">
      <w:bodyDiv w:val="1"/>
      <w:marLeft w:val="0"/>
      <w:marRight w:val="0"/>
      <w:marTop w:val="0"/>
      <w:marBottom w:val="0"/>
      <w:divBdr>
        <w:top w:val="none" w:sz="0" w:space="0" w:color="auto"/>
        <w:left w:val="none" w:sz="0" w:space="0" w:color="auto"/>
        <w:bottom w:val="none" w:sz="0" w:space="0" w:color="auto"/>
        <w:right w:val="none" w:sz="0" w:space="0" w:color="auto"/>
      </w:divBdr>
    </w:div>
    <w:div w:id="486753141">
      <w:bodyDiv w:val="1"/>
      <w:marLeft w:val="0"/>
      <w:marRight w:val="0"/>
      <w:marTop w:val="0"/>
      <w:marBottom w:val="0"/>
      <w:divBdr>
        <w:top w:val="none" w:sz="0" w:space="0" w:color="auto"/>
        <w:left w:val="none" w:sz="0" w:space="0" w:color="auto"/>
        <w:bottom w:val="none" w:sz="0" w:space="0" w:color="auto"/>
        <w:right w:val="none" w:sz="0" w:space="0" w:color="auto"/>
      </w:divBdr>
    </w:div>
    <w:div w:id="494272696">
      <w:bodyDiv w:val="1"/>
      <w:marLeft w:val="0"/>
      <w:marRight w:val="0"/>
      <w:marTop w:val="0"/>
      <w:marBottom w:val="0"/>
      <w:divBdr>
        <w:top w:val="none" w:sz="0" w:space="0" w:color="auto"/>
        <w:left w:val="none" w:sz="0" w:space="0" w:color="auto"/>
        <w:bottom w:val="none" w:sz="0" w:space="0" w:color="auto"/>
        <w:right w:val="none" w:sz="0" w:space="0" w:color="auto"/>
      </w:divBdr>
    </w:div>
    <w:div w:id="495271451">
      <w:bodyDiv w:val="1"/>
      <w:marLeft w:val="0"/>
      <w:marRight w:val="0"/>
      <w:marTop w:val="0"/>
      <w:marBottom w:val="0"/>
      <w:divBdr>
        <w:top w:val="none" w:sz="0" w:space="0" w:color="auto"/>
        <w:left w:val="none" w:sz="0" w:space="0" w:color="auto"/>
        <w:bottom w:val="none" w:sz="0" w:space="0" w:color="auto"/>
        <w:right w:val="none" w:sz="0" w:space="0" w:color="auto"/>
      </w:divBdr>
    </w:div>
    <w:div w:id="515732583">
      <w:bodyDiv w:val="1"/>
      <w:marLeft w:val="0"/>
      <w:marRight w:val="0"/>
      <w:marTop w:val="0"/>
      <w:marBottom w:val="0"/>
      <w:divBdr>
        <w:top w:val="none" w:sz="0" w:space="0" w:color="auto"/>
        <w:left w:val="none" w:sz="0" w:space="0" w:color="auto"/>
        <w:bottom w:val="none" w:sz="0" w:space="0" w:color="auto"/>
        <w:right w:val="none" w:sz="0" w:space="0" w:color="auto"/>
      </w:divBdr>
    </w:div>
    <w:div w:id="540439663">
      <w:bodyDiv w:val="1"/>
      <w:marLeft w:val="0"/>
      <w:marRight w:val="0"/>
      <w:marTop w:val="0"/>
      <w:marBottom w:val="0"/>
      <w:divBdr>
        <w:top w:val="none" w:sz="0" w:space="0" w:color="auto"/>
        <w:left w:val="none" w:sz="0" w:space="0" w:color="auto"/>
        <w:bottom w:val="none" w:sz="0" w:space="0" w:color="auto"/>
        <w:right w:val="none" w:sz="0" w:space="0" w:color="auto"/>
      </w:divBdr>
    </w:div>
    <w:div w:id="540942347">
      <w:bodyDiv w:val="1"/>
      <w:marLeft w:val="0"/>
      <w:marRight w:val="0"/>
      <w:marTop w:val="0"/>
      <w:marBottom w:val="0"/>
      <w:divBdr>
        <w:top w:val="none" w:sz="0" w:space="0" w:color="auto"/>
        <w:left w:val="none" w:sz="0" w:space="0" w:color="auto"/>
        <w:bottom w:val="none" w:sz="0" w:space="0" w:color="auto"/>
        <w:right w:val="none" w:sz="0" w:space="0" w:color="auto"/>
      </w:divBdr>
    </w:div>
    <w:div w:id="540946956">
      <w:bodyDiv w:val="1"/>
      <w:marLeft w:val="0"/>
      <w:marRight w:val="0"/>
      <w:marTop w:val="0"/>
      <w:marBottom w:val="0"/>
      <w:divBdr>
        <w:top w:val="none" w:sz="0" w:space="0" w:color="auto"/>
        <w:left w:val="none" w:sz="0" w:space="0" w:color="auto"/>
        <w:bottom w:val="none" w:sz="0" w:space="0" w:color="auto"/>
        <w:right w:val="none" w:sz="0" w:space="0" w:color="auto"/>
      </w:divBdr>
    </w:div>
    <w:div w:id="563755532">
      <w:bodyDiv w:val="1"/>
      <w:marLeft w:val="0"/>
      <w:marRight w:val="0"/>
      <w:marTop w:val="0"/>
      <w:marBottom w:val="0"/>
      <w:divBdr>
        <w:top w:val="none" w:sz="0" w:space="0" w:color="auto"/>
        <w:left w:val="none" w:sz="0" w:space="0" w:color="auto"/>
        <w:bottom w:val="none" w:sz="0" w:space="0" w:color="auto"/>
        <w:right w:val="none" w:sz="0" w:space="0" w:color="auto"/>
      </w:divBdr>
    </w:div>
    <w:div w:id="575628864">
      <w:bodyDiv w:val="1"/>
      <w:marLeft w:val="0"/>
      <w:marRight w:val="0"/>
      <w:marTop w:val="0"/>
      <w:marBottom w:val="0"/>
      <w:divBdr>
        <w:top w:val="none" w:sz="0" w:space="0" w:color="auto"/>
        <w:left w:val="none" w:sz="0" w:space="0" w:color="auto"/>
        <w:bottom w:val="none" w:sz="0" w:space="0" w:color="auto"/>
        <w:right w:val="none" w:sz="0" w:space="0" w:color="auto"/>
      </w:divBdr>
    </w:div>
    <w:div w:id="585848058">
      <w:bodyDiv w:val="1"/>
      <w:marLeft w:val="0"/>
      <w:marRight w:val="0"/>
      <w:marTop w:val="0"/>
      <w:marBottom w:val="0"/>
      <w:divBdr>
        <w:top w:val="none" w:sz="0" w:space="0" w:color="auto"/>
        <w:left w:val="none" w:sz="0" w:space="0" w:color="auto"/>
        <w:bottom w:val="none" w:sz="0" w:space="0" w:color="auto"/>
        <w:right w:val="none" w:sz="0" w:space="0" w:color="auto"/>
      </w:divBdr>
    </w:div>
    <w:div w:id="593242707">
      <w:bodyDiv w:val="1"/>
      <w:marLeft w:val="0"/>
      <w:marRight w:val="0"/>
      <w:marTop w:val="0"/>
      <w:marBottom w:val="0"/>
      <w:divBdr>
        <w:top w:val="none" w:sz="0" w:space="0" w:color="auto"/>
        <w:left w:val="none" w:sz="0" w:space="0" w:color="auto"/>
        <w:bottom w:val="none" w:sz="0" w:space="0" w:color="auto"/>
        <w:right w:val="none" w:sz="0" w:space="0" w:color="auto"/>
      </w:divBdr>
    </w:div>
    <w:div w:id="599721942">
      <w:bodyDiv w:val="1"/>
      <w:marLeft w:val="0"/>
      <w:marRight w:val="0"/>
      <w:marTop w:val="0"/>
      <w:marBottom w:val="0"/>
      <w:divBdr>
        <w:top w:val="none" w:sz="0" w:space="0" w:color="auto"/>
        <w:left w:val="none" w:sz="0" w:space="0" w:color="auto"/>
        <w:bottom w:val="none" w:sz="0" w:space="0" w:color="auto"/>
        <w:right w:val="none" w:sz="0" w:space="0" w:color="auto"/>
      </w:divBdr>
    </w:div>
    <w:div w:id="603028698">
      <w:bodyDiv w:val="1"/>
      <w:marLeft w:val="0"/>
      <w:marRight w:val="0"/>
      <w:marTop w:val="0"/>
      <w:marBottom w:val="0"/>
      <w:divBdr>
        <w:top w:val="none" w:sz="0" w:space="0" w:color="auto"/>
        <w:left w:val="none" w:sz="0" w:space="0" w:color="auto"/>
        <w:bottom w:val="none" w:sz="0" w:space="0" w:color="auto"/>
        <w:right w:val="none" w:sz="0" w:space="0" w:color="auto"/>
      </w:divBdr>
    </w:div>
    <w:div w:id="606424193">
      <w:bodyDiv w:val="1"/>
      <w:marLeft w:val="0"/>
      <w:marRight w:val="0"/>
      <w:marTop w:val="0"/>
      <w:marBottom w:val="0"/>
      <w:divBdr>
        <w:top w:val="none" w:sz="0" w:space="0" w:color="auto"/>
        <w:left w:val="none" w:sz="0" w:space="0" w:color="auto"/>
        <w:bottom w:val="none" w:sz="0" w:space="0" w:color="auto"/>
        <w:right w:val="none" w:sz="0" w:space="0" w:color="auto"/>
      </w:divBdr>
    </w:div>
    <w:div w:id="609707898">
      <w:bodyDiv w:val="1"/>
      <w:marLeft w:val="0"/>
      <w:marRight w:val="0"/>
      <w:marTop w:val="0"/>
      <w:marBottom w:val="0"/>
      <w:divBdr>
        <w:top w:val="none" w:sz="0" w:space="0" w:color="auto"/>
        <w:left w:val="none" w:sz="0" w:space="0" w:color="auto"/>
        <w:bottom w:val="none" w:sz="0" w:space="0" w:color="auto"/>
        <w:right w:val="none" w:sz="0" w:space="0" w:color="auto"/>
      </w:divBdr>
    </w:div>
    <w:div w:id="618996734">
      <w:bodyDiv w:val="1"/>
      <w:marLeft w:val="0"/>
      <w:marRight w:val="0"/>
      <w:marTop w:val="0"/>
      <w:marBottom w:val="0"/>
      <w:divBdr>
        <w:top w:val="none" w:sz="0" w:space="0" w:color="auto"/>
        <w:left w:val="none" w:sz="0" w:space="0" w:color="auto"/>
        <w:bottom w:val="none" w:sz="0" w:space="0" w:color="auto"/>
        <w:right w:val="none" w:sz="0" w:space="0" w:color="auto"/>
      </w:divBdr>
    </w:div>
    <w:div w:id="625618625">
      <w:bodyDiv w:val="1"/>
      <w:marLeft w:val="0"/>
      <w:marRight w:val="0"/>
      <w:marTop w:val="0"/>
      <w:marBottom w:val="0"/>
      <w:divBdr>
        <w:top w:val="none" w:sz="0" w:space="0" w:color="auto"/>
        <w:left w:val="none" w:sz="0" w:space="0" w:color="auto"/>
        <w:bottom w:val="none" w:sz="0" w:space="0" w:color="auto"/>
        <w:right w:val="none" w:sz="0" w:space="0" w:color="auto"/>
      </w:divBdr>
    </w:div>
    <w:div w:id="650333190">
      <w:bodyDiv w:val="1"/>
      <w:marLeft w:val="0"/>
      <w:marRight w:val="0"/>
      <w:marTop w:val="0"/>
      <w:marBottom w:val="0"/>
      <w:divBdr>
        <w:top w:val="none" w:sz="0" w:space="0" w:color="auto"/>
        <w:left w:val="none" w:sz="0" w:space="0" w:color="auto"/>
        <w:bottom w:val="none" w:sz="0" w:space="0" w:color="auto"/>
        <w:right w:val="none" w:sz="0" w:space="0" w:color="auto"/>
      </w:divBdr>
    </w:div>
    <w:div w:id="668606016">
      <w:bodyDiv w:val="1"/>
      <w:marLeft w:val="0"/>
      <w:marRight w:val="0"/>
      <w:marTop w:val="0"/>
      <w:marBottom w:val="0"/>
      <w:divBdr>
        <w:top w:val="none" w:sz="0" w:space="0" w:color="auto"/>
        <w:left w:val="none" w:sz="0" w:space="0" w:color="auto"/>
        <w:bottom w:val="none" w:sz="0" w:space="0" w:color="auto"/>
        <w:right w:val="none" w:sz="0" w:space="0" w:color="auto"/>
      </w:divBdr>
    </w:div>
    <w:div w:id="673579365">
      <w:bodyDiv w:val="1"/>
      <w:marLeft w:val="0"/>
      <w:marRight w:val="0"/>
      <w:marTop w:val="0"/>
      <w:marBottom w:val="0"/>
      <w:divBdr>
        <w:top w:val="none" w:sz="0" w:space="0" w:color="auto"/>
        <w:left w:val="none" w:sz="0" w:space="0" w:color="auto"/>
        <w:bottom w:val="none" w:sz="0" w:space="0" w:color="auto"/>
        <w:right w:val="none" w:sz="0" w:space="0" w:color="auto"/>
      </w:divBdr>
    </w:div>
    <w:div w:id="688020527">
      <w:bodyDiv w:val="1"/>
      <w:marLeft w:val="0"/>
      <w:marRight w:val="0"/>
      <w:marTop w:val="0"/>
      <w:marBottom w:val="0"/>
      <w:divBdr>
        <w:top w:val="none" w:sz="0" w:space="0" w:color="auto"/>
        <w:left w:val="none" w:sz="0" w:space="0" w:color="auto"/>
        <w:bottom w:val="none" w:sz="0" w:space="0" w:color="auto"/>
        <w:right w:val="none" w:sz="0" w:space="0" w:color="auto"/>
      </w:divBdr>
    </w:div>
    <w:div w:id="699008599">
      <w:bodyDiv w:val="1"/>
      <w:marLeft w:val="0"/>
      <w:marRight w:val="0"/>
      <w:marTop w:val="0"/>
      <w:marBottom w:val="0"/>
      <w:divBdr>
        <w:top w:val="none" w:sz="0" w:space="0" w:color="auto"/>
        <w:left w:val="none" w:sz="0" w:space="0" w:color="auto"/>
        <w:bottom w:val="none" w:sz="0" w:space="0" w:color="auto"/>
        <w:right w:val="none" w:sz="0" w:space="0" w:color="auto"/>
      </w:divBdr>
    </w:div>
    <w:div w:id="699207440">
      <w:bodyDiv w:val="1"/>
      <w:marLeft w:val="0"/>
      <w:marRight w:val="0"/>
      <w:marTop w:val="0"/>
      <w:marBottom w:val="0"/>
      <w:divBdr>
        <w:top w:val="none" w:sz="0" w:space="0" w:color="auto"/>
        <w:left w:val="none" w:sz="0" w:space="0" w:color="auto"/>
        <w:bottom w:val="none" w:sz="0" w:space="0" w:color="auto"/>
        <w:right w:val="none" w:sz="0" w:space="0" w:color="auto"/>
      </w:divBdr>
    </w:div>
    <w:div w:id="702053387">
      <w:bodyDiv w:val="1"/>
      <w:marLeft w:val="0"/>
      <w:marRight w:val="0"/>
      <w:marTop w:val="0"/>
      <w:marBottom w:val="0"/>
      <w:divBdr>
        <w:top w:val="none" w:sz="0" w:space="0" w:color="auto"/>
        <w:left w:val="none" w:sz="0" w:space="0" w:color="auto"/>
        <w:bottom w:val="none" w:sz="0" w:space="0" w:color="auto"/>
        <w:right w:val="none" w:sz="0" w:space="0" w:color="auto"/>
      </w:divBdr>
    </w:div>
    <w:div w:id="731734452">
      <w:bodyDiv w:val="1"/>
      <w:marLeft w:val="0"/>
      <w:marRight w:val="0"/>
      <w:marTop w:val="0"/>
      <w:marBottom w:val="0"/>
      <w:divBdr>
        <w:top w:val="none" w:sz="0" w:space="0" w:color="auto"/>
        <w:left w:val="none" w:sz="0" w:space="0" w:color="auto"/>
        <w:bottom w:val="none" w:sz="0" w:space="0" w:color="auto"/>
        <w:right w:val="none" w:sz="0" w:space="0" w:color="auto"/>
      </w:divBdr>
    </w:div>
    <w:div w:id="771123937">
      <w:bodyDiv w:val="1"/>
      <w:marLeft w:val="0"/>
      <w:marRight w:val="0"/>
      <w:marTop w:val="0"/>
      <w:marBottom w:val="0"/>
      <w:divBdr>
        <w:top w:val="none" w:sz="0" w:space="0" w:color="auto"/>
        <w:left w:val="none" w:sz="0" w:space="0" w:color="auto"/>
        <w:bottom w:val="none" w:sz="0" w:space="0" w:color="auto"/>
        <w:right w:val="none" w:sz="0" w:space="0" w:color="auto"/>
      </w:divBdr>
    </w:div>
    <w:div w:id="772820104">
      <w:bodyDiv w:val="1"/>
      <w:marLeft w:val="0"/>
      <w:marRight w:val="0"/>
      <w:marTop w:val="0"/>
      <w:marBottom w:val="0"/>
      <w:divBdr>
        <w:top w:val="none" w:sz="0" w:space="0" w:color="auto"/>
        <w:left w:val="none" w:sz="0" w:space="0" w:color="auto"/>
        <w:bottom w:val="none" w:sz="0" w:space="0" w:color="auto"/>
        <w:right w:val="none" w:sz="0" w:space="0" w:color="auto"/>
      </w:divBdr>
    </w:div>
    <w:div w:id="773013601">
      <w:bodyDiv w:val="1"/>
      <w:marLeft w:val="0"/>
      <w:marRight w:val="0"/>
      <w:marTop w:val="0"/>
      <w:marBottom w:val="0"/>
      <w:divBdr>
        <w:top w:val="none" w:sz="0" w:space="0" w:color="auto"/>
        <w:left w:val="none" w:sz="0" w:space="0" w:color="auto"/>
        <w:bottom w:val="none" w:sz="0" w:space="0" w:color="auto"/>
        <w:right w:val="none" w:sz="0" w:space="0" w:color="auto"/>
      </w:divBdr>
    </w:div>
    <w:div w:id="784428120">
      <w:bodyDiv w:val="1"/>
      <w:marLeft w:val="0"/>
      <w:marRight w:val="0"/>
      <w:marTop w:val="0"/>
      <w:marBottom w:val="0"/>
      <w:divBdr>
        <w:top w:val="none" w:sz="0" w:space="0" w:color="auto"/>
        <w:left w:val="none" w:sz="0" w:space="0" w:color="auto"/>
        <w:bottom w:val="none" w:sz="0" w:space="0" w:color="auto"/>
        <w:right w:val="none" w:sz="0" w:space="0" w:color="auto"/>
      </w:divBdr>
    </w:div>
    <w:div w:id="785540788">
      <w:bodyDiv w:val="1"/>
      <w:marLeft w:val="0"/>
      <w:marRight w:val="0"/>
      <w:marTop w:val="0"/>
      <w:marBottom w:val="0"/>
      <w:divBdr>
        <w:top w:val="none" w:sz="0" w:space="0" w:color="auto"/>
        <w:left w:val="none" w:sz="0" w:space="0" w:color="auto"/>
        <w:bottom w:val="none" w:sz="0" w:space="0" w:color="auto"/>
        <w:right w:val="none" w:sz="0" w:space="0" w:color="auto"/>
      </w:divBdr>
    </w:div>
    <w:div w:id="791168687">
      <w:bodyDiv w:val="1"/>
      <w:marLeft w:val="0"/>
      <w:marRight w:val="0"/>
      <w:marTop w:val="0"/>
      <w:marBottom w:val="0"/>
      <w:divBdr>
        <w:top w:val="none" w:sz="0" w:space="0" w:color="auto"/>
        <w:left w:val="none" w:sz="0" w:space="0" w:color="auto"/>
        <w:bottom w:val="none" w:sz="0" w:space="0" w:color="auto"/>
        <w:right w:val="none" w:sz="0" w:space="0" w:color="auto"/>
      </w:divBdr>
    </w:div>
    <w:div w:id="792485625">
      <w:bodyDiv w:val="1"/>
      <w:marLeft w:val="0"/>
      <w:marRight w:val="0"/>
      <w:marTop w:val="0"/>
      <w:marBottom w:val="0"/>
      <w:divBdr>
        <w:top w:val="none" w:sz="0" w:space="0" w:color="auto"/>
        <w:left w:val="none" w:sz="0" w:space="0" w:color="auto"/>
        <w:bottom w:val="none" w:sz="0" w:space="0" w:color="auto"/>
        <w:right w:val="none" w:sz="0" w:space="0" w:color="auto"/>
      </w:divBdr>
    </w:div>
    <w:div w:id="805272262">
      <w:bodyDiv w:val="1"/>
      <w:marLeft w:val="0"/>
      <w:marRight w:val="0"/>
      <w:marTop w:val="0"/>
      <w:marBottom w:val="0"/>
      <w:divBdr>
        <w:top w:val="none" w:sz="0" w:space="0" w:color="auto"/>
        <w:left w:val="none" w:sz="0" w:space="0" w:color="auto"/>
        <w:bottom w:val="none" w:sz="0" w:space="0" w:color="auto"/>
        <w:right w:val="none" w:sz="0" w:space="0" w:color="auto"/>
      </w:divBdr>
    </w:div>
    <w:div w:id="861239868">
      <w:bodyDiv w:val="1"/>
      <w:marLeft w:val="0"/>
      <w:marRight w:val="0"/>
      <w:marTop w:val="0"/>
      <w:marBottom w:val="0"/>
      <w:divBdr>
        <w:top w:val="none" w:sz="0" w:space="0" w:color="auto"/>
        <w:left w:val="none" w:sz="0" w:space="0" w:color="auto"/>
        <w:bottom w:val="none" w:sz="0" w:space="0" w:color="auto"/>
        <w:right w:val="none" w:sz="0" w:space="0" w:color="auto"/>
      </w:divBdr>
    </w:div>
    <w:div w:id="867059928">
      <w:bodyDiv w:val="1"/>
      <w:marLeft w:val="0"/>
      <w:marRight w:val="0"/>
      <w:marTop w:val="0"/>
      <w:marBottom w:val="0"/>
      <w:divBdr>
        <w:top w:val="none" w:sz="0" w:space="0" w:color="auto"/>
        <w:left w:val="none" w:sz="0" w:space="0" w:color="auto"/>
        <w:bottom w:val="none" w:sz="0" w:space="0" w:color="auto"/>
        <w:right w:val="none" w:sz="0" w:space="0" w:color="auto"/>
      </w:divBdr>
    </w:div>
    <w:div w:id="869949903">
      <w:bodyDiv w:val="1"/>
      <w:marLeft w:val="0"/>
      <w:marRight w:val="0"/>
      <w:marTop w:val="0"/>
      <w:marBottom w:val="0"/>
      <w:divBdr>
        <w:top w:val="none" w:sz="0" w:space="0" w:color="auto"/>
        <w:left w:val="none" w:sz="0" w:space="0" w:color="auto"/>
        <w:bottom w:val="none" w:sz="0" w:space="0" w:color="auto"/>
        <w:right w:val="none" w:sz="0" w:space="0" w:color="auto"/>
      </w:divBdr>
    </w:div>
    <w:div w:id="878905622">
      <w:bodyDiv w:val="1"/>
      <w:marLeft w:val="0"/>
      <w:marRight w:val="0"/>
      <w:marTop w:val="0"/>
      <w:marBottom w:val="0"/>
      <w:divBdr>
        <w:top w:val="none" w:sz="0" w:space="0" w:color="auto"/>
        <w:left w:val="none" w:sz="0" w:space="0" w:color="auto"/>
        <w:bottom w:val="none" w:sz="0" w:space="0" w:color="auto"/>
        <w:right w:val="none" w:sz="0" w:space="0" w:color="auto"/>
      </w:divBdr>
    </w:div>
    <w:div w:id="880173095">
      <w:bodyDiv w:val="1"/>
      <w:marLeft w:val="0"/>
      <w:marRight w:val="0"/>
      <w:marTop w:val="0"/>
      <w:marBottom w:val="0"/>
      <w:divBdr>
        <w:top w:val="none" w:sz="0" w:space="0" w:color="auto"/>
        <w:left w:val="none" w:sz="0" w:space="0" w:color="auto"/>
        <w:bottom w:val="none" w:sz="0" w:space="0" w:color="auto"/>
        <w:right w:val="none" w:sz="0" w:space="0" w:color="auto"/>
      </w:divBdr>
    </w:div>
    <w:div w:id="893464201">
      <w:bodyDiv w:val="1"/>
      <w:marLeft w:val="0"/>
      <w:marRight w:val="0"/>
      <w:marTop w:val="0"/>
      <w:marBottom w:val="0"/>
      <w:divBdr>
        <w:top w:val="none" w:sz="0" w:space="0" w:color="auto"/>
        <w:left w:val="none" w:sz="0" w:space="0" w:color="auto"/>
        <w:bottom w:val="none" w:sz="0" w:space="0" w:color="auto"/>
        <w:right w:val="none" w:sz="0" w:space="0" w:color="auto"/>
      </w:divBdr>
    </w:div>
    <w:div w:id="895697460">
      <w:bodyDiv w:val="1"/>
      <w:marLeft w:val="0"/>
      <w:marRight w:val="0"/>
      <w:marTop w:val="0"/>
      <w:marBottom w:val="0"/>
      <w:divBdr>
        <w:top w:val="none" w:sz="0" w:space="0" w:color="auto"/>
        <w:left w:val="none" w:sz="0" w:space="0" w:color="auto"/>
        <w:bottom w:val="none" w:sz="0" w:space="0" w:color="auto"/>
        <w:right w:val="none" w:sz="0" w:space="0" w:color="auto"/>
      </w:divBdr>
    </w:div>
    <w:div w:id="897782455">
      <w:bodyDiv w:val="1"/>
      <w:marLeft w:val="0"/>
      <w:marRight w:val="0"/>
      <w:marTop w:val="0"/>
      <w:marBottom w:val="0"/>
      <w:divBdr>
        <w:top w:val="none" w:sz="0" w:space="0" w:color="auto"/>
        <w:left w:val="none" w:sz="0" w:space="0" w:color="auto"/>
        <w:bottom w:val="none" w:sz="0" w:space="0" w:color="auto"/>
        <w:right w:val="none" w:sz="0" w:space="0" w:color="auto"/>
      </w:divBdr>
    </w:div>
    <w:div w:id="904099820">
      <w:bodyDiv w:val="1"/>
      <w:marLeft w:val="0"/>
      <w:marRight w:val="0"/>
      <w:marTop w:val="0"/>
      <w:marBottom w:val="0"/>
      <w:divBdr>
        <w:top w:val="none" w:sz="0" w:space="0" w:color="auto"/>
        <w:left w:val="none" w:sz="0" w:space="0" w:color="auto"/>
        <w:bottom w:val="none" w:sz="0" w:space="0" w:color="auto"/>
        <w:right w:val="none" w:sz="0" w:space="0" w:color="auto"/>
      </w:divBdr>
    </w:div>
    <w:div w:id="906498495">
      <w:bodyDiv w:val="1"/>
      <w:marLeft w:val="0"/>
      <w:marRight w:val="0"/>
      <w:marTop w:val="0"/>
      <w:marBottom w:val="0"/>
      <w:divBdr>
        <w:top w:val="none" w:sz="0" w:space="0" w:color="auto"/>
        <w:left w:val="none" w:sz="0" w:space="0" w:color="auto"/>
        <w:bottom w:val="none" w:sz="0" w:space="0" w:color="auto"/>
        <w:right w:val="none" w:sz="0" w:space="0" w:color="auto"/>
      </w:divBdr>
    </w:div>
    <w:div w:id="911238327">
      <w:bodyDiv w:val="1"/>
      <w:marLeft w:val="0"/>
      <w:marRight w:val="0"/>
      <w:marTop w:val="0"/>
      <w:marBottom w:val="0"/>
      <w:divBdr>
        <w:top w:val="none" w:sz="0" w:space="0" w:color="auto"/>
        <w:left w:val="none" w:sz="0" w:space="0" w:color="auto"/>
        <w:bottom w:val="none" w:sz="0" w:space="0" w:color="auto"/>
        <w:right w:val="none" w:sz="0" w:space="0" w:color="auto"/>
      </w:divBdr>
    </w:div>
    <w:div w:id="928973277">
      <w:bodyDiv w:val="1"/>
      <w:marLeft w:val="0"/>
      <w:marRight w:val="0"/>
      <w:marTop w:val="0"/>
      <w:marBottom w:val="0"/>
      <w:divBdr>
        <w:top w:val="none" w:sz="0" w:space="0" w:color="auto"/>
        <w:left w:val="none" w:sz="0" w:space="0" w:color="auto"/>
        <w:bottom w:val="none" w:sz="0" w:space="0" w:color="auto"/>
        <w:right w:val="none" w:sz="0" w:space="0" w:color="auto"/>
      </w:divBdr>
    </w:div>
    <w:div w:id="930821535">
      <w:bodyDiv w:val="1"/>
      <w:marLeft w:val="0"/>
      <w:marRight w:val="0"/>
      <w:marTop w:val="0"/>
      <w:marBottom w:val="0"/>
      <w:divBdr>
        <w:top w:val="none" w:sz="0" w:space="0" w:color="auto"/>
        <w:left w:val="none" w:sz="0" w:space="0" w:color="auto"/>
        <w:bottom w:val="none" w:sz="0" w:space="0" w:color="auto"/>
        <w:right w:val="none" w:sz="0" w:space="0" w:color="auto"/>
      </w:divBdr>
    </w:div>
    <w:div w:id="944582957">
      <w:bodyDiv w:val="1"/>
      <w:marLeft w:val="0"/>
      <w:marRight w:val="0"/>
      <w:marTop w:val="0"/>
      <w:marBottom w:val="0"/>
      <w:divBdr>
        <w:top w:val="none" w:sz="0" w:space="0" w:color="auto"/>
        <w:left w:val="none" w:sz="0" w:space="0" w:color="auto"/>
        <w:bottom w:val="none" w:sz="0" w:space="0" w:color="auto"/>
        <w:right w:val="none" w:sz="0" w:space="0" w:color="auto"/>
      </w:divBdr>
    </w:div>
    <w:div w:id="964458521">
      <w:bodyDiv w:val="1"/>
      <w:marLeft w:val="0"/>
      <w:marRight w:val="0"/>
      <w:marTop w:val="0"/>
      <w:marBottom w:val="0"/>
      <w:divBdr>
        <w:top w:val="none" w:sz="0" w:space="0" w:color="auto"/>
        <w:left w:val="none" w:sz="0" w:space="0" w:color="auto"/>
        <w:bottom w:val="none" w:sz="0" w:space="0" w:color="auto"/>
        <w:right w:val="none" w:sz="0" w:space="0" w:color="auto"/>
      </w:divBdr>
    </w:div>
    <w:div w:id="964507433">
      <w:bodyDiv w:val="1"/>
      <w:marLeft w:val="0"/>
      <w:marRight w:val="0"/>
      <w:marTop w:val="0"/>
      <w:marBottom w:val="0"/>
      <w:divBdr>
        <w:top w:val="none" w:sz="0" w:space="0" w:color="auto"/>
        <w:left w:val="none" w:sz="0" w:space="0" w:color="auto"/>
        <w:bottom w:val="none" w:sz="0" w:space="0" w:color="auto"/>
        <w:right w:val="none" w:sz="0" w:space="0" w:color="auto"/>
      </w:divBdr>
    </w:div>
    <w:div w:id="971441786">
      <w:bodyDiv w:val="1"/>
      <w:marLeft w:val="0"/>
      <w:marRight w:val="0"/>
      <w:marTop w:val="0"/>
      <w:marBottom w:val="0"/>
      <w:divBdr>
        <w:top w:val="none" w:sz="0" w:space="0" w:color="auto"/>
        <w:left w:val="none" w:sz="0" w:space="0" w:color="auto"/>
        <w:bottom w:val="none" w:sz="0" w:space="0" w:color="auto"/>
        <w:right w:val="none" w:sz="0" w:space="0" w:color="auto"/>
      </w:divBdr>
    </w:div>
    <w:div w:id="973022408">
      <w:bodyDiv w:val="1"/>
      <w:marLeft w:val="0"/>
      <w:marRight w:val="0"/>
      <w:marTop w:val="0"/>
      <w:marBottom w:val="0"/>
      <w:divBdr>
        <w:top w:val="none" w:sz="0" w:space="0" w:color="auto"/>
        <w:left w:val="none" w:sz="0" w:space="0" w:color="auto"/>
        <w:bottom w:val="none" w:sz="0" w:space="0" w:color="auto"/>
        <w:right w:val="none" w:sz="0" w:space="0" w:color="auto"/>
      </w:divBdr>
    </w:div>
    <w:div w:id="974724094">
      <w:bodyDiv w:val="1"/>
      <w:marLeft w:val="0"/>
      <w:marRight w:val="0"/>
      <w:marTop w:val="0"/>
      <w:marBottom w:val="0"/>
      <w:divBdr>
        <w:top w:val="none" w:sz="0" w:space="0" w:color="auto"/>
        <w:left w:val="none" w:sz="0" w:space="0" w:color="auto"/>
        <w:bottom w:val="none" w:sz="0" w:space="0" w:color="auto"/>
        <w:right w:val="none" w:sz="0" w:space="0" w:color="auto"/>
      </w:divBdr>
    </w:div>
    <w:div w:id="989481547">
      <w:bodyDiv w:val="1"/>
      <w:marLeft w:val="0"/>
      <w:marRight w:val="0"/>
      <w:marTop w:val="0"/>
      <w:marBottom w:val="0"/>
      <w:divBdr>
        <w:top w:val="none" w:sz="0" w:space="0" w:color="auto"/>
        <w:left w:val="none" w:sz="0" w:space="0" w:color="auto"/>
        <w:bottom w:val="none" w:sz="0" w:space="0" w:color="auto"/>
        <w:right w:val="none" w:sz="0" w:space="0" w:color="auto"/>
      </w:divBdr>
    </w:div>
    <w:div w:id="989555462">
      <w:bodyDiv w:val="1"/>
      <w:marLeft w:val="0"/>
      <w:marRight w:val="0"/>
      <w:marTop w:val="0"/>
      <w:marBottom w:val="0"/>
      <w:divBdr>
        <w:top w:val="none" w:sz="0" w:space="0" w:color="auto"/>
        <w:left w:val="none" w:sz="0" w:space="0" w:color="auto"/>
        <w:bottom w:val="none" w:sz="0" w:space="0" w:color="auto"/>
        <w:right w:val="none" w:sz="0" w:space="0" w:color="auto"/>
      </w:divBdr>
    </w:div>
    <w:div w:id="1005009807">
      <w:bodyDiv w:val="1"/>
      <w:marLeft w:val="0"/>
      <w:marRight w:val="0"/>
      <w:marTop w:val="0"/>
      <w:marBottom w:val="0"/>
      <w:divBdr>
        <w:top w:val="none" w:sz="0" w:space="0" w:color="auto"/>
        <w:left w:val="none" w:sz="0" w:space="0" w:color="auto"/>
        <w:bottom w:val="none" w:sz="0" w:space="0" w:color="auto"/>
        <w:right w:val="none" w:sz="0" w:space="0" w:color="auto"/>
      </w:divBdr>
    </w:div>
    <w:div w:id="1008869473">
      <w:bodyDiv w:val="1"/>
      <w:marLeft w:val="0"/>
      <w:marRight w:val="0"/>
      <w:marTop w:val="0"/>
      <w:marBottom w:val="0"/>
      <w:divBdr>
        <w:top w:val="none" w:sz="0" w:space="0" w:color="auto"/>
        <w:left w:val="none" w:sz="0" w:space="0" w:color="auto"/>
        <w:bottom w:val="none" w:sz="0" w:space="0" w:color="auto"/>
        <w:right w:val="none" w:sz="0" w:space="0" w:color="auto"/>
      </w:divBdr>
    </w:div>
    <w:div w:id="1014259945">
      <w:bodyDiv w:val="1"/>
      <w:marLeft w:val="0"/>
      <w:marRight w:val="0"/>
      <w:marTop w:val="0"/>
      <w:marBottom w:val="0"/>
      <w:divBdr>
        <w:top w:val="none" w:sz="0" w:space="0" w:color="auto"/>
        <w:left w:val="none" w:sz="0" w:space="0" w:color="auto"/>
        <w:bottom w:val="none" w:sz="0" w:space="0" w:color="auto"/>
        <w:right w:val="none" w:sz="0" w:space="0" w:color="auto"/>
      </w:divBdr>
    </w:div>
    <w:div w:id="1021324974">
      <w:bodyDiv w:val="1"/>
      <w:marLeft w:val="0"/>
      <w:marRight w:val="0"/>
      <w:marTop w:val="0"/>
      <w:marBottom w:val="0"/>
      <w:divBdr>
        <w:top w:val="none" w:sz="0" w:space="0" w:color="auto"/>
        <w:left w:val="none" w:sz="0" w:space="0" w:color="auto"/>
        <w:bottom w:val="none" w:sz="0" w:space="0" w:color="auto"/>
        <w:right w:val="none" w:sz="0" w:space="0" w:color="auto"/>
      </w:divBdr>
    </w:div>
    <w:div w:id="1021859556">
      <w:bodyDiv w:val="1"/>
      <w:marLeft w:val="0"/>
      <w:marRight w:val="0"/>
      <w:marTop w:val="0"/>
      <w:marBottom w:val="0"/>
      <w:divBdr>
        <w:top w:val="none" w:sz="0" w:space="0" w:color="auto"/>
        <w:left w:val="none" w:sz="0" w:space="0" w:color="auto"/>
        <w:bottom w:val="none" w:sz="0" w:space="0" w:color="auto"/>
        <w:right w:val="none" w:sz="0" w:space="0" w:color="auto"/>
      </w:divBdr>
    </w:div>
    <w:div w:id="1036587548">
      <w:bodyDiv w:val="1"/>
      <w:marLeft w:val="0"/>
      <w:marRight w:val="0"/>
      <w:marTop w:val="0"/>
      <w:marBottom w:val="0"/>
      <w:divBdr>
        <w:top w:val="none" w:sz="0" w:space="0" w:color="auto"/>
        <w:left w:val="none" w:sz="0" w:space="0" w:color="auto"/>
        <w:bottom w:val="none" w:sz="0" w:space="0" w:color="auto"/>
        <w:right w:val="none" w:sz="0" w:space="0" w:color="auto"/>
      </w:divBdr>
    </w:div>
    <w:div w:id="1053196064">
      <w:bodyDiv w:val="1"/>
      <w:marLeft w:val="0"/>
      <w:marRight w:val="0"/>
      <w:marTop w:val="0"/>
      <w:marBottom w:val="0"/>
      <w:divBdr>
        <w:top w:val="none" w:sz="0" w:space="0" w:color="auto"/>
        <w:left w:val="none" w:sz="0" w:space="0" w:color="auto"/>
        <w:bottom w:val="none" w:sz="0" w:space="0" w:color="auto"/>
        <w:right w:val="none" w:sz="0" w:space="0" w:color="auto"/>
      </w:divBdr>
    </w:div>
    <w:div w:id="1062217287">
      <w:bodyDiv w:val="1"/>
      <w:marLeft w:val="0"/>
      <w:marRight w:val="0"/>
      <w:marTop w:val="0"/>
      <w:marBottom w:val="0"/>
      <w:divBdr>
        <w:top w:val="none" w:sz="0" w:space="0" w:color="auto"/>
        <w:left w:val="none" w:sz="0" w:space="0" w:color="auto"/>
        <w:bottom w:val="none" w:sz="0" w:space="0" w:color="auto"/>
        <w:right w:val="none" w:sz="0" w:space="0" w:color="auto"/>
      </w:divBdr>
    </w:div>
    <w:div w:id="1068766504">
      <w:bodyDiv w:val="1"/>
      <w:marLeft w:val="0"/>
      <w:marRight w:val="0"/>
      <w:marTop w:val="0"/>
      <w:marBottom w:val="0"/>
      <w:divBdr>
        <w:top w:val="none" w:sz="0" w:space="0" w:color="auto"/>
        <w:left w:val="none" w:sz="0" w:space="0" w:color="auto"/>
        <w:bottom w:val="none" w:sz="0" w:space="0" w:color="auto"/>
        <w:right w:val="none" w:sz="0" w:space="0" w:color="auto"/>
      </w:divBdr>
    </w:div>
    <w:div w:id="1084304126">
      <w:bodyDiv w:val="1"/>
      <w:marLeft w:val="0"/>
      <w:marRight w:val="0"/>
      <w:marTop w:val="0"/>
      <w:marBottom w:val="0"/>
      <w:divBdr>
        <w:top w:val="none" w:sz="0" w:space="0" w:color="auto"/>
        <w:left w:val="none" w:sz="0" w:space="0" w:color="auto"/>
        <w:bottom w:val="none" w:sz="0" w:space="0" w:color="auto"/>
        <w:right w:val="none" w:sz="0" w:space="0" w:color="auto"/>
      </w:divBdr>
    </w:div>
    <w:div w:id="1085422417">
      <w:bodyDiv w:val="1"/>
      <w:marLeft w:val="0"/>
      <w:marRight w:val="0"/>
      <w:marTop w:val="0"/>
      <w:marBottom w:val="0"/>
      <w:divBdr>
        <w:top w:val="none" w:sz="0" w:space="0" w:color="auto"/>
        <w:left w:val="none" w:sz="0" w:space="0" w:color="auto"/>
        <w:bottom w:val="none" w:sz="0" w:space="0" w:color="auto"/>
        <w:right w:val="none" w:sz="0" w:space="0" w:color="auto"/>
      </w:divBdr>
    </w:div>
    <w:div w:id="1114399661">
      <w:bodyDiv w:val="1"/>
      <w:marLeft w:val="0"/>
      <w:marRight w:val="0"/>
      <w:marTop w:val="0"/>
      <w:marBottom w:val="0"/>
      <w:divBdr>
        <w:top w:val="none" w:sz="0" w:space="0" w:color="auto"/>
        <w:left w:val="none" w:sz="0" w:space="0" w:color="auto"/>
        <w:bottom w:val="none" w:sz="0" w:space="0" w:color="auto"/>
        <w:right w:val="none" w:sz="0" w:space="0" w:color="auto"/>
      </w:divBdr>
    </w:div>
    <w:div w:id="1129401397">
      <w:bodyDiv w:val="1"/>
      <w:marLeft w:val="0"/>
      <w:marRight w:val="0"/>
      <w:marTop w:val="0"/>
      <w:marBottom w:val="0"/>
      <w:divBdr>
        <w:top w:val="none" w:sz="0" w:space="0" w:color="auto"/>
        <w:left w:val="none" w:sz="0" w:space="0" w:color="auto"/>
        <w:bottom w:val="none" w:sz="0" w:space="0" w:color="auto"/>
        <w:right w:val="none" w:sz="0" w:space="0" w:color="auto"/>
      </w:divBdr>
    </w:div>
    <w:div w:id="1137605200">
      <w:bodyDiv w:val="1"/>
      <w:marLeft w:val="0"/>
      <w:marRight w:val="0"/>
      <w:marTop w:val="0"/>
      <w:marBottom w:val="0"/>
      <w:divBdr>
        <w:top w:val="none" w:sz="0" w:space="0" w:color="auto"/>
        <w:left w:val="none" w:sz="0" w:space="0" w:color="auto"/>
        <w:bottom w:val="none" w:sz="0" w:space="0" w:color="auto"/>
        <w:right w:val="none" w:sz="0" w:space="0" w:color="auto"/>
      </w:divBdr>
    </w:div>
    <w:div w:id="1138761543">
      <w:bodyDiv w:val="1"/>
      <w:marLeft w:val="0"/>
      <w:marRight w:val="0"/>
      <w:marTop w:val="0"/>
      <w:marBottom w:val="0"/>
      <w:divBdr>
        <w:top w:val="none" w:sz="0" w:space="0" w:color="auto"/>
        <w:left w:val="none" w:sz="0" w:space="0" w:color="auto"/>
        <w:bottom w:val="none" w:sz="0" w:space="0" w:color="auto"/>
        <w:right w:val="none" w:sz="0" w:space="0" w:color="auto"/>
      </w:divBdr>
    </w:div>
    <w:div w:id="1138956467">
      <w:bodyDiv w:val="1"/>
      <w:marLeft w:val="0"/>
      <w:marRight w:val="0"/>
      <w:marTop w:val="0"/>
      <w:marBottom w:val="0"/>
      <w:divBdr>
        <w:top w:val="none" w:sz="0" w:space="0" w:color="auto"/>
        <w:left w:val="none" w:sz="0" w:space="0" w:color="auto"/>
        <w:bottom w:val="none" w:sz="0" w:space="0" w:color="auto"/>
        <w:right w:val="none" w:sz="0" w:space="0" w:color="auto"/>
      </w:divBdr>
    </w:div>
    <w:div w:id="1143041789">
      <w:bodyDiv w:val="1"/>
      <w:marLeft w:val="0"/>
      <w:marRight w:val="0"/>
      <w:marTop w:val="0"/>
      <w:marBottom w:val="0"/>
      <w:divBdr>
        <w:top w:val="none" w:sz="0" w:space="0" w:color="auto"/>
        <w:left w:val="none" w:sz="0" w:space="0" w:color="auto"/>
        <w:bottom w:val="none" w:sz="0" w:space="0" w:color="auto"/>
        <w:right w:val="none" w:sz="0" w:space="0" w:color="auto"/>
      </w:divBdr>
    </w:div>
    <w:div w:id="1155410376">
      <w:bodyDiv w:val="1"/>
      <w:marLeft w:val="0"/>
      <w:marRight w:val="0"/>
      <w:marTop w:val="0"/>
      <w:marBottom w:val="0"/>
      <w:divBdr>
        <w:top w:val="none" w:sz="0" w:space="0" w:color="auto"/>
        <w:left w:val="none" w:sz="0" w:space="0" w:color="auto"/>
        <w:bottom w:val="none" w:sz="0" w:space="0" w:color="auto"/>
        <w:right w:val="none" w:sz="0" w:space="0" w:color="auto"/>
      </w:divBdr>
    </w:div>
    <w:div w:id="1179537350">
      <w:bodyDiv w:val="1"/>
      <w:marLeft w:val="0"/>
      <w:marRight w:val="0"/>
      <w:marTop w:val="0"/>
      <w:marBottom w:val="0"/>
      <w:divBdr>
        <w:top w:val="none" w:sz="0" w:space="0" w:color="auto"/>
        <w:left w:val="none" w:sz="0" w:space="0" w:color="auto"/>
        <w:bottom w:val="none" w:sz="0" w:space="0" w:color="auto"/>
        <w:right w:val="none" w:sz="0" w:space="0" w:color="auto"/>
      </w:divBdr>
    </w:div>
    <w:div w:id="1190220513">
      <w:bodyDiv w:val="1"/>
      <w:marLeft w:val="0"/>
      <w:marRight w:val="0"/>
      <w:marTop w:val="0"/>
      <w:marBottom w:val="0"/>
      <w:divBdr>
        <w:top w:val="none" w:sz="0" w:space="0" w:color="auto"/>
        <w:left w:val="none" w:sz="0" w:space="0" w:color="auto"/>
        <w:bottom w:val="none" w:sz="0" w:space="0" w:color="auto"/>
        <w:right w:val="none" w:sz="0" w:space="0" w:color="auto"/>
      </w:divBdr>
    </w:div>
    <w:div w:id="1202595431">
      <w:bodyDiv w:val="1"/>
      <w:marLeft w:val="0"/>
      <w:marRight w:val="0"/>
      <w:marTop w:val="0"/>
      <w:marBottom w:val="0"/>
      <w:divBdr>
        <w:top w:val="none" w:sz="0" w:space="0" w:color="auto"/>
        <w:left w:val="none" w:sz="0" w:space="0" w:color="auto"/>
        <w:bottom w:val="none" w:sz="0" w:space="0" w:color="auto"/>
        <w:right w:val="none" w:sz="0" w:space="0" w:color="auto"/>
      </w:divBdr>
    </w:div>
    <w:div w:id="1221138769">
      <w:bodyDiv w:val="1"/>
      <w:marLeft w:val="0"/>
      <w:marRight w:val="0"/>
      <w:marTop w:val="0"/>
      <w:marBottom w:val="0"/>
      <w:divBdr>
        <w:top w:val="none" w:sz="0" w:space="0" w:color="auto"/>
        <w:left w:val="none" w:sz="0" w:space="0" w:color="auto"/>
        <w:bottom w:val="none" w:sz="0" w:space="0" w:color="auto"/>
        <w:right w:val="none" w:sz="0" w:space="0" w:color="auto"/>
      </w:divBdr>
    </w:div>
    <w:div w:id="1221206557">
      <w:bodyDiv w:val="1"/>
      <w:marLeft w:val="0"/>
      <w:marRight w:val="0"/>
      <w:marTop w:val="0"/>
      <w:marBottom w:val="0"/>
      <w:divBdr>
        <w:top w:val="none" w:sz="0" w:space="0" w:color="auto"/>
        <w:left w:val="none" w:sz="0" w:space="0" w:color="auto"/>
        <w:bottom w:val="none" w:sz="0" w:space="0" w:color="auto"/>
        <w:right w:val="none" w:sz="0" w:space="0" w:color="auto"/>
      </w:divBdr>
    </w:div>
    <w:div w:id="1237321548">
      <w:bodyDiv w:val="1"/>
      <w:marLeft w:val="0"/>
      <w:marRight w:val="0"/>
      <w:marTop w:val="0"/>
      <w:marBottom w:val="0"/>
      <w:divBdr>
        <w:top w:val="none" w:sz="0" w:space="0" w:color="auto"/>
        <w:left w:val="none" w:sz="0" w:space="0" w:color="auto"/>
        <w:bottom w:val="none" w:sz="0" w:space="0" w:color="auto"/>
        <w:right w:val="none" w:sz="0" w:space="0" w:color="auto"/>
      </w:divBdr>
    </w:div>
    <w:div w:id="1238592550">
      <w:bodyDiv w:val="1"/>
      <w:marLeft w:val="0"/>
      <w:marRight w:val="0"/>
      <w:marTop w:val="0"/>
      <w:marBottom w:val="0"/>
      <w:divBdr>
        <w:top w:val="none" w:sz="0" w:space="0" w:color="auto"/>
        <w:left w:val="none" w:sz="0" w:space="0" w:color="auto"/>
        <w:bottom w:val="none" w:sz="0" w:space="0" w:color="auto"/>
        <w:right w:val="none" w:sz="0" w:space="0" w:color="auto"/>
      </w:divBdr>
    </w:div>
    <w:div w:id="1239679768">
      <w:bodyDiv w:val="1"/>
      <w:marLeft w:val="0"/>
      <w:marRight w:val="0"/>
      <w:marTop w:val="0"/>
      <w:marBottom w:val="0"/>
      <w:divBdr>
        <w:top w:val="none" w:sz="0" w:space="0" w:color="auto"/>
        <w:left w:val="none" w:sz="0" w:space="0" w:color="auto"/>
        <w:bottom w:val="none" w:sz="0" w:space="0" w:color="auto"/>
        <w:right w:val="none" w:sz="0" w:space="0" w:color="auto"/>
      </w:divBdr>
    </w:div>
    <w:div w:id="1242835155">
      <w:bodyDiv w:val="1"/>
      <w:marLeft w:val="0"/>
      <w:marRight w:val="0"/>
      <w:marTop w:val="0"/>
      <w:marBottom w:val="0"/>
      <w:divBdr>
        <w:top w:val="none" w:sz="0" w:space="0" w:color="auto"/>
        <w:left w:val="none" w:sz="0" w:space="0" w:color="auto"/>
        <w:bottom w:val="none" w:sz="0" w:space="0" w:color="auto"/>
        <w:right w:val="none" w:sz="0" w:space="0" w:color="auto"/>
      </w:divBdr>
    </w:div>
    <w:div w:id="1244298665">
      <w:bodyDiv w:val="1"/>
      <w:marLeft w:val="0"/>
      <w:marRight w:val="0"/>
      <w:marTop w:val="0"/>
      <w:marBottom w:val="0"/>
      <w:divBdr>
        <w:top w:val="none" w:sz="0" w:space="0" w:color="auto"/>
        <w:left w:val="none" w:sz="0" w:space="0" w:color="auto"/>
        <w:bottom w:val="none" w:sz="0" w:space="0" w:color="auto"/>
        <w:right w:val="none" w:sz="0" w:space="0" w:color="auto"/>
      </w:divBdr>
    </w:div>
    <w:div w:id="1251625939">
      <w:bodyDiv w:val="1"/>
      <w:marLeft w:val="0"/>
      <w:marRight w:val="0"/>
      <w:marTop w:val="0"/>
      <w:marBottom w:val="0"/>
      <w:divBdr>
        <w:top w:val="none" w:sz="0" w:space="0" w:color="auto"/>
        <w:left w:val="none" w:sz="0" w:space="0" w:color="auto"/>
        <w:bottom w:val="none" w:sz="0" w:space="0" w:color="auto"/>
        <w:right w:val="none" w:sz="0" w:space="0" w:color="auto"/>
      </w:divBdr>
    </w:div>
    <w:div w:id="1259216823">
      <w:bodyDiv w:val="1"/>
      <w:marLeft w:val="0"/>
      <w:marRight w:val="0"/>
      <w:marTop w:val="0"/>
      <w:marBottom w:val="0"/>
      <w:divBdr>
        <w:top w:val="none" w:sz="0" w:space="0" w:color="auto"/>
        <w:left w:val="none" w:sz="0" w:space="0" w:color="auto"/>
        <w:bottom w:val="none" w:sz="0" w:space="0" w:color="auto"/>
        <w:right w:val="none" w:sz="0" w:space="0" w:color="auto"/>
      </w:divBdr>
    </w:div>
    <w:div w:id="1290042866">
      <w:bodyDiv w:val="1"/>
      <w:marLeft w:val="0"/>
      <w:marRight w:val="0"/>
      <w:marTop w:val="0"/>
      <w:marBottom w:val="0"/>
      <w:divBdr>
        <w:top w:val="none" w:sz="0" w:space="0" w:color="auto"/>
        <w:left w:val="none" w:sz="0" w:space="0" w:color="auto"/>
        <w:bottom w:val="none" w:sz="0" w:space="0" w:color="auto"/>
        <w:right w:val="none" w:sz="0" w:space="0" w:color="auto"/>
      </w:divBdr>
    </w:div>
    <w:div w:id="1290238904">
      <w:bodyDiv w:val="1"/>
      <w:marLeft w:val="0"/>
      <w:marRight w:val="0"/>
      <w:marTop w:val="0"/>
      <w:marBottom w:val="0"/>
      <w:divBdr>
        <w:top w:val="none" w:sz="0" w:space="0" w:color="auto"/>
        <w:left w:val="none" w:sz="0" w:space="0" w:color="auto"/>
        <w:bottom w:val="none" w:sz="0" w:space="0" w:color="auto"/>
        <w:right w:val="none" w:sz="0" w:space="0" w:color="auto"/>
      </w:divBdr>
    </w:div>
    <w:div w:id="1290744638">
      <w:bodyDiv w:val="1"/>
      <w:marLeft w:val="0"/>
      <w:marRight w:val="0"/>
      <w:marTop w:val="0"/>
      <w:marBottom w:val="0"/>
      <w:divBdr>
        <w:top w:val="none" w:sz="0" w:space="0" w:color="auto"/>
        <w:left w:val="none" w:sz="0" w:space="0" w:color="auto"/>
        <w:bottom w:val="none" w:sz="0" w:space="0" w:color="auto"/>
        <w:right w:val="none" w:sz="0" w:space="0" w:color="auto"/>
      </w:divBdr>
    </w:div>
    <w:div w:id="1292055216">
      <w:bodyDiv w:val="1"/>
      <w:marLeft w:val="0"/>
      <w:marRight w:val="0"/>
      <w:marTop w:val="0"/>
      <w:marBottom w:val="0"/>
      <w:divBdr>
        <w:top w:val="none" w:sz="0" w:space="0" w:color="auto"/>
        <w:left w:val="none" w:sz="0" w:space="0" w:color="auto"/>
        <w:bottom w:val="none" w:sz="0" w:space="0" w:color="auto"/>
        <w:right w:val="none" w:sz="0" w:space="0" w:color="auto"/>
      </w:divBdr>
    </w:div>
    <w:div w:id="1299456389">
      <w:bodyDiv w:val="1"/>
      <w:marLeft w:val="0"/>
      <w:marRight w:val="0"/>
      <w:marTop w:val="0"/>
      <w:marBottom w:val="0"/>
      <w:divBdr>
        <w:top w:val="none" w:sz="0" w:space="0" w:color="auto"/>
        <w:left w:val="none" w:sz="0" w:space="0" w:color="auto"/>
        <w:bottom w:val="none" w:sz="0" w:space="0" w:color="auto"/>
        <w:right w:val="none" w:sz="0" w:space="0" w:color="auto"/>
      </w:divBdr>
    </w:div>
    <w:div w:id="1312906193">
      <w:bodyDiv w:val="1"/>
      <w:marLeft w:val="0"/>
      <w:marRight w:val="0"/>
      <w:marTop w:val="0"/>
      <w:marBottom w:val="0"/>
      <w:divBdr>
        <w:top w:val="none" w:sz="0" w:space="0" w:color="auto"/>
        <w:left w:val="none" w:sz="0" w:space="0" w:color="auto"/>
        <w:bottom w:val="none" w:sz="0" w:space="0" w:color="auto"/>
        <w:right w:val="none" w:sz="0" w:space="0" w:color="auto"/>
      </w:divBdr>
      <w:divsChild>
        <w:div w:id="711736997">
          <w:marLeft w:val="547"/>
          <w:marRight w:val="0"/>
          <w:marTop w:val="154"/>
          <w:marBottom w:val="0"/>
          <w:divBdr>
            <w:top w:val="none" w:sz="0" w:space="0" w:color="auto"/>
            <w:left w:val="none" w:sz="0" w:space="0" w:color="auto"/>
            <w:bottom w:val="none" w:sz="0" w:space="0" w:color="auto"/>
            <w:right w:val="none" w:sz="0" w:space="0" w:color="auto"/>
          </w:divBdr>
        </w:div>
        <w:div w:id="252009997">
          <w:marLeft w:val="547"/>
          <w:marRight w:val="0"/>
          <w:marTop w:val="154"/>
          <w:marBottom w:val="0"/>
          <w:divBdr>
            <w:top w:val="none" w:sz="0" w:space="0" w:color="auto"/>
            <w:left w:val="none" w:sz="0" w:space="0" w:color="auto"/>
            <w:bottom w:val="none" w:sz="0" w:space="0" w:color="auto"/>
            <w:right w:val="none" w:sz="0" w:space="0" w:color="auto"/>
          </w:divBdr>
        </w:div>
        <w:div w:id="1875995124">
          <w:marLeft w:val="547"/>
          <w:marRight w:val="0"/>
          <w:marTop w:val="154"/>
          <w:marBottom w:val="0"/>
          <w:divBdr>
            <w:top w:val="none" w:sz="0" w:space="0" w:color="auto"/>
            <w:left w:val="none" w:sz="0" w:space="0" w:color="auto"/>
            <w:bottom w:val="none" w:sz="0" w:space="0" w:color="auto"/>
            <w:right w:val="none" w:sz="0" w:space="0" w:color="auto"/>
          </w:divBdr>
        </w:div>
      </w:divsChild>
    </w:div>
    <w:div w:id="1318416551">
      <w:bodyDiv w:val="1"/>
      <w:marLeft w:val="0"/>
      <w:marRight w:val="0"/>
      <w:marTop w:val="0"/>
      <w:marBottom w:val="0"/>
      <w:divBdr>
        <w:top w:val="none" w:sz="0" w:space="0" w:color="auto"/>
        <w:left w:val="none" w:sz="0" w:space="0" w:color="auto"/>
        <w:bottom w:val="none" w:sz="0" w:space="0" w:color="auto"/>
        <w:right w:val="none" w:sz="0" w:space="0" w:color="auto"/>
      </w:divBdr>
    </w:div>
    <w:div w:id="1328367305">
      <w:bodyDiv w:val="1"/>
      <w:marLeft w:val="0"/>
      <w:marRight w:val="0"/>
      <w:marTop w:val="0"/>
      <w:marBottom w:val="0"/>
      <w:divBdr>
        <w:top w:val="none" w:sz="0" w:space="0" w:color="auto"/>
        <w:left w:val="none" w:sz="0" w:space="0" w:color="auto"/>
        <w:bottom w:val="none" w:sz="0" w:space="0" w:color="auto"/>
        <w:right w:val="none" w:sz="0" w:space="0" w:color="auto"/>
      </w:divBdr>
    </w:div>
    <w:div w:id="1381368276">
      <w:bodyDiv w:val="1"/>
      <w:marLeft w:val="0"/>
      <w:marRight w:val="0"/>
      <w:marTop w:val="0"/>
      <w:marBottom w:val="0"/>
      <w:divBdr>
        <w:top w:val="none" w:sz="0" w:space="0" w:color="auto"/>
        <w:left w:val="none" w:sz="0" w:space="0" w:color="auto"/>
        <w:bottom w:val="none" w:sz="0" w:space="0" w:color="auto"/>
        <w:right w:val="none" w:sz="0" w:space="0" w:color="auto"/>
      </w:divBdr>
    </w:div>
    <w:div w:id="1394087340">
      <w:bodyDiv w:val="1"/>
      <w:marLeft w:val="0"/>
      <w:marRight w:val="0"/>
      <w:marTop w:val="0"/>
      <w:marBottom w:val="0"/>
      <w:divBdr>
        <w:top w:val="none" w:sz="0" w:space="0" w:color="auto"/>
        <w:left w:val="none" w:sz="0" w:space="0" w:color="auto"/>
        <w:bottom w:val="none" w:sz="0" w:space="0" w:color="auto"/>
        <w:right w:val="none" w:sz="0" w:space="0" w:color="auto"/>
      </w:divBdr>
    </w:div>
    <w:div w:id="1401635562">
      <w:bodyDiv w:val="1"/>
      <w:marLeft w:val="0"/>
      <w:marRight w:val="0"/>
      <w:marTop w:val="0"/>
      <w:marBottom w:val="0"/>
      <w:divBdr>
        <w:top w:val="none" w:sz="0" w:space="0" w:color="auto"/>
        <w:left w:val="none" w:sz="0" w:space="0" w:color="auto"/>
        <w:bottom w:val="none" w:sz="0" w:space="0" w:color="auto"/>
        <w:right w:val="none" w:sz="0" w:space="0" w:color="auto"/>
      </w:divBdr>
    </w:div>
    <w:div w:id="1425345824">
      <w:bodyDiv w:val="1"/>
      <w:marLeft w:val="0"/>
      <w:marRight w:val="0"/>
      <w:marTop w:val="0"/>
      <w:marBottom w:val="0"/>
      <w:divBdr>
        <w:top w:val="none" w:sz="0" w:space="0" w:color="auto"/>
        <w:left w:val="none" w:sz="0" w:space="0" w:color="auto"/>
        <w:bottom w:val="none" w:sz="0" w:space="0" w:color="auto"/>
        <w:right w:val="none" w:sz="0" w:space="0" w:color="auto"/>
      </w:divBdr>
    </w:div>
    <w:div w:id="1456800250">
      <w:bodyDiv w:val="1"/>
      <w:marLeft w:val="0"/>
      <w:marRight w:val="0"/>
      <w:marTop w:val="0"/>
      <w:marBottom w:val="0"/>
      <w:divBdr>
        <w:top w:val="none" w:sz="0" w:space="0" w:color="auto"/>
        <w:left w:val="none" w:sz="0" w:space="0" w:color="auto"/>
        <w:bottom w:val="none" w:sz="0" w:space="0" w:color="auto"/>
        <w:right w:val="none" w:sz="0" w:space="0" w:color="auto"/>
      </w:divBdr>
    </w:div>
    <w:div w:id="1481458021">
      <w:bodyDiv w:val="1"/>
      <w:marLeft w:val="0"/>
      <w:marRight w:val="0"/>
      <w:marTop w:val="0"/>
      <w:marBottom w:val="0"/>
      <w:divBdr>
        <w:top w:val="none" w:sz="0" w:space="0" w:color="auto"/>
        <w:left w:val="none" w:sz="0" w:space="0" w:color="auto"/>
        <w:bottom w:val="none" w:sz="0" w:space="0" w:color="auto"/>
        <w:right w:val="none" w:sz="0" w:space="0" w:color="auto"/>
      </w:divBdr>
    </w:div>
    <w:div w:id="1482846130">
      <w:bodyDiv w:val="1"/>
      <w:marLeft w:val="0"/>
      <w:marRight w:val="0"/>
      <w:marTop w:val="0"/>
      <w:marBottom w:val="0"/>
      <w:divBdr>
        <w:top w:val="none" w:sz="0" w:space="0" w:color="auto"/>
        <w:left w:val="none" w:sz="0" w:space="0" w:color="auto"/>
        <w:bottom w:val="none" w:sz="0" w:space="0" w:color="auto"/>
        <w:right w:val="none" w:sz="0" w:space="0" w:color="auto"/>
      </w:divBdr>
    </w:div>
    <w:div w:id="1485587588">
      <w:bodyDiv w:val="1"/>
      <w:marLeft w:val="0"/>
      <w:marRight w:val="0"/>
      <w:marTop w:val="0"/>
      <w:marBottom w:val="0"/>
      <w:divBdr>
        <w:top w:val="none" w:sz="0" w:space="0" w:color="auto"/>
        <w:left w:val="none" w:sz="0" w:space="0" w:color="auto"/>
        <w:bottom w:val="none" w:sz="0" w:space="0" w:color="auto"/>
        <w:right w:val="none" w:sz="0" w:space="0" w:color="auto"/>
      </w:divBdr>
    </w:div>
    <w:div w:id="1489129065">
      <w:bodyDiv w:val="1"/>
      <w:marLeft w:val="0"/>
      <w:marRight w:val="0"/>
      <w:marTop w:val="0"/>
      <w:marBottom w:val="0"/>
      <w:divBdr>
        <w:top w:val="none" w:sz="0" w:space="0" w:color="auto"/>
        <w:left w:val="none" w:sz="0" w:space="0" w:color="auto"/>
        <w:bottom w:val="none" w:sz="0" w:space="0" w:color="auto"/>
        <w:right w:val="none" w:sz="0" w:space="0" w:color="auto"/>
      </w:divBdr>
    </w:div>
    <w:div w:id="1526140419">
      <w:bodyDiv w:val="1"/>
      <w:marLeft w:val="0"/>
      <w:marRight w:val="0"/>
      <w:marTop w:val="0"/>
      <w:marBottom w:val="0"/>
      <w:divBdr>
        <w:top w:val="none" w:sz="0" w:space="0" w:color="auto"/>
        <w:left w:val="none" w:sz="0" w:space="0" w:color="auto"/>
        <w:bottom w:val="none" w:sz="0" w:space="0" w:color="auto"/>
        <w:right w:val="none" w:sz="0" w:space="0" w:color="auto"/>
      </w:divBdr>
    </w:div>
    <w:div w:id="1531794487">
      <w:bodyDiv w:val="1"/>
      <w:marLeft w:val="0"/>
      <w:marRight w:val="0"/>
      <w:marTop w:val="0"/>
      <w:marBottom w:val="0"/>
      <w:divBdr>
        <w:top w:val="none" w:sz="0" w:space="0" w:color="auto"/>
        <w:left w:val="none" w:sz="0" w:space="0" w:color="auto"/>
        <w:bottom w:val="none" w:sz="0" w:space="0" w:color="auto"/>
        <w:right w:val="none" w:sz="0" w:space="0" w:color="auto"/>
      </w:divBdr>
    </w:div>
    <w:div w:id="1532493925">
      <w:bodyDiv w:val="1"/>
      <w:marLeft w:val="0"/>
      <w:marRight w:val="0"/>
      <w:marTop w:val="0"/>
      <w:marBottom w:val="0"/>
      <w:divBdr>
        <w:top w:val="none" w:sz="0" w:space="0" w:color="auto"/>
        <w:left w:val="none" w:sz="0" w:space="0" w:color="auto"/>
        <w:bottom w:val="none" w:sz="0" w:space="0" w:color="auto"/>
        <w:right w:val="none" w:sz="0" w:space="0" w:color="auto"/>
      </w:divBdr>
    </w:div>
    <w:div w:id="1532568042">
      <w:bodyDiv w:val="1"/>
      <w:marLeft w:val="0"/>
      <w:marRight w:val="0"/>
      <w:marTop w:val="0"/>
      <w:marBottom w:val="0"/>
      <w:divBdr>
        <w:top w:val="none" w:sz="0" w:space="0" w:color="auto"/>
        <w:left w:val="none" w:sz="0" w:space="0" w:color="auto"/>
        <w:bottom w:val="none" w:sz="0" w:space="0" w:color="auto"/>
        <w:right w:val="none" w:sz="0" w:space="0" w:color="auto"/>
      </w:divBdr>
    </w:div>
    <w:div w:id="1543404163">
      <w:bodyDiv w:val="1"/>
      <w:marLeft w:val="0"/>
      <w:marRight w:val="0"/>
      <w:marTop w:val="0"/>
      <w:marBottom w:val="0"/>
      <w:divBdr>
        <w:top w:val="none" w:sz="0" w:space="0" w:color="auto"/>
        <w:left w:val="none" w:sz="0" w:space="0" w:color="auto"/>
        <w:bottom w:val="none" w:sz="0" w:space="0" w:color="auto"/>
        <w:right w:val="none" w:sz="0" w:space="0" w:color="auto"/>
      </w:divBdr>
    </w:div>
    <w:div w:id="1544446098">
      <w:bodyDiv w:val="1"/>
      <w:marLeft w:val="0"/>
      <w:marRight w:val="0"/>
      <w:marTop w:val="0"/>
      <w:marBottom w:val="0"/>
      <w:divBdr>
        <w:top w:val="none" w:sz="0" w:space="0" w:color="auto"/>
        <w:left w:val="none" w:sz="0" w:space="0" w:color="auto"/>
        <w:bottom w:val="none" w:sz="0" w:space="0" w:color="auto"/>
        <w:right w:val="none" w:sz="0" w:space="0" w:color="auto"/>
      </w:divBdr>
    </w:div>
    <w:div w:id="1549104937">
      <w:bodyDiv w:val="1"/>
      <w:marLeft w:val="0"/>
      <w:marRight w:val="0"/>
      <w:marTop w:val="0"/>
      <w:marBottom w:val="0"/>
      <w:divBdr>
        <w:top w:val="none" w:sz="0" w:space="0" w:color="auto"/>
        <w:left w:val="none" w:sz="0" w:space="0" w:color="auto"/>
        <w:bottom w:val="none" w:sz="0" w:space="0" w:color="auto"/>
        <w:right w:val="none" w:sz="0" w:space="0" w:color="auto"/>
      </w:divBdr>
    </w:div>
    <w:div w:id="1561360449">
      <w:bodyDiv w:val="1"/>
      <w:marLeft w:val="0"/>
      <w:marRight w:val="0"/>
      <w:marTop w:val="0"/>
      <w:marBottom w:val="0"/>
      <w:divBdr>
        <w:top w:val="none" w:sz="0" w:space="0" w:color="auto"/>
        <w:left w:val="none" w:sz="0" w:space="0" w:color="auto"/>
        <w:bottom w:val="none" w:sz="0" w:space="0" w:color="auto"/>
        <w:right w:val="none" w:sz="0" w:space="0" w:color="auto"/>
      </w:divBdr>
    </w:div>
    <w:div w:id="1561937289">
      <w:bodyDiv w:val="1"/>
      <w:marLeft w:val="0"/>
      <w:marRight w:val="0"/>
      <w:marTop w:val="0"/>
      <w:marBottom w:val="0"/>
      <w:divBdr>
        <w:top w:val="none" w:sz="0" w:space="0" w:color="auto"/>
        <w:left w:val="none" w:sz="0" w:space="0" w:color="auto"/>
        <w:bottom w:val="none" w:sz="0" w:space="0" w:color="auto"/>
        <w:right w:val="none" w:sz="0" w:space="0" w:color="auto"/>
      </w:divBdr>
      <w:divsChild>
        <w:div w:id="583222550">
          <w:marLeft w:val="547"/>
          <w:marRight w:val="0"/>
          <w:marTop w:val="62"/>
          <w:marBottom w:val="0"/>
          <w:divBdr>
            <w:top w:val="none" w:sz="0" w:space="0" w:color="auto"/>
            <w:left w:val="none" w:sz="0" w:space="0" w:color="auto"/>
            <w:bottom w:val="none" w:sz="0" w:space="0" w:color="auto"/>
            <w:right w:val="none" w:sz="0" w:space="0" w:color="auto"/>
          </w:divBdr>
        </w:div>
        <w:div w:id="691296704">
          <w:marLeft w:val="547"/>
          <w:marRight w:val="0"/>
          <w:marTop w:val="62"/>
          <w:marBottom w:val="0"/>
          <w:divBdr>
            <w:top w:val="none" w:sz="0" w:space="0" w:color="auto"/>
            <w:left w:val="none" w:sz="0" w:space="0" w:color="auto"/>
            <w:bottom w:val="none" w:sz="0" w:space="0" w:color="auto"/>
            <w:right w:val="none" w:sz="0" w:space="0" w:color="auto"/>
          </w:divBdr>
        </w:div>
        <w:div w:id="449327396">
          <w:marLeft w:val="547"/>
          <w:marRight w:val="0"/>
          <w:marTop w:val="62"/>
          <w:marBottom w:val="0"/>
          <w:divBdr>
            <w:top w:val="none" w:sz="0" w:space="0" w:color="auto"/>
            <w:left w:val="none" w:sz="0" w:space="0" w:color="auto"/>
            <w:bottom w:val="none" w:sz="0" w:space="0" w:color="auto"/>
            <w:right w:val="none" w:sz="0" w:space="0" w:color="auto"/>
          </w:divBdr>
        </w:div>
        <w:div w:id="1769806798">
          <w:marLeft w:val="547"/>
          <w:marRight w:val="0"/>
          <w:marTop w:val="62"/>
          <w:marBottom w:val="0"/>
          <w:divBdr>
            <w:top w:val="none" w:sz="0" w:space="0" w:color="auto"/>
            <w:left w:val="none" w:sz="0" w:space="0" w:color="auto"/>
            <w:bottom w:val="none" w:sz="0" w:space="0" w:color="auto"/>
            <w:right w:val="none" w:sz="0" w:space="0" w:color="auto"/>
          </w:divBdr>
        </w:div>
        <w:div w:id="590045096">
          <w:marLeft w:val="547"/>
          <w:marRight w:val="0"/>
          <w:marTop w:val="62"/>
          <w:marBottom w:val="0"/>
          <w:divBdr>
            <w:top w:val="none" w:sz="0" w:space="0" w:color="auto"/>
            <w:left w:val="none" w:sz="0" w:space="0" w:color="auto"/>
            <w:bottom w:val="none" w:sz="0" w:space="0" w:color="auto"/>
            <w:right w:val="none" w:sz="0" w:space="0" w:color="auto"/>
          </w:divBdr>
        </w:div>
      </w:divsChild>
    </w:div>
    <w:div w:id="1563178461">
      <w:bodyDiv w:val="1"/>
      <w:marLeft w:val="0"/>
      <w:marRight w:val="0"/>
      <w:marTop w:val="0"/>
      <w:marBottom w:val="0"/>
      <w:divBdr>
        <w:top w:val="none" w:sz="0" w:space="0" w:color="auto"/>
        <w:left w:val="none" w:sz="0" w:space="0" w:color="auto"/>
        <w:bottom w:val="none" w:sz="0" w:space="0" w:color="auto"/>
        <w:right w:val="none" w:sz="0" w:space="0" w:color="auto"/>
      </w:divBdr>
    </w:div>
    <w:div w:id="1568228100">
      <w:bodyDiv w:val="1"/>
      <w:marLeft w:val="0"/>
      <w:marRight w:val="0"/>
      <w:marTop w:val="0"/>
      <w:marBottom w:val="0"/>
      <w:divBdr>
        <w:top w:val="none" w:sz="0" w:space="0" w:color="auto"/>
        <w:left w:val="none" w:sz="0" w:space="0" w:color="auto"/>
        <w:bottom w:val="none" w:sz="0" w:space="0" w:color="auto"/>
        <w:right w:val="none" w:sz="0" w:space="0" w:color="auto"/>
      </w:divBdr>
    </w:div>
    <w:div w:id="1578787275">
      <w:bodyDiv w:val="1"/>
      <w:marLeft w:val="0"/>
      <w:marRight w:val="0"/>
      <w:marTop w:val="0"/>
      <w:marBottom w:val="0"/>
      <w:divBdr>
        <w:top w:val="none" w:sz="0" w:space="0" w:color="auto"/>
        <w:left w:val="none" w:sz="0" w:space="0" w:color="auto"/>
        <w:bottom w:val="none" w:sz="0" w:space="0" w:color="auto"/>
        <w:right w:val="none" w:sz="0" w:space="0" w:color="auto"/>
      </w:divBdr>
    </w:div>
    <w:div w:id="1581988964">
      <w:bodyDiv w:val="1"/>
      <w:marLeft w:val="0"/>
      <w:marRight w:val="0"/>
      <w:marTop w:val="0"/>
      <w:marBottom w:val="0"/>
      <w:divBdr>
        <w:top w:val="none" w:sz="0" w:space="0" w:color="auto"/>
        <w:left w:val="none" w:sz="0" w:space="0" w:color="auto"/>
        <w:bottom w:val="none" w:sz="0" w:space="0" w:color="auto"/>
        <w:right w:val="none" w:sz="0" w:space="0" w:color="auto"/>
      </w:divBdr>
    </w:div>
    <w:div w:id="1583759783">
      <w:bodyDiv w:val="1"/>
      <w:marLeft w:val="0"/>
      <w:marRight w:val="0"/>
      <w:marTop w:val="0"/>
      <w:marBottom w:val="0"/>
      <w:divBdr>
        <w:top w:val="none" w:sz="0" w:space="0" w:color="auto"/>
        <w:left w:val="none" w:sz="0" w:space="0" w:color="auto"/>
        <w:bottom w:val="none" w:sz="0" w:space="0" w:color="auto"/>
        <w:right w:val="none" w:sz="0" w:space="0" w:color="auto"/>
      </w:divBdr>
    </w:div>
    <w:div w:id="1585727573">
      <w:bodyDiv w:val="1"/>
      <w:marLeft w:val="0"/>
      <w:marRight w:val="0"/>
      <w:marTop w:val="0"/>
      <w:marBottom w:val="0"/>
      <w:divBdr>
        <w:top w:val="none" w:sz="0" w:space="0" w:color="auto"/>
        <w:left w:val="none" w:sz="0" w:space="0" w:color="auto"/>
        <w:bottom w:val="none" w:sz="0" w:space="0" w:color="auto"/>
        <w:right w:val="none" w:sz="0" w:space="0" w:color="auto"/>
      </w:divBdr>
    </w:div>
    <w:div w:id="1601639323">
      <w:bodyDiv w:val="1"/>
      <w:marLeft w:val="0"/>
      <w:marRight w:val="0"/>
      <w:marTop w:val="0"/>
      <w:marBottom w:val="0"/>
      <w:divBdr>
        <w:top w:val="none" w:sz="0" w:space="0" w:color="auto"/>
        <w:left w:val="none" w:sz="0" w:space="0" w:color="auto"/>
        <w:bottom w:val="none" w:sz="0" w:space="0" w:color="auto"/>
        <w:right w:val="none" w:sz="0" w:space="0" w:color="auto"/>
      </w:divBdr>
    </w:div>
    <w:div w:id="1603143848">
      <w:bodyDiv w:val="1"/>
      <w:marLeft w:val="0"/>
      <w:marRight w:val="0"/>
      <w:marTop w:val="0"/>
      <w:marBottom w:val="0"/>
      <w:divBdr>
        <w:top w:val="none" w:sz="0" w:space="0" w:color="auto"/>
        <w:left w:val="none" w:sz="0" w:space="0" w:color="auto"/>
        <w:bottom w:val="none" w:sz="0" w:space="0" w:color="auto"/>
        <w:right w:val="none" w:sz="0" w:space="0" w:color="auto"/>
      </w:divBdr>
    </w:div>
    <w:div w:id="1605918489">
      <w:bodyDiv w:val="1"/>
      <w:marLeft w:val="0"/>
      <w:marRight w:val="0"/>
      <w:marTop w:val="0"/>
      <w:marBottom w:val="0"/>
      <w:divBdr>
        <w:top w:val="none" w:sz="0" w:space="0" w:color="auto"/>
        <w:left w:val="none" w:sz="0" w:space="0" w:color="auto"/>
        <w:bottom w:val="none" w:sz="0" w:space="0" w:color="auto"/>
        <w:right w:val="none" w:sz="0" w:space="0" w:color="auto"/>
      </w:divBdr>
    </w:div>
    <w:div w:id="1608343043">
      <w:bodyDiv w:val="1"/>
      <w:marLeft w:val="0"/>
      <w:marRight w:val="0"/>
      <w:marTop w:val="0"/>
      <w:marBottom w:val="0"/>
      <w:divBdr>
        <w:top w:val="none" w:sz="0" w:space="0" w:color="auto"/>
        <w:left w:val="none" w:sz="0" w:space="0" w:color="auto"/>
        <w:bottom w:val="none" w:sz="0" w:space="0" w:color="auto"/>
        <w:right w:val="none" w:sz="0" w:space="0" w:color="auto"/>
      </w:divBdr>
    </w:div>
    <w:div w:id="1610889050">
      <w:bodyDiv w:val="1"/>
      <w:marLeft w:val="0"/>
      <w:marRight w:val="0"/>
      <w:marTop w:val="0"/>
      <w:marBottom w:val="0"/>
      <w:divBdr>
        <w:top w:val="none" w:sz="0" w:space="0" w:color="auto"/>
        <w:left w:val="none" w:sz="0" w:space="0" w:color="auto"/>
        <w:bottom w:val="none" w:sz="0" w:space="0" w:color="auto"/>
        <w:right w:val="none" w:sz="0" w:space="0" w:color="auto"/>
      </w:divBdr>
    </w:div>
    <w:div w:id="1637488614">
      <w:bodyDiv w:val="1"/>
      <w:marLeft w:val="0"/>
      <w:marRight w:val="0"/>
      <w:marTop w:val="0"/>
      <w:marBottom w:val="0"/>
      <w:divBdr>
        <w:top w:val="none" w:sz="0" w:space="0" w:color="auto"/>
        <w:left w:val="none" w:sz="0" w:space="0" w:color="auto"/>
        <w:bottom w:val="none" w:sz="0" w:space="0" w:color="auto"/>
        <w:right w:val="none" w:sz="0" w:space="0" w:color="auto"/>
      </w:divBdr>
    </w:div>
    <w:div w:id="1646621352">
      <w:bodyDiv w:val="1"/>
      <w:marLeft w:val="0"/>
      <w:marRight w:val="0"/>
      <w:marTop w:val="0"/>
      <w:marBottom w:val="0"/>
      <w:divBdr>
        <w:top w:val="none" w:sz="0" w:space="0" w:color="auto"/>
        <w:left w:val="none" w:sz="0" w:space="0" w:color="auto"/>
        <w:bottom w:val="none" w:sz="0" w:space="0" w:color="auto"/>
        <w:right w:val="none" w:sz="0" w:space="0" w:color="auto"/>
      </w:divBdr>
    </w:div>
    <w:div w:id="1685400764">
      <w:bodyDiv w:val="1"/>
      <w:marLeft w:val="0"/>
      <w:marRight w:val="0"/>
      <w:marTop w:val="0"/>
      <w:marBottom w:val="0"/>
      <w:divBdr>
        <w:top w:val="none" w:sz="0" w:space="0" w:color="auto"/>
        <w:left w:val="none" w:sz="0" w:space="0" w:color="auto"/>
        <w:bottom w:val="none" w:sz="0" w:space="0" w:color="auto"/>
        <w:right w:val="none" w:sz="0" w:space="0" w:color="auto"/>
      </w:divBdr>
    </w:div>
    <w:div w:id="1692685052">
      <w:bodyDiv w:val="1"/>
      <w:marLeft w:val="0"/>
      <w:marRight w:val="0"/>
      <w:marTop w:val="0"/>
      <w:marBottom w:val="0"/>
      <w:divBdr>
        <w:top w:val="none" w:sz="0" w:space="0" w:color="auto"/>
        <w:left w:val="none" w:sz="0" w:space="0" w:color="auto"/>
        <w:bottom w:val="none" w:sz="0" w:space="0" w:color="auto"/>
        <w:right w:val="none" w:sz="0" w:space="0" w:color="auto"/>
      </w:divBdr>
    </w:div>
    <w:div w:id="1708531119">
      <w:bodyDiv w:val="1"/>
      <w:marLeft w:val="0"/>
      <w:marRight w:val="0"/>
      <w:marTop w:val="0"/>
      <w:marBottom w:val="0"/>
      <w:divBdr>
        <w:top w:val="none" w:sz="0" w:space="0" w:color="auto"/>
        <w:left w:val="none" w:sz="0" w:space="0" w:color="auto"/>
        <w:bottom w:val="none" w:sz="0" w:space="0" w:color="auto"/>
        <w:right w:val="none" w:sz="0" w:space="0" w:color="auto"/>
      </w:divBdr>
      <w:divsChild>
        <w:div w:id="996495852">
          <w:marLeft w:val="547"/>
          <w:marRight w:val="0"/>
          <w:marTop w:val="106"/>
          <w:marBottom w:val="0"/>
          <w:divBdr>
            <w:top w:val="none" w:sz="0" w:space="0" w:color="auto"/>
            <w:left w:val="none" w:sz="0" w:space="0" w:color="auto"/>
            <w:bottom w:val="none" w:sz="0" w:space="0" w:color="auto"/>
            <w:right w:val="none" w:sz="0" w:space="0" w:color="auto"/>
          </w:divBdr>
        </w:div>
        <w:div w:id="1921677397">
          <w:marLeft w:val="547"/>
          <w:marRight w:val="0"/>
          <w:marTop w:val="106"/>
          <w:marBottom w:val="0"/>
          <w:divBdr>
            <w:top w:val="none" w:sz="0" w:space="0" w:color="auto"/>
            <w:left w:val="none" w:sz="0" w:space="0" w:color="auto"/>
            <w:bottom w:val="none" w:sz="0" w:space="0" w:color="auto"/>
            <w:right w:val="none" w:sz="0" w:space="0" w:color="auto"/>
          </w:divBdr>
        </w:div>
        <w:div w:id="292834155">
          <w:marLeft w:val="547"/>
          <w:marRight w:val="0"/>
          <w:marTop w:val="106"/>
          <w:marBottom w:val="0"/>
          <w:divBdr>
            <w:top w:val="none" w:sz="0" w:space="0" w:color="auto"/>
            <w:left w:val="none" w:sz="0" w:space="0" w:color="auto"/>
            <w:bottom w:val="none" w:sz="0" w:space="0" w:color="auto"/>
            <w:right w:val="none" w:sz="0" w:space="0" w:color="auto"/>
          </w:divBdr>
        </w:div>
      </w:divsChild>
    </w:div>
    <w:div w:id="1746759443">
      <w:bodyDiv w:val="1"/>
      <w:marLeft w:val="0"/>
      <w:marRight w:val="0"/>
      <w:marTop w:val="0"/>
      <w:marBottom w:val="0"/>
      <w:divBdr>
        <w:top w:val="none" w:sz="0" w:space="0" w:color="auto"/>
        <w:left w:val="none" w:sz="0" w:space="0" w:color="auto"/>
        <w:bottom w:val="none" w:sz="0" w:space="0" w:color="auto"/>
        <w:right w:val="none" w:sz="0" w:space="0" w:color="auto"/>
      </w:divBdr>
      <w:divsChild>
        <w:div w:id="608700279">
          <w:marLeft w:val="0"/>
          <w:marRight w:val="0"/>
          <w:marTop w:val="0"/>
          <w:marBottom w:val="0"/>
          <w:divBdr>
            <w:top w:val="none" w:sz="0" w:space="0" w:color="auto"/>
            <w:left w:val="none" w:sz="0" w:space="0" w:color="auto"/>
            <w:bottom w:val="none" w:sz="0" w:space="0" w:color="auto"/>
            <w:right w:val="none" w:sz="0" w:space="0" w:color="auto"/>
          </w:divBdr>
          <w:divsChild>
            <w:div w:id="810825402">
              <w:marLeft w:val="0"/>
              <w:marRight w:val="0"/>
              <w:marTop w:val="0"/>
              <w:marBottom w:val="0"/>
              <w:divBdr>
                <w:top w:val="none" w:sz="0" w:space="0" w:color="auto"/>
                <w:left w:val="none" w:sz="0" w:space="0" w:color="auto"/>
                <w:bottom w:val="none" w:sz="0" w:space="0" w:color="auto"/>
                <w:right w:val="none" w:sz="0" w:space="0" w:color="auto"/>
              </w:divBdr>
              <w:divsChild>
                <w:div w:id="1700660519">
                  <w:marLeft w:val="0"/>
                  <w:marRight w:val="0"/>
                  <w:marTop w:val="0"/>
                  <w:marBottom w:val="0"/>
                  <w:divBdr>
                    <w:top w:val="none" w:sz="0" w:space="0" w:color="auto"/>
                    <w:left w:val="none" w:sz="0" w:space="0" w:color="auto"/>
                    <w:bottom w:val="none" w:sz="0" w:space="0" w:color="auto"/>
                    <w:right w:val="none" w:sz="0" w:space="0" w:color="auto"/>
                  </w:divBdr>
                  <w:divsChild>
                    <w:div w:id="1479032449">
                      <w:marLeft w:val="0"/>
                      <w:marRight w:val="0"/>
                      <w:marTop w:val="0"/>
                      <w:marBottom w:val="0"/>
                      <w:divBdr>
                        <w:top w:val="none" w:sz="0" w:space="0" w:color="auto"/>
                        <w:left w:val="none" w:sz="0" w:space="0" w:color="auto"/>
                        <w:bottom w:val="none" w:sz="0" w:space="0" w:color="auto"/>
                        <w:right w:val="none" w:sz="0" w:space="0" w:color="auto"/>
                      </w:divBdr>
                      <w:divsChild>
                        <w:div w:id="844898812">
                          <w:marLeft w:val="0"/>
                          <w:marRight w:val="0"/>
                          <w:marTop w:val="0"/>
                          <w:marBottom w:val="0"/>
                          <w:divBdr>
                            <w:top w:val="none" w:sz="0" w:space="0" w:color="auto"/>
                            <w:left w:val="none" w:sz="0" w:space="0" w:color="auto"/>
                            <w:bottom w:val="none" w:sz="0" w:space="0" w:color="auto"/>
                            <w:right w:val="none" w:sz="0" w:space="0" w:color="auto"/>
                          </w:divBdr>
                          <w:divsChild>
                            <w:div w:id="8538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751109">
      <w:bodyDiv w:val="1"/>
      <w:marLeft w:val="0"/>
      <w:marRight w:val="0"/>
      <w:marTop w:val="0"/>
      <w:marBottom w:val="0"/>
      <w:divBdr>
        <w:top w:val="none" w:sz="0" w:space="0" w:color="auto"/>
        <w:left w:val="none" w:sz="0" w:space="0" w:color="auto"/>
        <w:bottom w:val="none" w:sz="0" w:space="0" w:color="auto"/>
        <w:right w:val="none" w:sz="0" w:space="0" w:color="auto"/>
      </w:divBdr>
    </w:div>
    <w:div w:id="1763337225">
      <w:bodyDiv w:val="1"/>
      <w:marLeft w:val="0"/>
      <w:marRight w:val="0"/>
      <w:marTop w:val="0"/>
      <w:marBottom w:val="0"/>
      <w:divBdr>
        <w:top w:val="none" w:sz="0" w:space="0" w:color="auto"/>
        <w:left w:val="none" w:sz="0" w:space="0" w:color="auto"/>
        <w:bottom w:val="none" w:sz="0" w:space="0" w:color="auto"/>
        <w:right w:val="none" w:sz="0" w:space="0" w:color="auto"/>
      </w:divBdr>
    </w:div>
    <w:div w:id="1783570109">
      <w:bodyDiv w:val="1"/>
      <w:marLeft w:val="0"/>
      <w:marRight w:val="0"/>
      <w:marTop w:val="0"/>
      <w:marBottom w:val="0"/>
      <w:divBdr>
        <w:top w:val="none" w:sz="0" w:space="0" w:color="auto"/>
        <w:left w:val="none" w:sz="0" w:space="0" w:color="auto"/>
        <w:bottom w:val="none" w:sz="0" w:space="0" w:color="auto"/>
        <w:right w:val="none" w:sz="0" w:space="0" w:color="auto"/>
      </w:divBdr>
    </w:div>
    <w:div w:id="1800995576">
      <w:bodyDiv w:val="1"/>
      <w:marLeft w:val="0"/>
      <w:marRight w:val="0"/>
      <w:marTop w:val="0"/>
      <w:marBottom w:val="0"/>
      <w:divBdr>
        <w:top w:val="none" w:sz="0" w:space="0" w:color="auto"/>
        <w:left w:val="none" w:sz="0" w:space="0" w:color="auto"/>
        <w:bottom w:val="none" w:sz="0" w:space="0" w:color="auto"/>
        <w:right w:val="none" w:sz="0" w:space="0" w:color="auto"/>
      </w:divBdr>
    </w:div>
    <w:div w:id="1804079367">
      <w:bodyDiv w:val="1"/>
      <w:marLeft w:val="0"/>
      <w:marRight w:val="0"/>
      <w:marTop w:val="0"/>
      <w:marBottom w:val="0"/>
      <w:divBdr>
        <w:top w:val="none" w:sz="0" w:space="0" w:color="auto"/>
        <w:left w:val="none" w:sz="0" w:space="0" w:color="auto"/>
        <w:bottom w:val="none" w:sz="0" w:space="0" w:color="auto"/>
        <w:right w:val="none" w:sz="0" w:space="0" w:color="auto"/>
      </w:divBdr>
    </w:div>
    <w:div w:id="1804231939">
      <w:bodyDiv w:val="1"/>
      <w:marLeft w:val="0"/>
      <w:marRight w:val="0"/>
      <w:marTop w:val="0"/>
      <w:marBottom w:val="0"/>
      <w:divBdr>
        <w:top w:val="none" w:sz="0" w:space="0" w:color="auto"/>
        <w:left w:val="none" w:sz="0" w:space="0" w:color="auto"/>
        <w:bottom w:val="none" w:sz="0" w:space="0" w:color="auto"/>
        <w:right w:val="none" w:sz="0" w:space="0" w:color="auto"/>
      </w:divBdr>
    </w:div>
    <w:div w:id="1805460318">
      <w:bodyDiv w:val="1"/>
      <w:marLeft w:val="0"/>
      <w:marRight w:val="0"/>
      <w:marTop w:val="0"/>
      <w:marBottom w:val="0"/>
      <w:divBdr>
        <w:top w:val="none" w:sz="0" w:space="0" w:color="auto"/>
        <w:left w:val="none" w:sz="0" w:space="0" w:color="auto"/>
        <w:bottom w:val="none" w:sz="0" w:space="0" w:color="auto"/>
        <w:right w:val="none" w:sz="0" w:space="0" w:color="auto"/>
      </w:divBdr>
    </w:div>
    <w:div w:id="1819958893">
      <w:bodyDiv w:val="1"/>
      <w:marLeft w:val="0"/>
      <w:marRight w:val="0"/>
      <w:marTop w:val="0"/>
      <w:marBottom w:val="0"/>
      <w:divBdr>
        <w:top w:val="none" w:sz="0" w:space="0" w:color="auto"/>
        <w:left w:val="none" w:sz="0" w:space="0" w:color="auto"/>
        <w:bottom w:val="none" w:sz="0" w:space="0" w:color="auto"/>
        <w:right w:val="none" w:sz="0" w:space="0" w:color="auto"/>
      </w:divBdr>
    </w:div>
    <w:div w:id="1820489025">
      <w:bodyDiv w:val="1"/>
      <w:marLeft w:val="0"/>
      <w:marRight w:val="0"/>
      <w:marTop w:val="0"/>
      <w:marBottom w:val="0"/>
      <w:divBdr>
        <w:top w:val="none" w:sz="0" w:space="0" w:color="auto"/>
        <w:left w:val="none" w:sz="0" w:space="0" w:color="auto"/>
        <w:bottom w:val="none" w:sz="0" w:space="0" w:color="auto"/>
        <w:right w:val="none" w:sz="0" w:space="0" w:color="auto"/>
      </w:divBdr>
    </w:div>
    <w:div w:id="1824927005">
      <w:bodyDiv w:val="1"/>
      <w:marLeft w:val="0"/>
      <w:marRight w:val="0"/>
      <w:marTop w:val="0"/>
      <w:marBottom w:val="0"/>
      <w:divBdr>
        <w:top w:val="none" w:sz="0" w:space="0" w:color="auto"/>
        <w:left w:val="none" w:sz="0" w:space="0" w:color="auto"/>
        <w:bottom w:val="none" w:sz="0" w:space="0" w:color="auto"/>
        <w:right w:val="none" w:sz="0" w:space="0" w:color="auto"/>
      </w:divBdr>
    </w:div>
    <w:div w:id="1825776402">
      <w:bodyDiv w:val="1"/>
      <w:marLeft w:val="0"/>
      <w:marRight w:val="0"/>
      <w:marTop w:val="0"/>
      <w:marBottom w:val="0"/>
      <w:divBdr>
        <w:top w:val="none" w:sz="0" w:space="0" w:color="auto"/>
        <w:left w:val="none" w:sz="0" w:space="0" w:color="auto"/>
        <w:bottom w:val="none" w:sz="0" w:space="0" w:color="auto"/>
        <w:right w:val="none" w:sz="0" w:space="0" w:color="auto"/>
      </w:divBdr>
    </w:div>
    <w:div w:id="1829713420">
      <w:bodyDiv w:val="1"/>
      <w:marLeft w:val="0"/>
      <w:marRight w:val="0"/>
      <w:marTop w:val="0"/>
      <w:marBottom w:val="0"/>
      <w:divBdr>
        <w:top w:val="none" w:sz="0" w:space="0" w:color="auto"/>
        <w:left w:val="none" w:sz="0" w:space="0" w:color="auto"/>
        <w:bottom w:val="none" w:sz="0" w:space="0" w:color="auto"/>
        <w:right w:val="none" w:sz="0" w:space="0" w:color="auto"/>
      </w:divBdr>
    </w:div>
    <w:div w:id="1837108672">
      <w:bodyDiv w:val="1"/>
      <w:marLeft w:val="0"/>
      <w:marRight w:val="0"/>
      <w:marTop w:val="0"/>
      <w:marBottom w:val="0"/>
      <w:divBdr>
        <w:top w:val="none" w:sz="0" w:space="0" w:color="auto"/>
        <w:left w:val="none" w:sz="0" w:space="0" w:color="auto"/>
        <w:bottom w:val="none" w:sz="0" w:space="0" w:color="auto"/>
        <w:right w:val="none" w:sz="0" w:space="0" w:color="auto"/>
      </w:divBdr>
    </w:div>
    <w:div w:id="1843426553">
      <w:bodyDiv w:val="1"/>
      <w:marLeft w:val="0"/>
      <w:marRight w:val="0"/>
      <w:marTop w:val="0"/>
      <w:marBottom w:val="0"/>
      <w:divBdr>
        <w:top w:val="none" w:sz="0" w:space="0" w:color="auto"/>
        <w:left w:val="none" w:sz="0" w:space="0" w:color="auto"/>
        <w:bottom w:val="none" w:sz="0" w:space="0" w:color="auto"/>
        <w:right w:val="none" w:sz="0" w:space="0" w:color="auto"/>
      </w:divBdr>
    </w:div>
    <w:div w:id="1850683155">
      <w:bodyDiv w:val="1"/>
      <w:marLeft w:val="0"/>
      <w:marRight w:val="0"/>
      <w:marTop w:val="0"/>
      <w:marBottom w:val="0"/>
      <w:divBdr>
        <w:top w:val="none" w:sz="0" w:space="0" w:color="auto"/>
        <w:left w:val="none" w:sz="0" w:space="0" w:color="auto"/>
        <w:bottom w:val="none" w:sz="0" w:space="0" w:color="auto"/>
        <w:right w:val="none" w:sz="0" w:space="0" w:color="auto"/>
      </w:divBdr>
    </w:div>
    <w:div w:id="1876037250">
      <w:bodyDiv w:val="1"/>
      <w:marLeft w:val="0"/>
      <w:marRight w:val="0"/>
      <w:marTop w:val="0"/>
      <w:marBottom w:val="0"/>
      <w:divBdr>
        <w:top w:val="none" w:sz="0" w:space="0" w:color="auto"/>
        <w:left w:val="none" w:sz="0" w:space="0" w:color="auto"/>
        <w:bottom w:val="none" w:sz="0" w:space="0" w:color="auto"/>
        <w:right w:val="none" w:sz="0" w:space="0" w:color="auto"/>
      </w:divBdr>
    </w:div>
    <w:div w:id="1877305498">
      <w:bodyDiv w:val="1"/>
      <w:marLeft w:val="0"/>
      <w:marRight w:val="0"/>
      <w:marTop w:val="0"/>
      <w:marBottom w:val="0"/>
      <w:divBdr>
        <w:top w:val="none" w:sz="0" w:space="0" w:color="auto"/>
        <w:left w:val="none" w:sz="0" w:space="0" w:color="auto"/>
        <w:bottom w:val="none" w:sz="0" w:space="0" w:color="auto"/>
        <w:right w:val="none" w:sz="0" w:space="0" w:color="auto"/>
      </w:divBdr>
    </w:div>
    <w:div w:id="1883512606">
      <w:bodyDiv w:val="1"/>
      <w:marLeft w:val="0"/>
      <w:marRight w:val="0"/>
      <w:marTop w:val="0"/>
      <w:marBottom w:val="0"/>
      <w:divBdr>
        <w:top w:val="none" w:sz="0" w:space="0" w:color="auto"/>
        <w:left w:val="none" w:sz="0" w:space="0" w:color="auto"/>
        <w:bottom w:val="none" w:sz="0" w:space="0" w:color="auto"/>
        <w:right w:val="none" w:sz="0" w:space="0" w:color="auto"/>
      </w:divBdr>
    </w:div>
    <w:div w:id="1886209612">
      <w:bodyDiv w:val="1"/>
      <w:marLeft w:val="0"/>
      <w:marRight w:val="0"/>
      <w:marTop w:val="0"/>
      <w:marBottom w:val="0"/>
      <w:divBdr>
        <w:top w:val="none" w:sz="0" w:space="0" w:color="auto"/>
        <w:left w:val="none" w:sz="0" w:space="0" w:color="auto"/>
        <w:bottom w:val="none" w:sz="0" w:space="0" w:color="auto"/>
        <w:right w:val="none" w:sz="0" w:space="0" w:color="auto"/>
      </w:divBdr>
      <w:divsChild>
        <w:div w:id="1381587259">
          <w:marLeft w:val="446"/>
          <w:marRight w:val="0"/>
          <w:marTop w:val="77"/>
          <w:marBottom w:val="0"/>
          <w:divBdr>
            <w:top w:val="none" w:sz="0" w:space="0" w:color="auto"/>
            <w:left w:val="none" w:sz="0" w:space="0" w:color="auto"/>
            <w:bottom w:val="none" w:sz="0" w:space="0" w:color="auto"/>
            <w:right w:val="none" w:sz="0" w:space="0" w:color="auto"/>
          </w:divBdr>
        </w:div>
        <w:div w:id="983044452">
          <w:marLeft w:val="446"/>
          <w:marRight w:val="0"/>
          <w:marTop w:val="77"/>
          <w:marBottom w:val="0"/>
          <w:divBdr>
            <w:top w:val="none" w:sz="0" w:space="0" w:color="auto"/>
            <w:left w:val="none" w:sz="0" w:space="0" w:color="auto"/>
            <w:bottom w:val="none" w:sz="0" w:space="0" w:color="auto"/>
            <w:right w:val="none" w:sz="0" w:space="0" w:color="auto"/>
          </w:divBdr>
        </w:div>
        <w:div w:id="1931936536">
          <w:marLeft w:val="446"/>
          <w:marRight w:val="0"/>
          <w:marTop w:val="0"/>
          <w:marBottom w:val="0"/>
          <w:divBdr>
            <w:top w:val="none" w:sz="0" w:space="0" w:color="auto"/>
            <w:left w:val="none" w:sz="0" w:space="0" w:color="auto"/>
            <w:bottom w:val="none" w:sz="0" w:space="0" w:color="auto"/>
            <w:right w:val="none" w:sz="0" w:space="0" w:color="auto"/>
          </w:divBdr>
        </w:div>
        <w:div w:id="1854613378">
          <w:marLeft w:val="446"/>
          <w:marRight w:val="0"/>
          <w:marTop w:val="0"/>
          <w:marBottom w:val="0"/>
          <w:divBdr>
            <w:top w:val="none" w:sz="0" w:space="0" w:color="auto"/>
            <w:left w:val="none" w:sz="0" w:space="0" w:color="auto"/>
            <w:bottom w:val="none" w:sz="0" w:space="0" w:color="auto"/>
            <w:right w:val="none" w:sz="0" w:space="0" w:color="auto"/>
          </w:divBdr>
        </w:div>
        <w:div w:id="939142614">
          <w:marLeft w:val="446"/>
          <w:marRight w:val="0"/>
          <w:marTop w:val="0"/>
          <w:marBottom w:val="0"/>
          <w:divBdr>
            <w:top w:val="none" w:sz="0" w:space="0" w:color="auto"/>
            <w:left w:val="none" w:sz="0" w:space="0" w:color="auto"/>
            <w:bottom w:val="none" w:sz="0" w:space="0" w:color="auto"/>
            <w:right w:val="none" w:sz="0" w:space="0" w:color="auto"/>
          </w:divBdr>
        </w:div>
        <w:div w:id="467938096">
          <w:marLeft w:val="446"/>
          <w:marRight w:val="0"/>
          <w:marTop w:val="0"/>
          <w:marBottom w:val="0"/>
          <w:divBdr>
            <w:top w:val="none" w:sz="0" w:space="0" w:color="auto"/>
            <w:left w:val="none" w:sz="0" w:space="0" w:color="auto"/>
            <w:bottom w:val="none" w:sz="0" w:space="0" w:color="auto"/>
            <w:right w:val="none" w:sz="0" w:space="0" w:color="auto"/>
          </w:divBdr>
        </w:div>
      </w:divsChild>
    </w:div>
    <w:div w:id="1887257926">
      <w:bodyDiv w:val="1"/>
      <w:marLeft w:val="0"/>
      <w:marRight w:val="0"/>
      <w:marTop w:val="0"/>
      <w:marBottom w:val="0"/>
      <w:divBdr>
        <w:top w:val="none" w:sz="0" w:space="0" w:color="auto"/>
        <w:left w:val="none" w:sz="0" w:space="0" w:color="auto"/>
        <w:bottom w:val="none" w:sz="0" w:space="0" w:color="auto"/>
        <w:right w:val="none" w:sz="0" w:space="0" w:color="auto"/>
      </w:divBdr>
    </w:div>
    <w:div w:id="1895385060">
      <w:bodyDiv w:val="1"/>
      <w:marLeft w:val="0"/>
      <w:marRight w:val="0"/>
      <w:marTop w:val="0"/>
      <w:marBottom w:val="0"/>
      <w:divBdr>
        <w:top w:val="none" w:sz="0" w:space="0" w:color="auto"/>
        <w:left w:val="none" w:sz="0" w:space="0" w:color="auto"/>
        <w:bottom w:val="none" w:sz="0" w:space="0" w:color="auto"/>
        <w:right w:val="none" w:sz="0" w:space="0" w:color="auto"/>
      </w:divBdr>
    </w:div>
    <w:div w:id="1904485801">
      <w:bodyDiv w:val="1"/>
      <w:marLeft w:val="0"/>
      <w:marRight w:val="0"/>
      <w:marTop w:val="0"/>
      <w:marBottom w:val="0"/>
      <w:divBdr>
        <w:top w:val="none" w:sz="0" w:space="0" w:color="auto"/>
        <w:left w:val="none" w:sz="0" w:space="0" w:color="auto"/>
        <w:bottom w:val="none" w:sz="0" w:space="0" w:color="auto"/>
        <w:right w:val="none" w:sz="0" w:space="0" w:color="auto"/>
      </w:divBdr>
    </w:div>
    <w:div w:id="1907377449">
      <w:bodyDiv w:val="1"/>
      <w:marLeft w:val="0"/>
      <w:marRight w:val="0"/>
      <w:marTop w:val="0"/>
      <w:marBottom w:val="0"/>
      <w:divBdr>
        <w:top w:val="none" w:sz="0" w:space="0" w:color="auto"/>
        <w:left w:val="none" w:sz="0" w:space="0" w:color="auto"/>
        <w:bottom w:val="none" w:sz="0" w:space="0" w:color="auto"/>
        <w:right w:val="none" w:sz="0" w:space="0" w:color="auto"/>
      </w:divBdr>
    </w:div>
    <w:div w:id="1916159540">
      <w:bodyDiv w:val="1"/>
      <w:marLeft w:val="0"/>
      <w:marRight w:val="0"/>
      <w:marTop w:val="0"/>
      <w:marBottom w:val="0"/>
      <w:divBdr>
        <w:top w:val="none" w:sz="0" w:space="0" w:color="auto"/>
        <w:left w:val="none" w:sz="0" w:space="0" w:color="auto"/>
        <w:bottom w:val="none" w:sz="0" w:space="0" w:color="auto"/>
        <w:right w:val="none" w:sz="0" w:space="0" w:color="auto"/>
      </w:divBdr>
    </w:div>
    <w:div w:id="1918438004">
      <w:bodyDiv w:val="1"/>
      <w:marLeft w:val="0"/>
      <w:marRight w:val="0"/>
      <w:marTop w:val="0"/>
      <w:marBottom w:val="0"/>
      <w:divBdr>
        <w:top w:val="none" w:sz="0" w:space="0" w:color="auto"/>
        <w:left w:val="none" w:sz="0" w:space="0" w:color="auto"/>
        <w:bottom w:val="none" w:sz="0" w:space="0" w:color="auto"/>
        <w:right w:val="none" w:sz="0" w:space="0" w:color="auto"/>
      </w:divBdr>
    </w:div>
    <w:div w:id="1982464149">
      <w:bodyDiv w:val="1"/>
      <w:marLeft w:val="0"/>
      <w:marRight w:val="0"/>
      <w:marTop w:val="0"/>
      <w:marBottom w:val="0"/>
      <w:divBdr>
        <w:top w:val="none" w:sz="0" w:space="0" w:color="auto"/>
        <w:left w:val="none" w:sz="0" w:space="0" w:color="auto"/>
        <w:bottom w:val="none" w:sz="0" w:space="0" w:color="auto"/>
        <w:right w:val="none" w:sz="0" w:space="0" w:color="auto"/>
      </w:divBdr>
      <w:divsChild>
        <w:div w:id="111360933">
          <w:marLeft w:val="547"/>
          <w:marRight w:val="0"/>
          <w:marTop w:val="154"/>
          <w:marBottom w:val="0"/>
          <w:divBdr>
            <w:top w:val="none" w:sz="0" w:space="0" w:color="auto"/>
            <w:left w:val="none" w:sz="0" w:space="0" w:color="auto"/>
            <w:bottom w:val="none" w:sz="0" w:space="0" w:color="auto"/>
            <w:right w:val="none" w:sz="0" w:space="0" w:color="auto"/>
          </w:divBdr>
        </w:div>
        <w:div w:id="932736771">
          <w:marLeft w:val="547"/>
          <w:marRight w:val="0"/>
          <w:marTop w:val="154"/>
          <w:marBottom w:val="0"/>
          <w:divBdr>
            <w:top w:val="none" w:sz="0" w:space="0" w:color="auto"/>
            <w:left w:val="none" w:sz="0" w:space="0" w:color="auto"/>
            <w:bottom w:val="none" w:sz="0" w:space="0" w:color="auto"/>
            <w:right w:val="none" w:sz="0" w:space="0" w:color="auto"/>
          </w:divBdr>
        </w:div>
      </w:divsChild>
    </w:div>
    <w:div w:id="2004158957">
      <w:bodyDiv w:val="1"/>
      <w:marLeft w:val="0"/>
      <w:marRight w:val="0"/>
      <w:marTop w:val="0"/>
      <w:marBottom w:val="0"/>
      <w:divBdr>
        <w:top w:val="none" w:sz="0" w:space="0" w:color="auto"/>
        <w:left w:val="none" w:sz="0" w:space="0" w:color="auto"/>
        <w:bottom w:val="none" w:sz="0" w:space="0" w:color="auto"/>
        <w:right w:val="none" w:sz="0" w:space="0" w:color="auto"/>
      </w:divBdr>
    </w:div>
    <w:div w:id="2022316704">
      <w:bodyDiv w:val="1"/>
      <w:marLeft w:val="0"/>
      <w:marRight w:val="0"/>
      <w:marTop w:val="0"/>
      <w:marBottom w:val="0"/>
      <w:divBdr>
        <w:top w:val="none" w:sz="0" w:space="0" w:color="auto"/>
        <w:left w:val="none" w:sz="0" w:space="0" w:color="auto"/>
        <w:bottom w:val="none" w:sz="0" w:space="0" w:color="auto"/>
        <w:right w:val="none" w:sz="0" w:space="0" w:color="auto"/>
      </w:divBdr>
    </w:div>
    <w:div w:id="2024742095">
      <w:bodyDiv w:val="1"/>
      <w:marLeft w:val="0"/>
      <w:marRight w:val="0"/>
      <w:marTop w:val="0"/>
      <w:marBottom w:val="0"/>
      <w:divBdr>
        <w:top w:val="none" w:sz="0" w:space="0" w:color="auto"/>
        <w:left w:val="none" w:sz="0" w:space="0" w:color="auto"/>
        <w:bottom w:val="none" w:sz="0" w:space="0" w:color="auto"/>
        <w:right w:val="none" w:sz="0" w:space="0" w:color="auto"/>
      </w:divBdr>
    </w:div>
    <w:div w:id="2025937048">
      <w:bodyDiv w:val="1"/>
      <w:marLeft w:val="0"/>
      <w:marRight w:val="0"/>
      <w:marTop w:val="0"/>
      <w:marBottom w:val="0"/>
      <w:divBdr>
        <w:top w:val="none" w:sz="0" w:space="0" w:color="auto"/>
        <w:left w:val="none" w:sz="0" w:space="0" w:color="auto"/>
        <w:bottom w:val="none" w:sz="0" w:space="0" w:color="auto"/>
        <w:right w:val="none" w:sz="0" w:space="0" w:color="auto"/>
      </w:divBdr>
    </w:div>
    <w:div w:id="2033333648">
      <w:bodyDiv w:val="1"/>
      <w:marLeft w:val="0"/>
      <w:marRight w:val="0"/>
      <w:marTop w:val="0"/>
      <w:marBottom w:val="0"/>
      <w:divBdr>
        <w:top w:val="none" w:sz="0" w:space="0" w:color="auto"/>
        <w:left w:val="none" w:sz="0" w:space="0" w:color="auto"/>
        <w:bottom w:val="none" w:sz="0" w:space="0" w:color="auto"/>
        <w:right w:val="none" w:sz="0" w:space="0" w:color="auto"/>
      </w:divBdr>
    </w:div>
    <w:div w:id="2034531409">
      <w:bodyDiv w:val="1"/>
      <w:marLeft w:val="0"/>
      <w:marRight w:val="0"/>
      <w:marTop w:val="0"/>
      <w:marBottom w:val="0"/>
      <w:divBdr>
        <w:top w:val="none" w:sz="0" w:space="0" w:color="auto"/>
        <w:left w:val="none" w:sz="0" w:space="0" w:color="auto"/>
        <w:bottom w:val="none" w:sz="0" w:space="0" w:color="auto"/>
        <w:right w:val="none" w:sz="0" w:space="0" w:color="auto"/>
      </w:divBdr>
    </w:div>
    <w:div w:id="2036690664">
      <w:bodyDiv w:val="1"/>
      <w:marLeft w:val="0"/>
      <w:marRight w:val="0"/>
      <w:marTop w:val="0"/>
      <w:marBottom w:val="0"/>
      <w:divBdr>
        <w:top w:val="none" w:sz="0" w:space="0" w:color="auto"/>
        <w:left w:val="none" w:sz="0" w:space="0" w:color="auto"/>
        <w:bottom w:val="none" w:sz="0" w:space="0" w:color="auto"/>
        <w:right w:val="none" w:sz="0" w:space="0" w:color="auto"/>
      </w:divBdr>
    </w:div>
    <w:div w:id="2041316608">
      <w:bodyDiv w:val="1"/>
      <w:marLeft w:val="0"/>
      <w:marRight w:val="0"/>
      <w:marTop w:val="0"/>
      <w:marBottom w:val="0"/>
      <w:divBdr>
        <w:top w:val="none" w:sz="0" w:space="0" w:color="auto"/>
        <w:left w:val="none" w:sz="0" w:space="0" w:color="auto"/>
        <w:bottom w:val="none" w:sz="0" w:space="0" w:color="auto"/>
        <w:right w:val="none" w:sz="0" w:space="0" w:color="auto"/>
      </w:divBdr>
    </w:div>
    <w:div w:id="2059357827">
      <w:bodyDiv w:val="1"/>
      <w:marLeft w:val="0"/>
      <w:marRight w:val="0"/>
      <w:marTop w:val="0"/>
      <w:marBottom w:val="0"/>
      <w:divBdr>
        <w:top w:val="none" w:sz="0" w:space="0" w:color="auto"/>
        <w:left w:val="none" w:sz="0" w:space="0" w:color="auto"/>
        <w:bottom w:val="none" w:sz="0" w:space="0" w:color="auto"/>
        <w:right w:val="none" w:sz="0" w:space="0" w:color="auto"/>
      </w:divBdr>
    </w:div>
    <w:div w:id="2093044176">
      <w:bodyDiv w:val="1"/>
      <w:marLeft w:val="0"/>
      <w:marRight w:val="0"/>
      <w:marTop w:val="0"/>
      <w:marBottom w:val="0"/>
      <w:divBdr>
        <w:top w:val="none" w:sz="0" w:space="0" w:color="auto"/>
        <w:left w:val="none" w:sz="0" w:space="0" w:color="auto"/>
        <w:bottom w:val="none" w:sz="0" w:space="0" w:color="auto"/>
        <w:right w:val="none" w:sz="0" w:space="0" w:color="auto"/>
      </w:divBdr>
    </w:div>
    <w:div w:id="2102791797">
      <w:bodyDiv w:val="1"/>
      <w:marLeft w:val="0"/>
      <w:marRight w:val="0"/>
      <w:marTop w:val="0"/>
      <w:marBottom w:val="0"/>
      <w:divBdr>
        <w:top w:val="none" w:sz="0" w:space="0" w:color="auto"/>
        <w:left w:val="none" w:sz="0" w:space="0" w:color="auto"/>
        <w:bottom w:val="none" w:sz="0" w:space="0" w:color="auto"/>
        <w:right w:val="none" w:sz="0" w:space="0" w:color="auto"/>
      </w:divBdr>
    </w:div>
    <w:div w:id="2109425314">
      <w:bodyDiv w:val="1"/>
      <w:marLeft w:val="0"/>
      <w:marRight w:val="0"/>
      <w:marTop w:val="0"/>
      <w:marBottom w:val="0"/>
      <w:divBdr>
        <w:top w:val="none" w:sz="0" w:space="0" w:color="auto"/>
        <w:left w:val="none" w:sz="0" w:space="0" w:color="auto"/>
        <w:bottom w:val="none" w:sz="0" w:space="0" w:color="auto"/>
        <w:right w:val="none" w:sz="0" w:space="0" w:color="auto"/>
      </w:divBdr>
    </w:div>
    <w:div w:id="2111466768">
      <w:bodyDiv w:val="1"/>
      <w:marLeft w:val="0"/>
      <w:marRight w:val="0"/>
      <w:marTop w:val="0"/>
      <w:marBottom w:val="0"/>
      <w:divBdr>
        <w:top w:val="none" w:sz="0" w:space="0" w:color="auto"/>
        <w:left w:val="none" w:sz="0" w:space="0" w:color="auto"/>
        <w:bottom w:val="none" w:sz="0" w:space="0" w:color="auto"/>
        <w:right w:val="none" w:sz="0" w:space="0" w:color="auto"/>
      </w:divBdr>
    </w:div>
    <w:div w:id="2121143746">
      <w:bodyDiv w:val="1"/>
      <w:marLeft w:val="0"/>
      <w:marRight w:val="0"/>
      <w:marTop w:val="0"/>
      <w:marBottom w:val="0"/>
      <w:divBdr>
        <w:top w:val="none" w:sz="0" w:space="0" w:color="auto"/>
        <w:left w:val="none" w:sz="0" w:space="0" w:color="auto"/>
        <w:bottom w:val="none" w:sz="0" w:space="0" w:color="auto"/>
        <w:right w:val="none" w:sz="0" w:space="0" w:color="auto"/>
      </w:divBdr>
    </w:div>
    <w:div w:id="2127195122">
      <w:bodyDiv w:val="1"/>
      <w:marLeft w:val="0"/>
      <w:marRight w:val="0"/>
      <w:marTop w:val="0"/>
      <w:marBottom w:val="0"/>
      <w:divBdr>
        <w:top w:val="none" w:sz="0" w:space="0" w:color="auto"/>
        <w:left w:val="none" w:sz="0" w:space="0" w:color="auto"/>
        <w:bottom w:val="none" w:sz="0" w:space="0" w:color="auto"/>
        <w:right w:val="none" w:sz="0" w:space="0" w:color="auto"/>
      </w:divBdr>
      <w:divsChild>
        <w:div w:id="1207522771">
          <w:marLeft w:val="0"/>
          <w:marRight w:val="0"/>
          <w:marTop w:val="0"/>
          <w:marBottom w:val="0"/>
          <w:divBdr>
            <w:top w:val="none" w:sz="0" w:space="0" w:color="auto"/>
            <w:left w:val="none" w:sz="0" w:space="0" w:color="auto"/>
            <w:bottom w:val="none" w:sz="0" w:space="0" w:color="auto"/>
            <w:right w:val="none" w:sz="0" w:space="0" w:color="auto"/>
          </w:divBdr>
          <w:divsChild>
            <w:div w:id="1444838487">
              <w:marLeft w:val="0"/>
              <w:marRight w:val="0"/>
              <w:marTop w:val="0"/>
              <w:marBottom w:val="0"/>
              <w:divBdr>
                <w:top w:val="none" w:sz="0" w:space="0" w:color="auto"/>
                <w:left w:val="none" w:sz="0" w:space="0" w:color="auto"/>
                <w:bottom w:val="none" w:sz="0" w:space="0" w:color="auto"/>
                <w:right w:val="none" w:sz="0" w:space="0" w:color="auto"/>
              </w:divBdr>
              <w:divsChild>
                <w:div w:id="1262178260">
                  <w:marLeft w:val="0"/>
                  <w:marRight w:val="0"/>
                  <w:marTop w:val="0"/>
                  <w:marBottom w:val="0"/>
                  <w:divBdr>
                    <w:top w:val="none" w:sz="0" w:space="0" w:color="auto"/>
                    <w:left w:val="none" w:sz="0" w:space="0" w:color="auto"/>
                    <w:bottom w:val="none" w:sz="0" w:space="0" w:color="auto"/>
                    <w:right w:val="none" w:sz="0" w:space="0" w:color="auto"/>
                  </w:divBdr>
                  <w:divsChild>
                    <w:div w:id="1779527484">
                      <w:marLeft w:val="0"/>
                      <w:marRight w:val="0"/>
                      <w:marTop w:val="0"/>
                      <w:marBottom w:val="0"/>
                      <w:divBdr>
                        <w:top w:val="none" w:sz="0" w:space="0" w:color="auto"/>
                        <w:left w:val="none" w:sz="0" w:space="0" w:color="auto"/>
                        <w:bottom w:val="none" w:sz="0" w:space="0" w:color="auto"/>
                        <w:right w:val="none" w:sz="0" w:space="0" w:color="auto"/>
                      </w:divBdr>
                    </w:div>
                    <w:div w:id="1217012946">
                      <w:marLeft w:val="0"/>
                      <w:marRight w:val="0"/>
                      <w:marTop w:val="0"/>
                      <w:marBottom w:val="0"/>
                      <w:divBdr>
                        <w:top w:val="none" w:sz="0" w:space="0" w:color="auto"/>
                        <w:left w:val="none" w:sz="0" w:space="0" w:color="auto"/>
                        <w:bottom w:val="none" w:sz="0" w:space="0" w:color="auto"/>
                        <w:right w:val="none" w:sz="0" w:space="0" w:color="auto"/>
                      </w:divBdr>
                      <w:divsChild>
                        <w:div w:id="2087989196">
                          <w:marLeft w:val="0"/>
                          <w:marRight w:val="0"/>
                          <w:marTop w:val="0"/>
                          <w:marBottom w:val="0"/>
                          <w:divBdr>
                            <w:top w:val="none" w:sz="0" w:space="0" w:color="auto"/>
                            <w:left w:val="none" w:sz="0" w:space="0" w:color="auto"/>
                            <w:bottom w:val="none" w:sz="0" w:space="0" w:color="auto"/>
                            <w:right w:val="none" w:sz="0" w:space="0" w:color="auto"/>
                          </w:divBdr>
                          <w:divsChild>
                            <w:div w:id="510682873">
                              <w:marLeft w:val="0"/>
                              <w:marRight w:val="0"/>
                              <w:marTop w:val="0"/>
                              <w:marBottom w:val="0"/>
                              <w:divBdr>
                                <w:top w:val="none" w:sz="0" w:space="0" w:color="auto"/>
                                <w:left w:val="none" w:sz="0" w:space="0" w:color="auto"/>
                                <w:bottom w:val="none" w:sz="0" w:space="0" w:color="auto"/>
                                <w:right w:val="none" w:sz="0" w:space="0" w:color="auto"/>
                              </w:divBdr>
                            </w:div>
                          </w:divsChild>
                        </w:div>
                        <w:div w:id="1109006259">
                          <w:marLeft w:val="0"/>
                          <w:marRight w:val="0"/>
                          <w:marTop w:val="0"/>
                          <w:marBottom w:val="0"/>
                          <w:divBdr>
                            <w:top w:val="none" w:sz="0" w:space="0" w:color="auto"/>
                            <w:left w:val="none" w:sz="0" w:space="0" w:color="auto"/>
                            <w:bottom w:val="none" w:sz="0" w:space="0" w:color="auto"/>
                            <w:right w:val="none" w:sz="0" w:space="0" w:color="auto"/>
                          </w:divBdr>
                        </w:div>
                      </w:divsChild>
                    </w:div>
                    <w:div w:id="1690180742">
                      <w:marLeft w:val="0"/>
                      <w:marRight w:val="0"/>
                      <w:marTop w:val="0"/>
                      <w:marBottom w:val="0"/>
                      <w:divBdr>
                        <w:top w:val="none" w:sz="0" w:space="0" w:color="auto"/>
                        <w:left w:val="none" w:sz="0" w:space="0" w:color="auto"/>
                        <w:bottom w:val="none" w:sz="0" w:space="0" w:color="auto"/>
                        <w:right w:val="none" w:sz="0" w:space="0" w:color="auto"/>
                      </w:divBdr>
                    </w:div>
                  </w:divsChild>
                </w:div>
                <w:div w:id="2142653326">
                  <w:marLeft w:val="0"/>
                  <w:marRight w:val="0"/>
                  <w:marTop w:val="0"/>
                  <w:marBottom w:val="0"/>
                  <w:divBdr>
                    <w:top w:val="none" w:sz="0" w:space="0" w:color="auto"/>
                    <w:left w:val="none" w:sz="0" w:space="0" w:color="auto"/>
                    <w:bottom w:val="none" w:sz="0" w:space="0" w:color="auto"/>
                    <w:right w:val="none" w:sz="0" w:space="0" w:color="auto"/>
                  </w:divBdr>
                  <w:divsChild>
                    <w:div w:id="1181434770">
                      <w:marLeft w:val="0"/>
                      <w:marRight w:val="0"/>
                      <w:marTop w:val="0"/>
                      <w:marBottom w:val="0"/>
                      <w:divBdr>
                        <w:top w:val="none" w:sz="0" w:space="0" w:color="auto"/>
                        <w:left w:val="none" w:sz="0" w:space="0" w:color="auto"/>
                        <w:bottom w:val="none" w:sz="0" w:space="0" w:color="auto"/>
                        <w:right w:val="none" w:sz="0" w:space="0" w:color="auto"/>
                      </w:divBdr>
                    </w:div>
                    <w:div w:id="1896159726">
                      <w:marLeft w:val="0"/>
                      <w:marRight w:val="0"/>
                      <w:marTop w:val="0"/>
                      <w:marBottom w:val="0"/>
                      <w:divBdr>
                        <w:top w:val="none" w:sz="0" w:space="0" w:color="auto"/>
                        <w:left w:val="none" w:sz="0" w:space="0" w:color="auto"/>
                        <w:bottom w:val="none" w:sz="0" w:space="0" w:color="auto"/>
                        <w:right w:val="none" w:sz="0" w:space="0" w:color="auto"/>
                      </w:divBdr>
                      <w:divsChild>
                        <w:div w:id="1440368040">
                          <w:marLeft w:val="0"/>
                          <w:marRight w:val="0"/>
                          <w:marTop w:val="0"/>
                          <w:marBottom w:val="0"/>
                          <w:divBdr>
                            <w:top w:val="none" w:sz="0" w:space="0" w:color="auto"/>
                            <w:left w:val="none" w:sz="0" w:space="0" w:color="auto"/>
                            <w:bottom w:val="none" w:sz="0" w:space="0" w:color="auto"/>
                            <w:right w:val="none" w:sz="0" w:space="0" w:color="auto"/>
                          </w:divBdr>
                          <w:divsChild>
                            <w:div w:id="920261799">
                              <w:marLeft w:val="0"/>
                              <w:marRight w:val="0"/>
                              <w:marTop w:val="0"/>
                              <w:marBottom w:val="0"/>
                              <w:divBdr>
                                <w:top w:val="none" w:sz="0" w:space="0" w:color="auto"/>
                                <w:left w:val="none" w:sz="0" w:space="0" w:color="auto"/>
                                <w:bottom w:val="none" w:sz="0" w:space="0" w:color="auto"/>
                                <w:right w:val="none" w:sz="0" w:space="0" w:color="auto"/>
                              </w:divBdr>
                            </w:div>
                          </w:divsChild>
                        </w:div>
                        <w:div w:id="159001673">
                          <w:marLeft w:val="0"/>
                          <w:marRight w:val="0"/>
                          <w:marTop w:val="0"/>
                          <w:marBottom w:val="0"/>
                          <w:divBdr>
                            <w:top w:val="none" w:sz="0" w:space="0" w:color="auto"/>
                            <w:left w:val="none" w:sz="0" w:space="0" w:color="auto"/>
                            <w:bottom w:val="none" w:sz="0" w:space="0" w:color="auto"/>
                            <w:right w:val="none" w:sz="0" w:space="0" w:color="auto"/>
                          </w:divBdr>
                        </w:div>
                      </w:divsChild>
                    </w:div>
                    <w:div w:id="1787776255">
                      <w:marLeft w:val="0"/>
                      <w:marRight w:val="0"/>
                      <w:marTop w:val="0"/>
                      <w:marBottom w:val="0"/>
                      <w:divBdr>
                        <w:top w:val="none" w:sz="0" w:space="0" w:color="auto"/>
                        <w:left w:val="none" w:sz="0" w:space="0" w:color="auto"/>
                        <w:bottom w:val="none" w:sz="0" w:space="0" w:color="auto"/>
                        <w:right w:val="none" w:sz="0" w:space="0" w:color="auto"/>
                      </w:divBdr>
                    </w:div>
                  </w:divsChild>
                </w:div>
                <w:div w:id="747458327">
                  <w:marLeft w:val="0"/>
                  <w:marRight w:val="0"/>
                  <w:marTop w:val="0"/>
                  <w:marBottom w:val="0"/>
                  <w:divBdr>
                    <w:top w:val="none" w:sz="0" w:space="0" w:color="auto"/>
                    <w:left w:val="none" w:sz="0" w:space="0" w:color="auto"/>
                    <w:bottom w:val="none" w:sz="0" w:space="0" w:color="auto"/>
                    <w:right w:val="none" w:sz="0" w:space="0" w:color="auto"/>
                  </w:divBdr>
                  <w:divsChild>
                    <w:div w:id="1833372298">
                      <w:marLeft w:val="0"/>
                      <w:marRight w:val="0"/>
                      <w:marTop w:val="0"/>
                      <w:marBottom w:val="0"/>
                      <w:divBdr>
                        <w:top w:val="none" w:sz="0" w:space="0" w:color="auto"/>
                        <w:left w:val="none" w:sz="0" w:space="0" w:color="auto"/>
                        <w:bottom w:val="none" w:sz="0" w:space="0" w:color="auto"/>
                        <w:right w:val="none" w:sz="0" w:space="0" w:color="auto"/>
                      </w:divBdr>
                    </w:div>
                    <w:div w:id="77873923">
                      <w:marLeft w:val="0"/>
                      <w:marRight w:val="0"/>
                      <w:marTop w:val="0"/>
                      <w:marBottom w:val="0"/>
                      <w:divBdr>
                        <w:top w:val="none" w:sz="0" w:space="0" w:color="auto"/>
                        <w:left w:val="none" w:sz="0" w:space="0" w:color="auto"/>
                        <w:bottom w:val="none" w:sz="0" w:space="0" w:color="auto"/>
                        <w:right w:val="none" w:sz="0" w:space="0" w:color="auto"/>
                      </w:divBdr>
                      <w:divsChild>
                        <w:div w:id="1648440195">
                          <w:marLeft w:val="0"/>
                          <w:marRight w:val="0"/>
                          <w:marTop w:val="0"/>
                          <w:marBottom w:val="0"/>
                          <w:divBdr>
                            <w:top w:val="none" w:sz="0" w:space="0" w:color="auto"/>
                            <w:left w:val="none" w:sz="0" w:space="0" w:color="auto"/>
                            <w:bottom w:val="none" w:sz="0" w:space="0" w:color="auto"/>
                            <w:right w:val="none" w:sz="0" w:space="0" w:color="auto"/>
                          </w:divBdr>
                          <w:divsChild>
                            <w:div w:id="1160390581">
                              <w:marLeft w:val="0"/>
                              <w:marRight w:val="0"/>
                              <w:marTop w:val="0"/>
                              <w:marBottom w:val="0"/>
                              <w:divBdr>
                                <w:top w:val="none" w:sz="0" w:space="0" w:color="auto"/>
                                <w:left w:val="none" w:sz="0" w:space="0" w:color="auto"/>
                                <w:bottom w:val="none" w:sz="0" w:space="0" w:color="auto"/>
                                <w:right w:val="none" w:sz="0" w:space="0" w:color="auto"/>
                              </w:divBdr>
                            </w:div>
                          </w:divsChild>
                        </w:div>
                        <w:div w:id="95444685">
                          <w:marLeft w:val="0"/>
                          <w:marRight w:val="0"/>
                          <w:marTop w:val="0"/>
                          <w:marBottom w:val="0"/>
                          <w:divBdr>
                            <w:top w:val="none" w:sz="0" w:space="0" w:color="auto"/>
                            <w:left w:val="none" w:sz="0" w:space="0" w:color="auto"/>
                            <w:bottom w:val="none" w:sz="0" w:space="0" w:color="auto"/>
                            <w:right w:val="none" w:sz="0" w:space="0" w:color="auto"/>
                          </w:divBdr>
                        </w:div>
                      </w:divsChild>
                    </w:div>
                    <w:div w:id="1149401101">
                      <w:marLeft w:val="0"/>
                      <w:marRight w:val="0"/>
                      <w:marTop w:val="0"/>
                      <w:marBottom w:val="0"/>
                      <w:divBdr>
                        <w:top w:val="none" w:sz="0" w:space="0" w:color="auto"/>
                        <w:left w:val="none" w:sz="0" w:space="0" w:color="auto"/>
                        <w:bottom w:val="none" w:sz="0" w:space="0" w:color="auto"/>
                        <w:right w:val="none" w:sz="0" w:space="0" w:color="auto"/>
                      </w:divBdr>
                    </w:div>
                  </w:divsChild>
                </w:div>
                <w:div w:id="2031294599">
                  <w:marLeft w:val="0"/>
                  <w:marRight w:val="0"/>
                  <w:marTop w:val="0"/>
                  <w:marBottom w:val="0"/>
                  <w:divBdr>
                    <w:top w:val="none" w:sz="0" w:space="0" w:color="auto"/>
                    <w:left w:val="none" w:sz="0" w:space="0" w:color="auto"/>
                    <w:bottom w:val="none" w:sz="0" w:space="0" w:color="auto"/>
                    <w:right w:val="none" w:sz="0" w:space="0" w:color="auto"/>
                  </w:divBdr>
                  <w:divsChild>
                    <w:div w:id="1368288072">
                      <w:marLeft w:val="0"/>
                      <w:marRight w:val="0"/>
                      <w:marTop w:val="0"/>
                      <w:marBottom w:val="0"/>
                      <w:divBdr>
                        <w:top w:val="none" w:sz="0" w:space="0" w:color="auto"/>
                        <w:left w:val="none" w:sz="0" w:space="0" w:color="auto"/>
                        <w:bottom w:val="none" w:sz="0" w:space="0" w:color="auto"/>
                        <w:right w:val="none" w:sz="0" w:space="0" w:color="auto"/>
                      </w:divBdr>
                    </w:div>
                    <w:div w:id="676738638">
                      <w:marLeft w:val="0"/>
                      <w:marRight w:val="0"/>
                      <w:marTop w:val="0"/>
                      <w:marBottom w:val="0"/>
                      <w:divBdr>
                        <w:top w:val="none" w:sz="0" w:space="0" w:color="auto"/>
                        <w:left w:val="none" w:sz="0" w:space="0" w:color="auto"/>
                        <w:bottom w:val="none" w:sz="0" w:space="0" w:color="auto"/>
                        <w:right w:val="none" w:sz="0" w:space="0" w:color="auto"/>
                      </w:divBdr>
                      <w:divsChild>
                        <w:div w:id="1140729038">
                          <w:marLeft w:val="0"/>
                          <w:marRight w:val="0"/>
                          <w:marTop w:val="0"/>
                          <w:marBottom w:val="0"/>
                          <w:divBdr>
                            <w:top w:val="none" w:sz="0" w:space="0" w:color="auto"/>
                            <w:left w:val="none" w:sz="0" w:space="0" w:color="auto"/>
                            <w:bottom w:val="none" w:sz="0" w:space="0" w:color="auto"/>
                            <w:right w:val="none" w:sz="0" w:space="0" w:color="auto"/>
                          </w:divBdr>
                          <w:divsChild>
                            <w:div w:id="1709449787">
                              <w:marLeft w:val="0"/>
                              <w:marRight w:val="0"/>
                              <w:marTop w:val="0"/>
                              <w:marBottom w:val="0"/>
                              <w:divBdr>
                                <w:top w:val="none" w:sz="0" w:space="0" w:color="auto"/>
                                <w:left w:val="none" w:sz="0" w:space="0" w:color="auto"/>
                                <w:bottom w:val="none" w:sz="0" w:space="0" w:color="auto"/>
                                <w:right w:val="none" w:sz="0" w:space="0" w:color="auto"/>
                              </w:divBdr>
                            </w:div>
                          </w:divsChild>
                        </w:div>
                        <w:div w:id="1913001142">
                          <w:marLeft w:val="0"/>
                          <w:marRight w:val="0"/>
                          <w:marTop w:val="0"/>
                          <w:marBottom w:val="0"/>
                          <w:divBdr>
                            <w:top w:val="none" w:sz="0" w:space="0" w:color="auto"/>
                            <w:left w:val="none" w:sz="0" w:space="0" w:color="auto"/>
                            <w:bottom w:val="none" w:sz="0" w:space="0" w:color="auto"/>
                            <w:right w:val="none" w:sz="0" w:space="0" w:color="auto"/>
                          </w:divBdr>
                        </w:div>
                      </w:divsChild>
                    </w:div>
                    <w:div w:id="1673290205">
                      <w:marLeft w:val="0"/>
                      <w:marRight w:val="0"/>
                      <w:marTop w:val="0"/>
                      <w:marBottom w:val="0"/>
                      <w:divBdr>
                        <w:top w:val="none" w:sz="0" w:space="0" w:color="auto"/>
                        <w:left w:val="none" w:sz="0" w:space="0" w:color="auto"/>
                        <w:bottom w:val="none" w:sz="0" w:space="0" w:color="auto"/>
                        <w:right w:val="none" w:sz="0" w:space="0" w:color="auto"/>
                      </w:divBdr>
                    </w:div>
                  </w:divsChild>
                </w:div>
                <w:div w:id="247270225">
                  <w:marLeft w:val="0"/>
                  <w:marRight w:val="0"/>
                  <w:marTop w:val="0"/>
                  <w:marBottom w:val="0"/>
                  <w:divBdr>
                    <w:top w:val="none" w:sz="0" w:space="0" w:color="auto"/>
                    <w:left w:val="none" w:sz="0" w:space="0" w:color="auto"/>
                    <w:bottom w:val="none" w:sz="0" w:space="0" w:color="auto"/>
                    <w:right w:val="none" w:sz="0" w:space="0" w:color="auto"/>
                  </w:divBdr>
                  <w:divsChild>
                    <w:div w:id="793597633">
                      <w:marLeft w:val="0"/>
                      <w:marRight w:val="0"/>
                      <w:marTop w:val="0"/>
                      <w:marBottom w:val="0"/>
                      <w:divBdr>
                        <w:top w:val="none" w:sz="0" w:space="0" w:color="auto"/>
                        <w:left w:val="none" w:sz="0" w:space="0" w:color="auto"/>
                        <w:bottom w:val="none" w:sz="0" w:space="0" w:color="auto"/>
                        <w:right w:val="none" w:sz="0" w:space="0" w:color="auto"/>
                      </w:divBdr>
                      <w:divsChild>
                        <w:div w:id="1593322716">
                          <w:marLeft w:val="0"/>
                          <w:marRight w:val="0"/>
                          <w:marTop w:val="0"/>
                          <w:marBottom w:val="0"/>
                          <w:divBdr>
                            <w:top w:val="none" w:sz="0" w:space="0" w:color="auto"/>
                            <w:left w:val="none" w:sz="0" w:space="0" w:color="auto"/>
                            <w:bottom w:val="none" w:sz="0" w:space="0" w:color="auto"/>
                            <w:right w:val="none" w:sz="0" w:space="0" w:color="auto"/>
                          </w:divBdr>
                          <w:divsChild>
                            <w:div w:id="412091785">
                              <w:marLeft w:val="0"/>
                              <w:marRight w:val="0"/>
                              <w:marTop w:val="0"/>
                              <w:marBottom w:val="0"/>
                              <w:divBdr>
                                <w:top w:val="none" w:sz="0" w:space="0" w:color="auto"/>
                                <w:left w:val="none" w:sz="0" w:space="0" w:color="auto"/>
                                <w:bottom w:val="none" w:sz="0" w:space="0" w:color="auto"/>
                                <w:right w:val="none" w:sz="0" w:space="0" w:color="auto"/>
                              </w:divBdr>
                            </w:div>
                          </w:divsChild>
                        </w:div>
                        <w:div w:id="1158569812">
                          <w:marLeft w:val="0"/>
                          <w:marRight w:val="0"/>
                          <w:marTop w:val="0"/>
                          <w:marBottom w:val="0"/>
                          <w:divBdr>
                            <w:top w:val="none" w:sz="0" w:space="0" w:color="auto"/>
                            <w:left w:val="none" w:sz="0" w:space="0" w:color="auto"/>
                            <w:bottom w:val="none" w:sz="0" w:space="0" w:color="auto"/>
                            <w:right w:val="none" w:sz="0" w:space="0" w:color="auto"/>
                          </w:divBdr>
                        </w:div>
                      </w:divsChild>
                    </w:div>
                    <w:div w:id="1762607419">
                      <w:marLeft w:val="0"/>
                      <w:marRight w:val="0"/>
                      <w:marTop w:val="0"/>
                      <w:marBottom w:val="0"/>
                      <w:divBdr>
                        <w:top w:val="none" w:sz="0" w:space="0" w:color="auto"/>
                        <w:left w:val="none" w:sz="0" w:space="0" w:color="auto"/>
                        <w:bottom w:val="none" w:sz="0" w:space="0" w:color="auto"/>
                        <w:right w:val="none" w:sz="0" w:space="0" w:color="auto"/>
                      </w:divBdr>
                    </w:div>
                  </w:divsChild>
                </w:div>
                <w:div w:id="2015061754">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sChild>
                        <w:div w:id="886987523">
                          <w:marLeft w:val="0"/>
                          <w:marRight w:val="0"/>
                          <w:marTop w:val="0"/>
                          <w:marBottom w:val="0"/>
                          <w:divBdr>
                            <w:top w:val="none" w:sz="0" w:space="0" w:color="auto"/>
                            <w:left w:val="none" w:sz="0" w:space="0" w:color="auto"/>
                            <w:bottom w:val="none" w:sz="0" w:space="0" w:color="auto"/>
                            <w:right w:val="none" w:sz="0" w:space="0" w:color="auto"/>
                          </w:divBdr>
                          <w:divsChild>
                            <w:div w:id="1767455763">
                              <w:marLeft w:val="0"/>
                              <w:marRight w:val="0"/>
                              <w:marTop w:val="0"/>
                              <w:marBottom w:val="0"/>
                              <w:divBdr>
                                <w:top w:val="none" w:sz="0" w:space="0" w:color="auto"/>
                                <w:left w:val="none" w:sz="0" w:space="0" w:color="auto"/>
                                <w:bottom w:val="none" w:sz="0" w:space="0" w:color="auto"/>
                                <w:right w:val="none" w:sz="0" w:space="0" w:color="auto"/>
                              </w:divBdr>
                            </w:div>
                          </w:divsChild>
                        </w:div>
                        <w:div w:id="105269883">
                          <w:marLeft w:val="0"/>
                          <w:marRight w:val="0"/>
                          <w:marTop w:val="0"/>
                          <w:marBottom w:val="0"/>
                          <w:divBdr>
                            <w:top w:val="none" w:sz="0" w:space="0" w:color="auto"/>
                            <w:left w:val="none" w:sz="0" w:space="0" w:color="auto"/>
                            <w:bottom w:val="none" w:sz="0" w:space="0" w:color="auto"/>
                            <w:right w:val="none" w:sz="0" w:space="0" w:color="auto"/>
                          </w:divBdr>
                        </w:div>
                      </w:divsChild>
                    </w:div>
                    <w:div w:id="1908225471">
                      <w:marLeft w:val="0"/>
                      <w:marRight w:val="0"/>
                      <w:marTop w:val="0"/>
                      <w:marBottom w:val="0"/>
                      <w:divBdr>
                        <w:top w:val="none" w:sz="0" w:space="0" w:color="auto"/>
                        <w:left w:val="none" w:sz="0" w:space="0" w:color="auto"/>
                        <w:bottom w:val="none" w:sz="0" w:space="0" w:color="auto"/>
                        <w:right w:val="none" w:sz="0" w:space="0" w:color="auto"/>
                      </w:divBdr>
                    </w:div>
                  </w:divsChild>
                </w:div>
                <w:div w:id="773675005">
                  <w:marLeft w:val="0"/>
                  <w:marRight w:val="0"/>
                  <w:marTop w:val="0"/>
                  <w:marBottom w:val="0"/>
                  <w:divBdr>
                    <w:top w:val="none" w:sz="0" w:space="0" w:color="auto"/>
                    <w:left w:val="none" w:sz="0" w:space="0" w:color="auto"/>
                    <w:bottom w:val="none" w:sz="0" w:space="0" w:color="auto"/>
                    <w:right w:val="none" w:sz="0" w:space="0" w:color="auto"/>
                  </w:divBdr>
                  <w:divsChild>
                    <w:div w:id="1766220368">
                      <w:marLeft w:val="0"/>
                      <w:marRight w:val="0"/>
                      <w:marTop w:val="0"/>
                      <w:marBottom w:val="0"/>
                      <w:divBdr>
                        <w:top w:val="none" w:sz="0" w:space="0" w:color="auto"/>
                        <w:left w:val="none" w:sz="0" w:space="0" w:color="auto"/>
                        <w:bottom w:val="none" w:sz="0" w:space="0" w:color="auto"/>
                        <w:right w:val="none" w:sz="0" w:space="0" w:color="auto"/>
                      </w:divBdr>
                      <w:divsChild>
                        <w:div w:id="1309817728">
                          <w:marLeft w:val="0"/>
                          <w:marRight w:val="0"/>
                          <w:marTop w:val="0"/>
                          <w:marBottom w:val="0"/>
                          <w:divBdr>
                            <w:top w:val="none" w:sz="0" w:space="0" w:color="auto"/>
                            <w:left w:val="none" w:sz="0" w:space="0" w:color="auto"/>
                            <w:bottom w:val="none" w:sz="0" w:space="0" w:color="auto"/>
                            <w:right w:val="none" w:sz="0" w:space="0" w:color="auto"/>
                          </w:divBdr>
                          <w:divsChild>
                            <w:div w:id="2129083311">
                              <w:marLeft w:val="0"/>
                              <w:marRight w:val="0"/>
                              <w:marTop w:val="0"/>
                              <w:marBottom w:val="0"/>
                              <w:divBdr>
                                <w:top w:val="none" w:sz="0" w:space="0" w:color="auto"/>
                                <w:left w:val="none" w:sz="0" w:space="0" w:color="auto"/>
                                <w:bottom w:val="none" w:sz="0" w:space="0" w:color="auto"/>
                                <w:right w:val="none" w:sz="0" w:space="0" w:color="auto"/>
                              </w:divBdr>
                            </w:div>
                          </w:divsChild>
                        </w:div>
                        <w:div w:id="1823766362">
                          <w:marLeft w:val="0"/>
                          <w:marRight w:val="0"/>
                          <w:marTop w:val="0"/>
                          <w:marBottom w:val="0"/>
                          <w:divBdr>
                            <w:top w:val="none" w:sz="0" w:space="0" w:color="auto"/>
                            <w:left w:val="none" w:sz="0" w:space="0" w:color="auto"/>
                            <w:bottom w:val="none" w:sz="0" w:space="0" w:color="auto"/>
                            <w:right w:val="none" w:sz="0" w:space="0" w:color="auto"/>
                          </w:divBdr>
                        </w:div>
                      </w:divsChild>
                    </w:div>
                    <w:div w:id="2049262221">
                      <w:marLeft w:val="0"/>
                      <w:marRight w:val="0"/>
                      <w:marTop w:val="0"/>
                      <w:marBottom w:val="0"/>
                      <w:divBdr>
                        <w:top w:val="none" w:sz="0" w:space="0" w:color="auto"/>
                        <w:left w:val="none" w:sz="0" w:space="0" w:color="auto"/>
                        <w:bottom w:val="none" w:sz="0" w:space="0" w:color="auto"/>
                        <w:right w:val="none" w:sz="0" w:space="0" w:color="auto"/>
                      </w:divBdr>
                    </w:div>
                  </w:divsChild>
                </w:div>
                <w:div w:id="420370879">
                  <w:marLeft w:val="0"/>
                  <w:marRight w:val="0"/>
                  <w:marTop w:val="0"/>
                  <w:marBottom w:val="0"/>
                  <w:divBdr>
                    <w:top w:val="none" w:sz="0" w:space="0" w:color="auto"/>
                    <w:left w:val="none" w:sz="0" w:space="0" w:color="auto"/>
                    <w:bottom w:val="none" w:sz="0" w:space="0" w:color="auto"/>
                    <w:right w:val="none" w:sz="0" w:space="0" w:color="auto"/>
                  </w:divBdr>
                  <w:divsChild>
                    <w:div w:id="1108744171">
                      <w:marLeft w:val="0"/>
                      <w:marRight w:val="0"/>
                      <w:marTop w:val="0"/>
                      <w:marBottom w:val="0"/>
                      <w:divBdr>
                        <w:top w:val="none" w:sz="0" w:space="0" w:color="auto"/>
                        <w:left w:val="none" w:sz="0" w:space="0" w:color="auto"/>
                        <w:bottom w:val="none" w:sz="0" w:space="0" w:color="auto"/>
                        <w:right w:val="none" w:sz="0" w:space="0" w:color="auto"/>
                      </w:divBdr>
                      <w:divsChild>
                        <w:div w:id="149248158">
                          <w:marLeft w:val="0"/>
                          <w:marRight w:val="0"/>
                          <w:marTop w:val="0"/>
                          <w:marBottom w:val="0"/>
                          <w:divBdr>
                            <w:top w:val="none" w:sz="0" w:space="0" w:color="auto"/>
                            <w:left w:val="none" w:sz="0" w:space="0" w:color="auto"/>
                            <w:bottom w:val="none" w:sz="0" w:space="0" w:color="auto"/>
                            <w:right w:val="none" w:sz="0" w:space="0" w:color="auto"/>
                          </w:divBdr>
                          <w:divsChild>
                            <w:div w:id="536159395">
                              <w:marLeft w:val="0"/>
                              <w:marRight w:val="0"/>
                              <w:marTop w:val="0"/>
                              <w:marBottom w:val="0"/>
                              <w:divBdr>
                                <w:top w:val="none" w:sz="0" w:space="0" w:color="auto"/>
                                <w:left w:val="none" w:sz="0" w:space="0" w:color="auto"/>
                                <w:bottom w:val="none" w:sz="0" w:space="0" w:color="auto"/>
                                <w:right w:val="none" w:sz="0" w:space="0" w:color="auto"/>
                              </w:divBdr>
                            </w:div>
                          </w:divsChild>
                        </w:div>
                        <w:div w:id="394547951">
                          <w:marLeft w:val="0"/>
                          <w:marRight w:val="0"/>
                          <w:marTop w:val="0"/>
                          <w:marBottom w:val="0"/>
                          <w:divBdr>
                            <w:top w:val="none" w:sz="0" w:space="0" w:color="auto"/>
                            <w:left w:val="none" w:sz="0" w:space="0" w:color="auto"/>
                            <w:bottom w:val="none" w:sz="0" w:space="0" w:color="auto"/>
                            <w:right w:val="none" w:sz="0" w:space="0" w:color="auto"/>
                          </w:divBdr>
                        </w:div>
                      </w:divsChild>
                    </w:div>
                    <w:div w:id="1073354954">
                      <w:marLeft w:val="0"/>
                      <w:marRight w:val="0"/>
                      <w:marTop w:val="0"/>
                      <w:marBottom w:val="0"/>
                      <w:divBdr>
                        <w:top w:val="none" w:sz="0" w:space="0" w:color="auto"/>
                        <w:left w:val="none" w:sz="0" w:space="0" w:color="auto"/>
                        <w:bottom w:val="none" w:sz="0" w:space="0" w:color="auto"/>
                        <w:right w:val="none" w:sz="0" w:space="0" w:color="auto"/>
                      </w:divBdr>
                    </w:div>
                  </w:divsChild>
                </w:div>
                <w:div w:id="2057469200">
                  <w:marLeft w:val="0"/>
                  <w:marRight w:val="0"/>
                  <w:marTop w:val="0"/>
                  <w:marBottom w:val="0"/>
                  <w:divBdr>
                    <w:top w:val="none" w:sz="0" w:space="0" w:color="auto"/>
                    <w:left w:val="none" w:sz="0" w:space="0" w:color="auto"/>
                    <w:bottom w:val="none" w:sz="0" w:space="0" w:color="auto"/>
                    <w:right w:val="none" w:sz="0" w:space="0" w:color="auto"/>
                  </w:divBdr>
                  <w:divsChild>
                    <w:div w:id="1168864718">
                      <w:marLeft w:val="0"/>
                      <w:marRight w:val="0"/>
                      <w:marTop w:val="0"/>
                      <w:marBottom w:val="0"/>
                      <w:divBdr>
                        <w:top w:val="none" w:sz="0" w:space="0" w:color="auto"/>
                        <w:left w:val="none" w:sz="0" w:space="0" w:color="auto"/>
                        <w:bottom w:val="none" w:sz="0" w:space="0" w:color="auto"/>
                        <w:right w:val="none" w:sz="0" w:space="0" w:color="auto"/>
                      </w:divBdr>
                      <w:divsChild>
                        <w:div w:id="359402683">
                          <w:marLeft w:val="0"/>
                          <w:marRight w:val="0"/>
                          <w:marTop w:val="0"/>
                          <w:marBottom w:val="0"/>
                          <w:divBdr>
                            <w:top w:val="none" w:sz="0" w:space="0" w:color="auto"/>
                            <w:left w:val="none" w:sz="0" w:space="0" w:color="auto"/>
                            <w:bottom w:val="none" w:sz="0" w:space="0" w:color="auto"/>
                            <w:right w:val="none" w:sz="0" w:space="0" w:color="auto"/>
                          </w:divBdr>
                          <w:divsChild>
                            <w:div w:id="1189681241">
                              <w:marLeft w:val="0"/>
                              <w:marRight w:val="0"/>
                              <w:marTop w:val="0"/>
                              <w:marBottom w:val="0"/>
                              <w:divBdr>
                                <w:top w:val="none" w:sz="0" w:space="0" w:color="auto"/>
                                <w:left w:val="none" w:sz="0" w:space="0" w:color="auto"/>
                                <w:bottom w:val="none" w:sz="0" w:space="0" w:color="auto"/>
                                <w:right w:val="none" w:sz="0" w:space="0" w:color="auto"/>
                              </w:divBdr>
                            </w:div>
                          </w:divsChild>
                        </w:div>
                        <w:div w:id="463431622">
                          <w:marLeft w:val="0"/>
                          <w:marRight w:val="0"/>
                          <w:marTop w:val="0"/>
                          <w:marBottom w:val="0"/>
                          <w:divBdr>
                            <w:top w:val="none" w:sz="0" w:space="0" w:color="auto"/>
                            <w:left w:val="none" w:sz="0" w:space="0" w:color="auto"/>
                            <w:bottom w:val="none" w:sz="0" w:space="0" w:color="auto"/>
                            <w:right w:val="none" w:sz="0" w:space="0" w:color="auto"/>
                          </w:divBdr>
                        </w:div>
                      </w:divsChild>
                    </w:div>
                    <w:div w:id="507839835">
                      <w:marLeft w:val="0"/>
                      <w:marRight w:val="0"/>
                      <w:marTop w:val="0"/>
                      <w:marBottom w:val="0"/>
                      <w:divBdr>
                        <w:top w:val="none" w:sz="0" w:space="0" w:color="auto"/>
                        <w:left w:val="none" w:sz="0" w:space="0" w:color="auto"/>
                        <w:bottom w:val="none" w:sz="0" w:space="0" w:color="auto"/>
                        <w:right w:val="none" w:sz="0" w:space="0" w:color="auto"/>
                      </w:divBdr>
                    </w:div>
                  </w:divsChild>
                </w:div>
                <w:div w:id="205412866">
                  <w:marLeft w:val="0"/>
                  <w:marRight w:val="0"/>
                  <w:marTop w:val="0"/>
                  <w:marBottom w:val="0"/>
                  <w:divBdr>
                    <w:top w:val="none" w:sz="0" w:space="0" w:color="auto"/>
                    <w:left w:val="none" w:sz="0" w:space="0" w:color="auto"/>
                    <w:bottom w:val="none" w:sz="0" w:space="0" w:color="auto"/>
                    <w:right w:val="none" w:sz="0" w:space="0" w:color="auto"/>
                  </w:divBdr>
                  <w:divsChild>
                    <w:div w:id="995113893">
                      <w:marLeft w:val="0"/>
                      <w:marRight w:val="0"/>
                      <w:marTop w:val="0"/>
                      <w:marBottom w:val="0"/>
                      <w:divBdr>
                        <w:top w:val="none" w:sz="0" w:space="0" w:color="auto"/>
                        <w:left w:val="none" w:sz="0" w:space="0" w:color="auto"/>
                        <w:bottom w:val="none" w:sz="0" w:space="0" w:color="auto"/>
                        <w:right w:val="none" w:sz="0" w:space="0" w:color="auto"/>
                      </w:divBdr>
                      <w:divsChild>
                        <w:div w:id="521363010">
                          <w:marLeft w:val="0"/>
                          <w:marRight w:val="0"/>
                          <w:marTop w:val="0"/>
                          <w:marBottom w:val="0"/>
                          <w:divBdr>
                            <w:top w:val="none" w:sz="0" w:space="0" w:color="auto"/>
                            <w:left w:val="none" w:sz="0" w:space="0" w:color="auto"/>
                            <w:bottom w:val="none" w:sz="0" w:space="0" w:color="auto"/>
                            <w:right w:val="none" w:sz="0" w:space="0" w:color="auto"/>
                          </w:divBdr>
                          <w:divsChild>
                            <w:div w:id="524173260">
                              <w:marLeft w:val="0"/>
                              <w:marRight w:val="0"/>
                              <w:marTop w:val="0"/>
                              <w:marBottom w:val="0"/>
                              <w:divBdr>
                                <w:top w:val="none" w:sz="0" w:space="0" w:color="auto"/>
                                <w:left w:val="none" w:sz="0" w:space="0" w:color="auto"/>
                                <w:bottom w:val="none" w:sz="0" w:space="0" w:color="auto"/>
                                <w:right w:val="none" w:sz="0" w:space="0" w:color="auto"/>
                              </w:divBdr>
                            </w:div>
                          </w:divsChild>
                        </w:div>
                        <w:div w:id="1146703268">
                          <w:marLeft w:val="0"/>
                          <w:marRight w:val="0"/>
                          <w:marTop w:val="0"/>
                          <w:marBottom w:val="0"/>
                          <w:divBdr>
                            <w:top w:val="none" w:sz="0" w:space="0" w:color="auto"/>
                            <w:left w:val="none" w:sz="0" w:space="0" w:color="auto"/>
                            <w:bottom w:val="none" w:sz="0" w:space="0" w:color="auto"/>
                            <w:right w:val="none" w:sz="0" w:space="0" w:color="auto"/>
                          </w:divBdr>
                        </w:div>
                      </w:divsChild>
                    </w:div>
                    <w:div w:id="391972631">
                      <w:marLeft w:val="0"/>
                      <w:marRight w:val="0"/>
                      <w:marTop w:val="0"/>
                      <w:marBottom w:val="0"/>
                      <w:divBdr>
                        <w:top w:val="none" w:sz="0" w:space="0" w:color="auto"/>
                        <w:left w:val="none" w:sz="0" w:space="0" w:color="auto"/>
                        <w:bottom w:val="none" w:sz="0" w:space="0" w:color="auto"/>
                        <w:right w:val="none" w:sz="0" w:space="0" w:color="auto"/>
                      </w:divBdr>
                    </w:div>
                  </w:divsChild>
                </w:div>
                <w:div w:id="46030612">
                  <w:marLeft w:val="0"/>
                  <w:marRight w:val="0"/>
                  <w:marTop w:val="0"/>
                  <w:marBottom w:val="0"/>
                  <w:divBdr>
                    <w:top w:val="none" w:sz="0" w:space="0" w:color="auto"/>
                    <w:left w:val="none" w:sz="0" w:space="0" w:color="auto"/>
                    <w:bottom w:val="none" w:sz="0" w:space="0" w:color="auto"/>
                    <w:right w:val="none" w:sz="0" w:space="0" w:color="auto"/>
                  </w:divBdr>
                  <w:divsChild>
                    <w:div w:id="1694265855">
                      <w:marLeft w:val="0"/>
                      <w:marRight w:val="0"/>
                      <w:marTop w:val="0"/>
                      <w:marBottom w:val="0"/>
                      <w:divBdr>
                        <w:top w:val="none" w:sz="0" w:space="0" w:color="auto"/>
                        <w:left w:val="none" w:sz="0" w:space="0" w:color="auto"/>
                        <w:bottom w:val="none" w:sz="0" w:space="0" w:color="auto"/>
                        <w:right w:val="none" w:sz="0" w:space="0" w:color="auto"/>
                      </w:divBdr>
                      <w:divsChild>
                        <w:div w:id="944727600">
                          <w:marLeft w:val="0"/>
                          <w:marRight w:val="0"/>
                          <w:marTop w:val="0"/>
                          <w:marBottom w:val="0"/>
                          <w:divBdr>
                            <w:top w:val="none" w:sz="0" w:space="0" w:color="auto"/>
                            <w:left w:val="none" w:sz="0" w:space="0" w:color="auto"/>
                            <w:bottom w:val="none" w:sz="0" w:space="0" w:color="auto"/>
                            <w:right w:val="none" w:sz="0" w:space="0" w:color="auto"/>
                          </w:divBdr>
                          <w:divsChild>
                            <w:div w:id="1403410613">
                              <w:marLeft w:val="0"/>
                              <w:marRight w:val="0"/>
                              <w:marTop w:val="0"/>
                              <w:marBottom w:val="0"/>
                              <w:divBdr>
                                <w:top w:val="none" w:sz="0" w:space="0" w:color="auto"/>
                                <w:left w:val="none" w:sz="0" w:space="0" w:color="auto"/>
                                <w:bottom w:val="none" w:sz="0" w:space="0" w:color="auto"/>
                                <w:right w:val="none" w:sz="0" w:space="0" w:color="auto"/>
                              </w:divBdr>
                            </w:div>
                          </w:divsChild>
                        </w:div>
                        <w:div w:id="235476602">
                          <w:marLeft w:val="0"/>
                          <w:marRight w:val="0"/>
                          <w:marTop w:val="0"/>
                          <w:marBottom w:val="0"/>
                          <w:divBdr>
                            <w:top w:val="none" w:sz="0" w:space="0" w:color="auto"/>
                            <w:left w:val="none" w:sz="0" w:space="0" w:color="auto"/>
                            <w:bottom w:val="none" w:sz="0" w:space="0" w:color="auto"/>
                            <w:right w:val="none" w:sz="0" w:space="0" w:color="auto"/>
                          </w:divBdr>
                        </w:div>
                      </w:divsChild>
                    </w:div>
                    <w:div w:id="1099568173">
                      <w:marLeft w:val="0"/>
                      <w:marRight w:val="0"/>
                      <w:marTop w:val="0"/>
                      <w:marBottom w:val="0"/>
                      <w:divBdr>
                        <w:top w:val="none" w:sz="0" w:space="0" w:color="auto"/>
                        <w:left w:val="none" w:sz="0" w:space="0" w:color="auto"/>
                        <w:bottom w:val="none" w:sz="0" w:space="0" w:color="auto"/>
                        <w:right w:val="none" w:sz="0" w:space="0" w:color="auto"/>
                      </w:divBdr>
                    </w:div>
                  </w:divsChild>
                </w:div>
                <w:div w:id="1580748771">
                  <w:marLeft w:val="0"/>
                  <w:marRight w:val="0"/>
                  <w:marTop w:val="0"/>
                  <w:marBottom w:val="0"/>
                  <w:divBdr>
                    <w:top w:val="none" w:sz="0" w:space="0" w:color="auto"/>
                    <w:left w:val="none" w:sz="0" w:space="0" w:color="auto"/>
                    <w:bottom w:val="none" w:sz="0" w:space="0" w:color="auto"/>
                    <w:right w:val="none" w:sz="0" w:space="0" w:color="auto"/>
                  </w:divBdr>
                  <w:divsChild>
                    <w:div w:id="822508141">
                      <w:marLeft w:val="0"/>
                      <w:marRight w:val="0"/>
                      <w:marTop w:val="0"/>
                      <w:marBottom w:val="0"/>
                      <w:divBdr>
                        <w:top w:val="none" w:sz="0" w:space="0" w:color="auto"/>
                        <w:left w:val="none" w:sz="0" w:space="0" w:color="auto"/>
                        <w:bottom w:val="none" w:sz="0" w:space="0" w:color="auto"/>
                        <w:right w:val="none" w:sz="0" w:space="0" w:color="auto"/>
                      </w:divBdr>
                      <w:divsChild>
                        <w:div w:id="1892645284">
                          <w:marLeft w:val="0"/>
                          <w:marRight w:val="0"/>
                          <w:marTop w:val="0"/>
                          <w:marBottom w:val="0"/>
                          <w:divBdr>
                            <w:top w:val="none" w:sz="0" w:space="0" w:color="auto"/>
                            <w:left w:val="none" w:sz="0" w:space="0" w:color="auto"/>
                            <w:bottom w:val="none" w:sz="0" w:space="0" w:color="auto"/>
                            <w:right w:val="none" w:sz="0" w:space="0" w:color="auto"/>
                          </w:divBdr>
                          <w:divsChild>
                            <w:div w:id="1991519548">
                              <w:marLeft w:val="0"/>
                              <w:marRight w:val="0"/>
                              <w:marTop w:val="0"/>
                              <w:marBottom w:val="0"/>
                              <w:divBdr>
                                <w:top w:val="none" w:sz="0" w:space="0" w:color="auto"/>
                                <w:left w:val="none" w:sz="0" w:space="0" w:color="auto"/>
                                <w:bottom w:val="none" w:sz="0" w:space="0" w:color="auto"/>
                                <w:right w:val="none" w:sz="0" w:space="0" w:color="auto"/>
                              </w:divBdr>
                            </w:div>
                          </w:divsChild>
                        </w:div>
                        <w:div w:id="867257504">
                          <w:marLeft w:val="0"/>
                          <w:marRight w:val="0"/>
                          <w:marTop w:val="0"/>
                          <w:marBottom w:val="0"/>
                          <w:divBdr>
                            <w:top w:val="none" w:sz="0" w:space="0" w:color="auto"/>
                            <w:left w:val="none" w:sz="0" w:space="0" w:color="auto"/>
                            <w:bottom w:val="none" w:sz="0" w:space="0" w:color="auto"/>
                            <w:right w:val="none" w:sz="0" w:space="0" w:color="auto"/>
                          </w:divBdr>
                        </w:div>
                      </w:divsChild>
                    </w:div>
                    <w:div w:id="3476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5239">
          <w:marLeft w:val="0"/>
          <w:marRight w:val="0"/>
          <w:marTop w:val="0"/>
          <w:marBottom w:val="0"/>
          <w:divBdr>
            <w:top w:val="none" w:sz="0" w:space="0" w:color="auto"/>
            <w:left w:val="none" w:sz="0" w:space="0" w:color="auto"/>
            <w:bottom w:val="none" w:sz="0" w:space="0" w:color="auto"/>
            <w:right w:val="none" w:sz="0" w:space="0" w:color="auto"/>
          </w:divBdr>
          <w:divsChild>
            <w:div w:id="971984413">
              <w:marLeft w:val="0"/>
              <w:marRight w:val="0"/>
              <w:marTop w:val="0"/>
              <w:marBottom w:val="0"/>
              <w:divBdr>
                <w:top w:val="none" w:sz="0" w:space="0" w:color="auto"/>
                <w:left w:val="none" w:sz="0" w:space="0" w:color="auto"/>
                <w:bottom w:val="none" w:sz="0" w:space="0" w:color="auto"/>
                <w:right w:val="none" w:sz="0" w:space="0" w:color="auto"/>
              </w:divBdr>
              <w:divsChild>
                <w:div w:id="7621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9833">
      <w:bodyDiv w:val="1"/>
      <w:marLeft w:val="0"/>
      <w:marRight w:val="0"/>
      <w:marTop w:val="0"/>
      <w:marBottom w:val="0"/>
      <w:divBdr>
        <w:top w:val="none" w:sz="0" w:space="0" w:color="auto"/>
        <w:left w:val="none" w:sz="0" w:space="0" w:color="auto"/>
        <w:bottom w:val="none" w:sz="0" w:space="0" w:color="auto"/>
        <w:right w:val="none" w:sz="0" w:space="0" w:color="auto"/>
      </w:divBdr>
    </w:div>
    <w:div w:id="214692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hullccg.nhs.uk" TargetMode="External"/><Relationship Id="rId21" Type="http://schemas.openxmlformats.org/officeDocument/2006/relationships/hyperlink" Target="http://www.humberandnorthyorkshire.org.uk" TargetMode="External"/><Relationship Id="rId34" Type="http://schemas.openxmlformats.org/officeDocument/2006/relationships/hyperlink" Target="https://www.hullccg.nhs.uk/primary-care-blueprint/" TargetMode="External"/><Relationship Id="rId42" Type="http://schemas.openxmlformats.org/officeDocument/2006/relationships/hyperlink" Target="http://www.hullccg.nhs.uk" TargetMode="External"/><Relationship Id="rId47" Type="http://schemas.openxmlformats.org/officeDocument/2006/relationships/hyperlink" Target="http://www.hullccg.nhs.uk" TargetMode="External"/><Relationship Id="rId50" Type="http://schemas.openxmlformats.org/officeDocument/2006/relationships/image" Target="media/image6.emf"/><Relationship Id="rId55" Type="http://schemas.openxmlformats.org/officeDocument/2006/relationships/image" Target="media/image11.emf"/><Relationship Id="rId63"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Y:\HULLCCG\Comms&amp;%20Engagement\Annual%20Report\HULL%20CCG%20ANNUAL%20REPORT%202021-22\03F_CCG_Annual_Report_2021-22_FOR%20CCG%20BOARD%2017%20MAY%202022.docx" TargetMode="External"/><Relationship Id="rId29" Type="http://schemas.openxmlformats.org/officeDocument/2006/relationships/hyperlink" Target="mailto:SEND.Management@hullcc.gov.uk" TargetMode="External"/><Relationship Id="rId11" Type="http://schemas.openxmlformats.org/officeDocument/2006/relationships/endnotes" Target="endnotes.xml"/><Relationship Id="rId24" Type="http://schemas.openxmlformats.org/officeDocument/2006/relationships/hyperlink" Target="http://www.hullccg.nhs.uk" TargetMode="External"/><Relationship Id="rId32" Type="http://schemas.openxmlformats.org/officeDocument/2006/relationships/hyperlink" Target="http://www.hullandeastyorkshireveteransupport.co.uk" TargetMode="External"/><Relationship Id="rId37" Type="http://schemas.openxmlformats.org/officeDocument/2006/relationships/hyperlink" Target="mailto:HullCCG.Pals@nhs.net" TargetMode="External"/><Relationship Id="rId40" Type="http://schemas.openxmlformats.org/officeDocument/2006/relationships/footer" Target="footer1.xml"/><Relationship Id="rId45" Type="http://schemas.openxmlformats.org/officeDocument/2006/relationships/hyperlink" Target="https://www.hullccg.nhs.uk/freedom-of-information-and-sharing-information/freedom-of-information/" TargetMode="External"/><Relationship Id="rId53" Type="http://schemas.openxmlformats.org/officeDocument/2006/relationships/image" Target="media/image9.emf"/><Relationship Id="rId58" Type="http://schemas.openxmlformats.org/officeDocument/2006/relationships/hyperlink" Target="https://www.kingsfund.org.uk/publications/health-people-ethnic-minority-groups-england"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hullccg.nhs.uk/" TargetMode="External"/><Relationship Id="rId19" Type="http://schemas.openxmlformats.org/officeDocument/2006/relationships/hyperlink" Target="http://www.hullccg.nhs.uk/" TargetMode="External"/><Relationship Id="rId14" Type="http://schemas.openxmlformats.org/officeDocument/2006/relationships/image" Target="media/image3.png"/><Relationship Id="rId22" Type="http://schemas.openxmlformats.org/officeDocument/2006/relationships/hyperlink" Target="http://www.humberandnorthyorkshire.org.uk" TargetMode="External"/><Relationship Id="rId27" Type="http://schemas.openxmlformats.org/officeDocument/2006/relationships/hyperlink" Target="http://www.hullccg.nhs.uk/about-us/who-we-are/primary-care-networks/" TargetMode="External"/><Relationship Id="rId30" Type="http://schemas.openxmlformats.org/officeDocument/2006/relationships/hyperlink" Target="https://humberandnorthyorkshire.org.uk/our-work/humber-acute-services-review/" TargetMode="External"/><Relationship Id="rId35" Type="http://schemas.openxmlformats.org/officeDocument/2006/relationships/hyperlink" Target="https://www.hullccg.nhs.uk/publications/a-z-of-publications/current/" TargetMode="External"/><Relationship Id="rId43" Type="http://schemas.openxmlformats.org/officeDocument/2006/relationships/hyperlink" Target="mailto:HULLCCG.contactus@nhs.net" TargetMode="External"/><Relationship Id="rId48" Type="http://schemas.openxmlformats.org/officeDocument/2006/relationships/hyperlink" Target="http://www.hullccg.nhs.uk" TargetMode="External"/><Relationship Id="rId56" Type="http://schemas.openxmlformats.org/officeDocument/2006/relationships/image" Target="media/image12.emf"/><Relationship Id="rId64"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image" Target="media/image7.e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hullccg.nhs.uk/" TargetMode="External"/><Relationship Id="rId25" Type="http://schemas.openxmlformats.org/officeDocument/2006/relationships/hyperlink" Target="http://www.hnycanceralliance.org.uk" TargetMode="External"/><Relationship Id="rId33" Type="http://schemas.openxmlformats.org/officeDocument/2006/relationships/hyperlink" Target="http://www.hullccg.nhs.uk" TargetMode="External"/><Relationship Id="rId38" Type="http://schemas.openxmlformats.org/officeDocument/2006/relationships/hyperlink" Target="http://www.hullandeastyorkshireveteransupport.co.uk" TargetMode="External"/><Relationship Id="rId46" Type="http://schemas.openxmlformats.org/officeDocument/2006/relationships/hyperlink" Target="https://www.hullccg.nhs.uk/freedom-of-information-and-sharing-information/publication-scheme/" TargetMode="External"/><Relationship Id="rId59" Type="http://schemas.openxmlformats.org/officeDocument/2006/relationships/hyperlink" Target="https://www.nhsrho.org/wp-content/uploads/2022/02/RHO-Rapid-Review-Final-Report_v.7.pdf" TargetMode="External"/><Relationship Id="rId67" Type="http://schemas.openxmlformats.org/officeDocument/2006/relationships/theme" Target="theme/theme1.xml"/><Relationship Id="rId20" Type="http://schemas.openxmlformats.org/officeDocument/2006/relationships/hyperlink" Target="https://twitter.com/NHSHullCCG" TargetMode="External"/><Relationship Id="rId41" Type="http://schemas.openxmlformats.org/officeDocument/2006/relationships/hyperlink" Target="http://www.hullccg.nhs.uk" TargetMode="External"/><Relationship Id="rId54" Type="http://schemas.openxmlformats.org/officeDocument/2006/relationships/image" Target="media/image10.emf"/><Relationship Id="rId62" Type="http://schemas.openxmlformats.org/officeDocument/2006/relationships/hyperlink" Target="http://www.hullccg.nhs.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www.hullccg.nhs.uk/wp-content/uploads/2021/06/10844-nhs-hull-long-covid-web.pdf" TargetMode="External"/><Relationship Id="rId28" Type="http://schemas.openxmlformats.org/officeDocument/2006/relationships/hyperlink" Target="http://www.legislation.gov.uk/ukpga/2012/7/section/26/enacted" TargetMode="External"/><Relationship Id="rId36" Type="http://schemas.openxmlformats.org/officeDocument/2006/relationships/hyperlink" Target="http://www.hullccg.nhs.uk" TargetMode="External"/><Relationship Id="rId49" Type="http://schemas.openxmlformats.org/officeDocument/2006/relationships/image" Target="media/image5.png"/><Relationship Id="rId57" Type="http://schemas.openxmlformats.org/officeDocument/2006/relationships/image" Target="media/image13.emf"/><Relationship Id="rId10" Type="http://schemas.openxmlformats.org/officeDocument/2006/relationships/footnotes" Target="footnotes.xml"/><Relationship Id="rId31" Type="http://schemas.openxmlformats.org/officeDocument/2006/relationships/hyperlink" Target="http://www.vaccinatehullandeastriding.co.uk" TargetMode="External"/><Relationship Id="rId44" Type="http://schemas.openxmlformats.org/officeDocument/2006/relationships/hyperlink" Target="http://www.hullccg.nhs.uk" TargetMode="External"/><Relationship Id="rId52" Type="http://schemas.openxmlformats.org/officeDocument/2006/relationships/image" Target="media/image8.emf"/><Relationship Id="rId60" Type="http://schemas.openxmlformats.org/officeDocument/2006/relationships/hyperlink" Target="https://www.mencap.org.uk/press-release/eight-10-deaths-people-learning-disability-are-covid-related-inequality-soars"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HULLCCG.contactus@nhs.net" TargetMode="External"/><Relationship Id="rId39" Type="http://schemas.openxmlformats.org/officeDocument/2006/relationships/hyperlink" Target="https://www.strokeaudit.org/results/Clinical-audit/Clinical-CCG-LHB-LCG.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ealth.org.uk/news-and-comment/blogs/the-forgotten-crisis-exploring-the-disproportionate-impact-of-the-pandemic" TargetMode="External"/><Relationship Id="rId2" Type="http://schemas.openxmlformats.org/officeDocument/2006/relationships/hyperlink" Target="https://www.bmj.com/company/newsroom/people-with-learning-disabilities-extremely-vulnerable-to-the-effects-of-covid-19/" TargetMode="External"/><Relationship Id="rId1" Type="http://schemas.openxmlformats.org/officeDocument/2006/relationships/hyperlink" Target="https://lordslibrary.parliament.uk/covid-19-pandemic-impact-on-people-with-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63753EA1BB843AF69B19D5A0AF4B2" ma:contentTypeVersion="8" ma:contentTypeDescription="Create a new document." ma:contentTypeScope="" ma:versionID="ab5c78df5005cf76b00aa0f5ba96eb47">
  <xsd:schema xmlns:xsd="http://www.w3.org/2001/XMLSchema" xmlns:xs="http://www.w3.org/2001/XMLSchema" xmlns:p="http://schemas.microsoft.com/office/2006/metadata/properties" xmlns:ns1="http://schemas.microsoft.com/sharepoint/v3" xmlns:ns2="cccaf3ac-2de9-44d4-aa31-54302fceb5f7" xmlns:ns3="51367701-27c8-403e-a234-85855c5cd73e" xmlns:ns4="d394111c-6687-4ce1-a7f8-4c68a27eb7ea" targetNamespace="http://schemas.microsoft.com/office/2006/metadata/properties" ma:root="true" ma:fieldsID="0a83e61da1721f086b032aa489373dc4" ns1:_="" ns2:_="" ns3:_="" ns4:_="">
    <xsd:import namespace="http://schemas.microsoft.com/sharepoint/v3"/>
    <xsd:import namespace="cccaf3ac-2de9-44d4-aa31-54302fceb5f7"/>
    <xsd:import namespace="51367701-27c8-403e-a234-85855c5cd73e"/>
    <xsd:import namespace="d394111c-6687-4ce1-a7f8-4c68a27eb7e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SharingHintHash" minOccurs="0"/>
                <xsd:element ref="ns4:Category" minOccurs="0"/>
                <xsd:element ref="ns1:_ip_UnifiedCompliancePolicyProperties" minOccurs="0"/>
                <xsd:element ref="ns1:_ip_UnifiedCompliancePolicyUIAction"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4111c-6687-4ce1-a7f8-4c68a27eb7ea" elementFormDefault="qualified">
    <xsd:import namespace="http://schemas.microsoft.com/office/2006/documentManagement/types"/>
    <xsd:import namespace="http://schemas.microsoft.com/office/infopath/2007/PartnerControls"/>
    <xsd:element name="Category" ma:index="14" nillable="true" ma:displayName="Guidance Role" ma:format="Dropdown" ma:internalName="Category">
      <xsd:simpleType>
        <xsd:restriction base="dms:Choice">
          <xsd:enumeration value="Admin"/>
          <xsd:enumeration value="Example"/>
          <xsd:enumeration value="Information"/>
          <xsd:enumeration value="Page Data"/>
          <xsd:enumeration value="Picture"/>
          <xsd:enumeration value="Template"/>
          <xsd:enumeration value="Web Parts"/>
          <xsd:enumeration value="X Archived"/>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Category xmlns="d394111c-6687-4ce1-a7f8-4c68a27eb7ea">Document</Category>
    <_dlc_DocId xmlns="cccaf3ac-2de9-44d4-aa31-54302fceb5f7">K57F673QWXRZ-3308-496</_dlc_DocId>
    <_ip_UnifiedCompliancePolicyUIAction xmlns="http://schemas.microsoft.com/sharepoint/v3" xsi:nil="true"/>
    <_dlc_DocIdUrl xmlns="cccaf3ac-2de9-44d4-aa31-54302fceb5f7">
      <Url>https://nhsengland.sharepoint.com/TeamCentre/Finance/FinancialControl/_layouts/15/DocIdRedir.aspx?ID=K57F673QWXRZ-3308-496</Url>
      <Description>K57F673QWXRZ-3308-496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6FAA66-EFA5-4D94-B22B-39FED04A4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caf3ac-2de9-44d4-aa31-54302fceb5f7"/>
    <ds:schemaRef ds:uri="51367701-27c8-403e-a234-85855c5cd73e"/>
    <ds:schemaRef ds:uri="d394111c-6687-4ce1-a7f8-4c68a27eb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CB18A-3FF3-47C1-AE65-FA7FDF4316C7}">
  <ds:schemaRefs>
    <ds:schemaRef ds:uri="http://schemas.openxmlformats.org/officeDocument/2006/bibliography"/>
  </ds:schemaRefs>
</ds:datastoreItem>
</file>

<file path=customXml/itemProps3.xml><?xml version="1.0" encoding="utf-8"?>
<ds:datastoreItem xmlns:ds="http://schemas.openxmlformats.org/officeDocument/2006/customXml" ds:itemID="{A65771AA-DBD4-4641-A7F2-5723C3B9B404}">
  <ds:schemaRefs>
    <ds:schemaRef ds:uri="http://schemas.microsoft.com/sharepoint/v3/contenttype/forms"/>
  </ds:schemaRefs>
</ds:datastoreItem>
</file>

<file path=customXml/itemProps4.xml><?xml version="1.0" encoding="utf-8"?>
<ds:datastoreItem xmlns:ds="http://schemas.openxmlformats.org/officeDocument/2006/customXml" ds:itemID="{986A8817-760D-4A85-86A4-4E23548718AA}">
  <ds:schemaRefs>
    <ds:schemaRef ds:uri="http://www.w3.org/XML/1998/namespace"/>
    <ds:schemaRef ds:uri="http://schemas.microsoft.com/office/2006/metadata/properties"/>
    <ds:schemaRef ds:uri="http://schemas.microsoft.com/office/2006/documentManagement/types"/>
    <ds:schemaRef ds:uri="http://purl.org/dc/elements/1.1/"/>
    <ds:schemaRef ds:uri="d394111c-6687-4ce1-a7f8-4c68a27eb7ea"/>
    <ds:schemaRef ds:uri="http://purl.org/dc/terms/"/>
    <ds:schemaRef ds:uri="http://schemas.microsoft.com/office/infopath/2007/PartnerControls"/>
    <ds:schemaRef ds:uri="http://schemas.openxmlformats.org/package/2006/metadata/core-properties"/>
    <ds:schemaRef ds:uri="51367701-27c8-403e-a234-85855c5cd73e"/>
    <ds:schemaRef ds:uri="cccaf3ac-2de9-44d4-aa31-54302fceb5f7"/>
    <ds:schemaRef ds:uri="http://schemas.microsoft.com/sharepoint/v3"/>
    <ds:schemaRef ds:uri="http://purl.org/dc/dcmitype/"/>
  </ds:schemaRefs>
</ds:datastoreItem>
</file>

<file path=customXml/itemProps5.xml><?xml version="1.0" encoding="utf-8"?>
<ds:datastoreItem xmlns:ds="http://schemas.openxmlformats.org/officeDocument/2006/customXml" ds:itemID="{5548FE44-B36C-4220-B25C-9CE384CDD6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38153</Words>
  <Characters>217473</Characters>
  <Application>Microsoft Office Word</Application>
  <DocSecurity>4</DocSecurity>
  <Lines>1812</Lines>
  <Paragraphs>510</Paragraphs>
  <ScaleCrop>false</ScaleCrop>
  <HeadingPairs>
    <vt:vector size="2" baseType="variant">
      <vt:variant>
        <vt:lpstr>Title</vt:lpstr>
      </vt:variant>
      <vt:variant>
        <vt:i4>1</vt:i4>
      </vt:variant>
    </vt:vector>
  </HeadingPairs>
  <TitlesOfParts>
    <vt:vector size="1" baseType="lpstr">
      <vt:lpstr>NHS Hull Clinical Commissioning Group Annual Report and Accounts 2021-22</vt:lpstr>
    </vt:vector>
  </TitlesOfParts>
  <Company>IMS3</Company>
  <LinksUpToDate>false</LinksUpToDate>
  <CharactersWithSpaces>255116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Hull Clinical Commissioning Group Annual Report and Accounts 2021-22</dc:title>
  <dc:subject>HD_CorpGov_CCG Annual Report Template</dc:subject>
  <dc:creator>Pearson, Fiona</dc:creator>
  <cp:lastModifiedBy>ROBINSON, Donna (NHS HULL CCG)</cp:lastModifiedBy>
  <cp:revision>2</cp:revision>
  <cp:lastPrinted>2022-04-22T14:17:00Z</cp:lastPrinted>
  <dcterms:created xsi:type="dcterms:W3CDTF">2022-05-17T15:20:00Z</dcterms:created>
  <dcterms:modified xsi:type="dcterms:W3CDTF">2022-05-17T15:20:00Z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siteDocRef">
    <vt:lpwstr>143693377.1</vt:lpwstr>
  </property>
  <property fmtid="{D5CDD505-2E9C-101B-9397-08002B2CF9AE}" pid="3" name="Title">
    <vt:lpwstr>CCG Annual Report 2016-17 TEMPLATE v7 [HD comments/amends]</vt:lpwstr>
  </property>
  <property fmtid="{D5CDD505-2E9C-101B-9397-08002B2CF9AE}" pid="4" name="Subject">
    <vt:lpwstr>HD_CorpGov_CCG Annual Report Template</vt:lpwstr>
  </property>
  <property fmtid="{D5CDD505-2E9C-101B-9397-08002B2CF9AE}" pid="5" name="Author">
    <vt:lpwstr>Richard Parker</vt:lpwstr>
  </property>
  <property fmtid="{D5CDD505-2E9C-101B-9397-08002B2CF9AE}" pid="6" name="Manager">
    <vt:lpwstr>ES</vt:lpwstr>
  </property>
  <property fmtid="{D5CDD505-2E9C-101B-9397-08002B2CF9AE}" pid="7" name="Category">
    <vt:lpwstr>Document</vt:lpwstr>
  </property>
  <property fmtid="{D5CDD505-2E9C-101B-9397-08002B2CF9AE}" pid="8" name="ClientNo">
    <vt:lpwstr>12002157</vt:lpwstr>
  </property>
  <property fmtid="{D5CDD505-2E9C-101B-9397-08002B2CF9AE}" pid="9" name="MatterNo">
    <vt:lpwstr>57</vt:lpwstr>
  </property>
  <property fmtid="{D5CDD505-2E9C-101B-9397-08002B2CF9AE}" pid="10" name="DMSFileNo">
    <vt:lpwstr>143693377</vt:lpwstr>
  </property>
  <property fmtid="{D5CDD505-2E9C-101B-9397-08002B2CF9AE}" pid="11" name="Typist">
    <vt:lpwstr>Richard Parker</vt:lpwstr>
  </property>
  <property fmtid="{D5CDD505-2E9C-101B-9397-08002B2CF9AE}" pid="12" name="ContentTypeId">
    <vt:lpwstr>0x01010042263753EA1BB843AF69B19D5A0AF4B2</vt:lpwstr>
  </property>
  <property fmtid="{D5CDD505-2E9C-101B-9397-08002B2CF9AE}" pid="13" name="_dlc_DocIdItemGuid">
    <vt:lpwstr>911f76c0-60ad-49f8-a541-4384c3e73c81</vt:lpwstr>
  </property>
</Properties>
</file>