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9F" w:rsidRDefault="00564BB5" w:rsidP="001B25C2">
      <w:pPr>
        <w:spacing w:after="0" w:line="240" w:lineRule="auto"/>
        <w:jc w:val="right"/>
        <w:rPr>
          <w:b/>
          <w:color w:val="auto"/>
          <w:sz w:val="24"/>
          <w:szCs w:val="24"/>
        </w:rPr>
      </w:pPr>
      <w:bookmarkStart w:id="0" w:name="_GoBack"/>
      <w:bookmarkEnd w:id="0"/>
      <w:r>
        <w:rPr>
          <w:noProof/>
          <w:lang w:eastAsia="en-GB"/>
        </w:rPr>
        <w:drawing>
          <wp:anchor distT="0" distB="0" distL="114300" distR="114300" simplePos="0" relativeHeight="251674624" behindDoc="1" locked="0" layoutInCell="1" allowOverlap="1" wp14:anchorId="45A2B8A7" wp14:editId="0E92AF5E">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Pr>
          <w:noProof/>
          <w:lang w:eastAsia="en-GB"/>
        </w:rPr>
        <w:drawing>
          <wp:anchor distT="0" distB="0" distL="114300" distR="114300" simplePos="0" relativeHeight="251678720" behindDoc="1" locked="0" layoutInCell="1" allowOverlap="1" wp14:anchorId="2C5E74AD" wp14:editId="3EAEEE49">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57F82D67" wp14:editId="66F29BD0">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2E57" w:rsidRPr="000E54A7" w:rsidRDefault="00362E57" w:rsidP="000E54A7">
                            <w:pPr>
                              <w:jc w:val="center"/>
                              <w:rPr>
                                <w:b/>
                                <w:color w:val="FFFFFF" w:themeColor="background1"/>
                              </w:rPr>
                            </w:pPr>
                            <w:r w:rsidRPr="000E54A7">
                              <w:rPr>
                                <w:b/>
                                <w:color w:val="FFFFFF" w:themeColor="background1"/>
                              </w:rPr>
                              <w:t xml:space="preserve">Item </w:t>
                            </w:r>
                            <w:r w:rsidR="00604AF1">
                              <w:rPr>
                                <w:b/>
                                <w:color w:val="FFFFFF" w:themeColor="background1"/>
                              </w:rPr>
                              <w:t>6.7</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rsidR="00362E57" w:rsidRPr="000E54A7" w:rsidRDefault="00362E57" w:rsidP="000E54A7">
                      <w:pPr>
                        <w:jc w:val="center"/>
                        <w:rPr>
                          <w:b/>
                          <w:color w:val="FFFFFF" w:themeColor="background1"/>
                        </w:rPr>
                      </w:pPr>
                      <w:r w:rsidRPr="000E54A7">
                        <w:rPr>
                          <w:b/>
                          <w:color w:val="FFFFFF" w:themeColor="background1"/>
                        </w:rPr>
                        <w:t xml:space="preserve">Item </w:t>
                      </w:r>
                      <w:r w:rsidR="00604AF1">
                        <w:rPr>
                          <w:b/>
                          <w:color w:val="FFFFFF" w:themeColor="background1"/>
                        </w:rPr>
                        <w:t>6.7</w:t>
                      </w:r>
                    </w:p>
                  </w:txbxContent>
                </v:textbox>
                <w10:wrap anchory="margin"/>
              </v:rect>
            </w:pict>
          </mc:Fallback>
        </mc:AlternateContent>
      </w:r>
    </w:p>
    <w:p w:rsidR="001B25C2" w:rsidRDefault="001B25C2" w:rsidP="00880E9F">
      <w:pPr>
        <w:spacing w:after="0" w:line="240" w:lineRule="auto"/>
        <w:jc w:val="center"/>
        <w:rPr>
          <w:b/>
          <w:color w:val="auto"/>
          <w:sz w:val="24"/>
          <w:szCs w:val="24"/>
        </w:rPr>
      </w:pPr>
    </w:p>
    <w:p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sidR="0037732B">
        <w:rPr>
          <w:b/>
          <w:color w:val="auto"/>
          <w:sz w:val="32"/>
          <w:szCs w:val="32"/>
        </w:rPr>
        <w:t xml:space="preserve">  </w:t>
      </w:r>
    </w:p>
    <w:p w:rsidR="00880E9F" w:rsidRDefault="00AF4C41" w:rsidP="007E630F">
      <w:pPr>
        <w:spacing w:after="0" w:line="240" w:lineRule="auto"/>
        <w:ind w:left="7200" w:firstLine="720"/>
        <w:rPr>
          <w:b/>
          <w:color w:val="auto"/>
          <w:sz w:val="24"/>
          <w:szCs w:val="24"/>
        </w:rPr>
      </w:pPr>
      <w:r>
        <w:rPr>
          <w:b/>
          <w:color w:val="auto"/>
          <w:sz w:val="32"/>
          <w:szCs w:val="32"/>
        </w:rPr>
        <w:t xml:space="preserve">    </w:t>
      </w:r>
      <w:r w:rsidR="007E630F" w:rsidRPr="0037732B">
        <w:rPr>
          <w:b/>
          <w:color w:val="auto"/>
          <w:sz w:val="32"/>
          <w:szCs w:val="32"/>
        </w:rPr>
        <w:t>Item:</w:t>
      </w:r>
      <w:r w:rsidR="00604AF1">
        <w:rPr>
          <w:b/>
          <w:color w:val="auto"/>
          <w:sz w:val="32"/>
          <w:szCs w:val="32"/>
        </w:rPr>
        <w:t xml:space="preserve"> 6.7</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3"/>
        <w:gridCol w:w="7654"/>
      </w:tblGrid>
      <w:tr w:rsidR="00963148" w:rsidRPr="00566BDC" w:rsidTr="0025572F">
        <w:tc>
          <w:tcPr>
            <w:tcW w:w="2093" w:type="dxa"/>
          </w:tcPr>
          <w:p w:rsidR="00963148" w:rsidRPr="00524FEE" w:rsidRDefault="00963148" w:rsidP="00963148">
            <w:pPr>
              <w:spacing w:after="0" w:line="240" w:lineRule="auto"/>
              <w:rPr>
                <w:b/>
                <w:color w:val="auto"/>
              </w:rPr>
            </w:pPr>
            <w:r w:rsidRPr="00524FEE">
              <w:rPr>
                <w:b/>
                <w:color w:val="auto"/>
              </w:rPr>
              <w:t>Report to:</w:t>
            </w:r>
          </w:p>
          <w:p w:rsidR="00963148" w:rsidRPr="00524FEE" w:rsidRDefault="00963148" w:rsidP="00963148">
            <w:pPr>
              <w:spacing w:after="0" w:line="240" w:lineRule="auto"/>
              <w:rPr>
                <w:b/>
                <w:color w:val="auto"/>
              </w:rPr>
            </w:pPr>
          </w:p>
        </w:tc>
        <w:tc>
          <w:tcPr>
            <w:tcW w:w="7654" w:type="dxa"/>
          </w:tcPr>
          <w:p w:rsidR="00963148" w:rsidRPr="00000041" w:rsidRDefault="00604AF1" w:rsidP="00C20147">
            <w:pPr>
              <w:spacing w:after="0" w:line="240" w:lineRule="auto"/>
              <w:rPr>
                <w:color w:val="auto"/>
                <w:sz w:val="24"/>
                <w:szCs w:val="24"/>
              </w:rPr>
            </w:pPr>
            <w:r>
              <w:rPr>
                <w:color w:val="auto"/>
                <w:sz w:val="24"/>
                <w:szCs w:val="24"/>
              </w:rPr>
              <w:t>NHS Hull Clinical Commissioning Group Board</w:t>
            </w:r>
          </w:p>
        </w:tc>
      </w:tr>
      <w:tr w:rsidR="00963148" w:rsidRPr="00566BDC" w:rsidTr="0025572F">
        <w:tc>
          <w:tcPr>
            <w:tcW w:w="2093" w:type="dxa"/>
          </w:tcPr>
          <w:p w:rsidR="00963148" w:rsidRPr="00524FEE" w:rsidRDefault="00963148" w:rsidP="00566BDC">
            <w:pPr>
              <w:spacing w:after="0" w:line="240" w:lineRule="auto"/>
              <w:rPr>
                <w:b/>
                <w:color w:val="auto"/>
              </w:rPr>
            </w:pPr>
            <w:r w:rsidRPr="00524FEE">
              <w:rPr>
                <w:b/>
                <w:color w:val="auto"/>
              </w:rPr>
              <w:t>Date of Meeting:</w:t>
            </w:r>
          </w:p>
          <w:p w:rsidR="00963148" w:rsidRPr="00524FEE" w:rsidRDefault="00963148" w:rsidP="00566BDC">
            <w:pPr>
              <w:spacing w:after="0" w:line="240" w:lineRule="auto"/>
              <w:rPr>
                <w:b/>
                <w:color w:val="auto"/>
              </w:rPr>
            </w:pPr>
          </w:p>
        </w:tc>
        <w:tc>
          <w:tcPr>
            <w:tcW w:w="7654" w:type="dxa"/>
          </w:tcPr>
          <w:p w:rsidR="00963148" w:rsidRPr="00000041" w:rsidRDefault="00AC1E27" w:rsidP="00566BDC">
            <w:pPr>
              <w:spacing w:after="0" w:line="240" w:lineRule="auto"/>
              <w:rPr>
                <w:color w:val="auto"/>
                <w:sz w:val="24"/>
                <w:szCs w:val="24"/>
              </w:rPr>
            </w:pPr>
            <w:r>
              <w:rPr>
                <w:color w:val="auto"/>
                <w:sz w:val="24"/>
                <w:szCs w:val="24"/>
              </w:rPr>
              <w:t>27 September 2019</w:t>
            </w:r>
          </w:p>
        </w:tc>
      </w:tr>
      <w:tr w:rsidR="00963148" w:rsidRPr="00566BDC" w:rsidTr="00973D19">
        <w:trPr>
          <w:trHeight w:val="596"/>
        </w:trPr>
        <w:tc>
          <w:tcPr>
            <w:tcW w:w="2093" w:type="dxa"/>
          </w:tcPr>
          <w:p w:rsidR="00963148" w:rsidRPr="00524FEE" w:rsidRDefault="00CC73F9" w:rsidP="00963148">
            <w:pPr>
              <w:spacing w:after="0" w:line="240" w:lineRule="auto"/>
              <w:rPr>
                <w:b/>
                <w:color w:val="auto"/>
              </w:rPr>
            </w:pPr>
            <w:r>
              <w:rPr>
                <w:b/>
                <w:color w:val="auto"/>
              </w:rPr>
              <w:t>Title of Report</w:t>
            </w:r>
            <w:r w:rsidR="00963148" w:rsidRPr="00524FEE">
              <w:rPr>
                <w:b/>
                <w:color w:val="auto"/>
              </w:rPr>
              <w:t>:</w:t>
            </w:r>
          </w:p>
          <w:p w:rsidR="00963148" w:rsidRPr="00524FEE" w:rsidRDefault="00963148" w:rsidP="00566BDC">
            <w:pPr>
              <w:spacing w:after="0" w:line="240" w:lineRule="auto"/>
              <w:rPr>
                <w:b/>
                <w:color w:val="auto"/>
              </w:rPr>
            </w:pPr>
          </w:p>
        </w:tc>
        <w:tc>
          <w:tcPr>
            <w:tcW w:w="7654" w:type="dxa"/>
          </w:tcPr>
          <w:p w:rsidR="00AC1E27" w:rsidRPr="00000041" w:rsidRDefault="00B927F8" w:rsidP="00524AAC">
            <w:pPr>
              <w:spacing w:after="0" w:line="240" w:lineRule="auto"/>
              <w:rPr>
                <w:color w:val="auto"/>
                <w:sz w:val="24"/>
                <w:szCs w:val="24"/>
              </w:rPr>
            </w:pPr>
            <w:r>
              <w:rPr>
                <w:color w:val="auto"/>
                <w:sz w:val="24"/>
                <w:szCs w:val="24"/>
              </w:rPr>
              <w:t>Equality Standards Report, 2019: Workforce Race Equality Standard (WRES), Workforce Disability Equality Standard (WDES), Equality Delivery System (EDS)</w:t>
            </w:r>
          </w:p>
        </w:tc>
      </w:tr>
      <w:tr w:rsidR="00963148" w:rsidRPr="00566BDC" w:rsidTr="004576C7">
        <w:trPr>
          <w:trHeight w:val="563"/>
        </w:trPr>
        <w:tc>
          <w:tcPr>
            <w:tcW w:w="2093" w:type="dxa"/>
          </w:tcPr>
          <w:p w:rsidR="00963148" w:rsidRPr="00524FEE" w:rsidRDefault="00963148" w:rsidP="00963148">
            <w:pPr>
              <w:spacing w:after="0" w:line="240" w:lineRule="auto"/>
              <w:rPr>
                <w:b/>
                <w:color w:val="auto"/>
              </w:rPr>
            </w:pPr>
            <w:r w:rsidRPr="00524FEE">
              <w:rPr>
                <w:b/>
                <w:color w:val="auto"/>
              </w:rPr>
              <w:t>Presented by:</w:t>
            </w:r>
          </w:p>
          <w:p w:rsidR="00963148" w:rsidRPr="00524FEE" w:rsidRDefault="00963148" w:rsidP="00566BDC">
            <w:pPr>
              <w:spacing w:after="0" w:line="240" w:lineRule="auto"/>
              <w:rPr>
                <w:b/>
                <w:color w:val="auto"/>
              </w:rPr>
            </w:pPr>
          </w:p>
        </w:tc>
        <w:tc>
          <w:tcPr>
            <w:tcW w:w="7654" w:type="dxa"/>
          </w:tcPr>
          <w:p w:rsidR="00963148" w:rsidRPr="00000041" w:rsidRDefault="00AC1E27" w:rsidP="00566BDC">
            <w:pPr>
              <w:spacing w:after="0" w:line="240" w:lineRule="auto"/>
              <w:rPr>
                <w:color w:val="auto"/>
                <w:sz w:val="24"/>
                <w:szCs w:val="24"/>
              </w:rPr>
            </w:pPr>
            <w:r>
              <w:rPr>
                <w:color w:val="auto"/>
                <w:sz w:val="24"/>
                <w:szCs w:val="24"/>
              </w:rPr>
              <w:t>Mike Napier, Associate Director of Corporate Affairs</w:t>
            </w:r>
          </w:p>
        </w:tc>
      </w:tr>
      <w:tr w:rsidR="00963148" w:rsidRPr="00566BDC" w:rsidTr="0025572F">
        <w:tc>
          <w:tcPr>
            <w:tcW w:w="2093" w:type="dxa"/>
          </w:tcPr>
          <w:p w:rsidR="00963148" w:rsidRPr="00524FEE" w:rsidRDefault="00963148" w:rsidP="00963148">
            <w:pPr>
              <w:spacing w:after="0" w:line="240" w:lineRule="auto"/>
              <w:rPr>
                <w:b/>
                <w:color w:val="auto"/>
              </w:rPr>
            </w:pPr>
            <w:r w:rsidRPr="00524FEE">
              <w:rPr>
                <w:b/>
                <w:color w:val="auto"/>
              </w:rPr>
              <w:t>Author:</w:t>
            </w:r>
          </w:p>
          <w:p w:rsidR="00963148" w:rsidRPr="00524FEE" w:rsidRDefault="00963148" w:rsidP="00963148">
            <w:pPr>
              <w:spacing w:after="0" w:line="240" w:lineRule="auto"/>
              <w:rPr>
                <w:b/>
                <w:color w:val="auto"/>
              </w:rPr>
            </w:pPr>
          </w:p>
        </w:tc>
        <w:tc>
          <w:tcPr>
            <w:tcW w:w="7654" w:type="dxa"/>
          </w:tcPr>
          <w:p w:rsidR="00963148" w:rsidRPr="00000041" w:rsidRDefault="00AC1E27" w:rsidP="00524AAC">
            <w:pPr>
              <w:spacing w:after="0" w:line="240" w:lineRule="auto"/>
              <w:rPr>
                <w:color w:val="auto"/>
                <w:sz w:val="24"/>
                <w:szCs w:val="24"/>
              </w:rPr>
            </w:pPr>
            <w:r>
              <w:rPr>
                <w:color w:val="auto"/>
                <w:sz w:val="24"/>
                <w:szCs w:val="24"/>
              </w:rPr>
              <w:t>Amanda Heenan, Equality &amp; Diversity Specialist Advisor</w:t>
            </w:r>
          </w:p>
        </w:tc>
      </w:tr>
    </w:tbl>
    <w:p w:rsidR="00880E9F" w:rsidRDefault="00880E9F"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1"/>
        <w:gridCol w:w="4806"/>
      </w:tblGrid>
      <w:tr w:rsidR="004A6F2B" w:rsidRPr="00566BDC" w:rsidTr="0025572F">
        <w:tc>
          <w:tcPr>
            <w:tcW w:w="4941" w:type="dxa"/>
          </w:tcPr>
          <w:p w:rsidR="00524FEE" w:rsidRDefault="00524FEE" w:rsidP="004A6F2B">
            <w:pPr>
              <w:spacing w:after="0" w:line="240" w:lineRule="auto"/>
              <w:rPr>
                <w:b/>
                <w:color w:val="auto"/>
              </w:rPr>
            </w:pPr>
          </w:p>
          <w:p w:rsidR="004A6F2B" w:rsidRPr="00524FEE" w:rsidRDefault="00F02345" w:rsidP="004A6F2B">
            <w:pPr>
              <w:spacing w:after="0" w:line="240" w:lineRule="auto"/>
              <w:rPr>
                <w:color w:val="auto"/>
              </w:rPr>
            </w:pPr>
            <w:r>
              <w:rPr>
                <w:b/>
                <w:color w:val="auto"/>
              </w:rPr>
              <w:t>STATUS</w:t>
            </w:r>
            <w:r w:rsidR="004A6F2B" w:rsidRPr="00524FEE">
              <w:rPr>
                <w:b/>
                <w:color w:val="auto"/>
              </w:rPr>
              <w:t xml:space="preserve"> OF THE REPORT:</w:t>
            </w:r>
          </w:p>
          <w:p w:rsidR="00E3188D" w:rsidRPr="00566BDC" w:rsidRDefault="00C760C9" w:rsidP="00566BDC">
            <w:pPr>
              <w:spacing w:after="0" w:line="240" w:lineRule="auto"/>
              <w:rPr>
                <w:color w:val="auto"/>
                <w:sz w:val="24"/>
                <w:szCs w:val="24"/>
              </w:rPr>
            </w:pPr>
            <w:r>
              <w:rPr>
                <w:noProof/>
                <w:lang w:eastAsia="en-GB"/>
              </w:rPr>
              <mc:AlternateContent>
                <mc:Choice Requires="wps">
                  <w:drawing>
                    <wp:anchor distT="0" distB="0" distL="114300" distR="114300" simplePos="0" relativeHeight="251660288" behindDoc="0" locked="0" layoutInCell="1" allowOverlap="1" wp14:anchorId="6405BE1C" wp14:editId="4B5B148F">
                      <wp:simplePos x="0" y="0"/>
                      <wp:positionH relativeFrom="column">
                        <wp:posOffset>1688465</wp:posOffset>
                      </wp:positionH>
                      <wp:positionV relativeFrom="paragraph">
                        <wp:posOffset>152400</wp:posOffset>
                      </wp:positionV>
                      <wp:extent cx="264160" cy="254635"/>
                      <wp:effectExtent l="0" t="0" r="15240" b="1206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rsidR="00362E57" w:rsidRPr="008C54B1" w:rsidRDefault="00362E57" w:rsidP="008C54B1">
                            <w:pPr>
                              <w:spacing w:after="0" w:line="240" w:lineRule="auto"/>
                              <w:rPr>
                                <w:color w:val="auto"/>
                              </w:rPr>
                            </w:pPr>
                          </w:p>
                        </w:txbxContent>
                      </v:textbox>
                    </v:shape>
                  </w:pict>
                </mc:Fallback>
              </mc:AlternateContent>
            </w:r>
          </w:p>
        </w:tc>
        <w:tc>
          <w:tcPr>
            <w:tcW w:w="4806" w:type="dxa"/>
          </w:tcPr>
          <w:p w:rsidR="004A6F2B" w:rsidRDefault="00C760C9" w:rsidP="004A6F2B">
            <w:pPr>
              <w:spacing w:after="0" w:line="240" w:lineRule="auto"/>
              <w:rPr>
                <w:b/>
                <w:color w:val="auto"/>
                <w:sz w:val="24"/>
                <w:szCs w:val="24"/>
              </w:rPr>
            </w:pPr>
            <w:r>
              <w:rPr>
                <w:noProof/>
                <w:color w:val="auto"/>
                <w:szCs w:val="24"/>
                <w:lang w:eastAsia="en-GB"/>
              </w:rPr>
              <mc:AlternateContent>
                <mc:Choice Requires="wps">
                  <w:drawing>
                    <wp:anchor distT="0" distB="0" distL="114300" distR="114300" simplePos="0" relativeHeight="251668480" behindDoc="0" locked="0" layoutInCell="1" allowOverlap="1" wp14:anchorId="00308A5E" wp14:editId="6138F883">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1923D4" w:rsidRPr="001923D4" w:rsidRDefault="001923D4" w:rsidP="001923D4">
                                  <w:pPr>
                                    <w:spacing w:after="0" w:line="240" w:lineRule="auto"/>
                                    <w:rPr>
                                      <w:color w:val="auto"/>
                                    </w:rPr>
                                  </w:pPr>
                                  <w:r w:rsidRPr="001923D4">
                                    <w:rPr>
                                      <w:color w:val="auto"/>
                                    </w:rPr>
                                    <w:t>X</w:t>
                                  </w:r>
                                </w:p>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rsidR="001923D4" w:rsidRPr="001923D4" w:rsidRDefault="001923D4" w:rsidP="001923D4">
                            <w:pPr>
                              <w:spacing w:after="0" w:line="240" w:lineRule="auto"/>
                              <w:rPr>
                                <w:color w:val="auto"/>
                              </w:rPr>
                            </w:pPr>
                            <w:r w:rsidRPr="001923D4">
                              <w:rPr>
                                <w:color w:val="auto"/>
                              </w:rPr>
                              <w:t>X</w:t>
                            </w:r>
                          </w:p>
                          <w:p w:rsidR="00362E57" w:rsidRPr="008C54B1" w:rsidRDefault="00362E57" w:rsidP="008C54B1">
                            <w:pPr>
                              <w:spacing w:after="0" w:line="240" w:lineRule="auto"/>
                              <w:rPr>
                                <w:color w:val="auto"/>
                              </w:rPr>
                            </w:pPr>
                          </w:p>
                        </w:txbxContent>
                      </v:textbox>
                    </v:shape>
                  </w:pict>
                </mc:Fallback>
              </mc:AlternateContent>
            </w:r>
          </w:p>
        </w:tc>
      </w:tr>
      <w:tr w:rsidR="004A6F2B" w:rsidRPr="00566BDC" w:rsidTr="0025572F">
        <w:tc>
          <w:tcPr>
            <w:tcW w:w="4941" w:type="dxa"/>
          </w:tcPr>
          <w:p w:rsidR="004A6F2B" w:rsidRDefault="004A6F2B" w:rsidP="004A6F2B">
            <w:pPr>
              <w:spacing w:after="0" w:line="240" w:lineRule="auto"/>
              <w:rPr>
                <w:color w:val="auto"/>
                <w:szCs w:val="24"/>
              </w:rPr>
            </w:pPr>
            <w:r>
              <w:rPr>
                <w:color w:val="auto"/>
                <w:szCs w:val="24"/>
              </w:rPr>
              <w:t xml:space="preserve">                 </w:t>
            </w:r>
            <w:r w:rsidRPr="004A6F2B">
              <w:rPr>
                <w:color w:val="auto"/>
                <w:szCs w:val="24"/>
              </w:rPr>
              <w:t>T</w:t>
            </w:r>
            <w:r>
              <w:rPr>
                <w:color w:val="auto"/>
                <w:szCs w:val="24"/>
              </w:rPr>
              <w:t>o approve</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6432" behindDoc="0" locked="0" layoutInCell="1" allowOverlap="1" wp14:anchorId="61A2948D" wp14:editId="3529E115">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rsidR="00362E57" w:rsidRPr="008C54B1" w:rsidRDefault="00362E57" w:rsidP="008C54B1">
                            <w:pPr>
                              <w:spacing w:after="0" w:line="240" w:lineRule="auto"/>
                              <w:rPr>
                                <w:color w:val="auto"/>
                              </w:rPr>
                            </w:pPr>
                          </w:p>
                        </w:txbxContent>
                      </v:textbox>
                    </v:shape>
                  </w:pict>
                </mc:Fallback>
              </mc:AlternateContent>
            </w:r>
          </w:p>
        </w:tc>
        <w:tc>
          <w:tcPr>
            <w:tcW w:w="4806"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9504" behindDoc="0" locked="0" layoutInCell="1" allowOverlap="1" wp14:anchorId="22AC9FC6" wp14:editId="537A2ACC">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rsidR="00362E57" w:rsidRPr="008C54B1" w:rsidRDefault="00362E57" w:rsidP="008C54B1">
                            <w:pPr>
                              <w:spacing w:after="0" w:line="240" w:lineRule="auto"/>
                              <w:rPr>
                                <w:color w:val="auto"/>
                              </w:rPr>
                            </w:pPr>
                          </w:p>
                        </w:txbxContent>
                      </v:textbox>
                    </v:shape>
                  </w:pict>
                </mc:Fallback>
              </mc:AlternateContent>
            </w:r>
            <w:r w:rsidR="004A6F2B">
              <w:rPr>
                <w:color w:val="auto"/>
                <w:szCs w:val="24"/>
              </w:rPr>
              <w:t>To endorse</w:t>
            </w:r>
          </w:p>
        </w:tc>
      </w:tr>
      <w:tr w:rsidR="004A6F2B" w:rsidRPr="00566BDC" w:rsidTr="0025572F">
        <w:tc>
          <w:tcPr>
            <w:tcW w:w="4941" w:type="dxa"/>
          </w:tcPr>
          <w:p w:rsidR="004A6F2B" w:rsidRDefault="00270E1F" w:rsidP="004A6F2B">
            <w:pPr>
              <w:spacing w:after="0" w:line="240" w:lineRule="auto"/>
              <w:rPr>
                <w:color w:val="auto"/>
                <w:szCs w:val="24"/>
              </w:rPr>
            </w:pPr>
            <w:r>
              <w:rPr>
                <w:color w:val="auto"/>
                <w:szCs w:val="24"/>
              </w:rPr>
              <w:t xml:space="preserve"> </w:t>
            </w:r>
            <w:r w:rsidR="004A4AF8">
              <w:rPr>
                <w:color w:val="auto"/>
                <w:szCs w:val="24"/>
              </w:rPr>
              <w:t xml:space="preserve">                </w:t>
            </w:r>
            <w:r w:rsidR="004A6F2B">
              <w:rPr>
                <w:color w:val="auto"/>
                <w:szCs w:val="24"/>
              </w:rPr>
              <w:t>To ratify</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7456" behindDoc="0" locked="0" layoutInCell="1" allowOverlap="1" wp14:anchorId="10C8B2F9" wp14:editId="7E86AC48">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rsidR="00362E57" w:rsidRPr="008C54B1" w:rsidRDefault="00362E57" w:rsidP="008C54B1">
                            <w:pPr>
                              <w:spacing w:after="0" w:line="240" w:lineRule="auto"/>
                              <w:rPr>
                                <w:color w:val="auto"/>
                              </w:rPr>
                            </w:pPr>
                          </w:p>
                        </w:txbxContent>
                      </v:textbox>
                    </v:shape>
                  </w:pict>
                </mc:Fallback>
              </mc:AlternateContent>
            </w:r>
          </w:p>
        </w:tc>
        <w:tc>
          <w:tcPr>
            <w:tcW w:w="4806"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70528" behindDoc="0" locked="0" layoutInCell="1" allowOverlap="1" wp14:anchorId="0F8C3E58" wp14:editId="124076EF">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rsidR="00362E57" w:rsidRPr="008C54B1" w:rsidRDefault="00362E57" w:rsidP="008C54B1">
                            <w:pPr>
                              <w:spacing w:after="0" w:line="240" w:lineRule="auto"/>
                              <w:rPr>
                                <w:color w:val="auto"/>
                              </w:rPr>
                            </w:pPr>
                          </w:p>
                        </w:txbxContent>
                      </v:textbox>
                    </v:shape>
                  </w:pict>
                </mc:Fallback>
              </mc:AlternateContent>
            </w:r>
            <w:r w:rsidR="004A6F2B">
              <w:rPr>
                <w:color w:val="auto"/>
                <w:szCs w:val="24"/>
              </w:rPr>
              <w:t>To discuss</w:t>
            </w:r>
          </w:p>
        </w:tc>
      </w:tr>
      <w:tr w:rsidR="00CC73F9" w:rsidRPr="00566BDC" w:rsidTr="0025572F">
        <w:tc>
          <w:tcPr>
            <w:tcW w:w="4941" w:type="dxa"/>
          </w:tcPr>
          <w:p w:rsidR="00CC73F9" w:rsidRDefault="00CC73F9" w:rsidP="004A6F2B">
            <w:pPr>
              <w:spacing w:after="0" w:line="240" w:lineRule="auto"/>
              <w:rPr>
                <w:color w:val="auto"/>
                <w:szCs w:val="24"/>
              </w:rPr>
            </w:pPr>
            <w:r>
              <w:rPr>
                <w:color w:val="auto"/>
                <w:szCs w:val="24"/>
              </w:rPr>
              <w:t xml:space="preserve">                 To consider</w:t>
            </w:r>
          </w:p>
          <w:p w:rsidR="00CC73F9" w:rsidRDefault="00CC73F9" w:rsidP="004A6F2B">
            <w:pPr>
              <w:spacing w:after="0" w:line="240" w:lineRule="auto"/>
              <w:rPr>
                <w:color w:val="auto"/>
                <w:szCs w:val="24"/>
              </w:rPr>
            </w:pPr>
          </w:p>
        </w:tc>
        <w:tc>
          <w:tcPr>
            <w:tcW w:w="4806" w:type="dxa"/>
          </w:tcPr>
          <w:p w:rsidR="00CC73F9" w:rsidRDefault="00CC73F9" w:rsidP="00CC73F9">
            <w:pPr>
              <w:spacing w:after="0" w:line="240" w:lineRule="auto"/>
              <w:rPr>
                <w:color w:val="auto"/>
                <w:szCs w:val="24"/>
              </w:rPr>
            </w:pPr>
            <w:r>
              <w:rPr>
                <w:color w:val="auto"/>
                <w:szCs w:val="24"/>
              </w:rPr>
              <w:t>For information</w:t>
            </w:r>
          </w:p>
          <w:p w:rsidR="00CC73F9" w:rsidRDefault="00CC73F9" w:rsidP="004A6F2B">
            <w:pPr>
              <w:spacing w:after="0" w:line="240" w:lineRule="auto"/>
              <w:rPr>
                <w:noProof/>
                <w:color w:val="auto"/>
                <w:szCs w:val="24"/>
                <w:lang w:eastAsia="en-GB"/>
              </w:rPr>
            </w:pPr>
          </w:p>
        </w:tc>
      </w:tr>
      <w:tr w:rsidR="004A6F2B" w:rsidRPr="00566BDC" w:rsidTr="0025572F">
        <w:tc>
          <w:tcPr>
            <w:tcW w:w="4941" w:type="dxa"/>
          </w:tcPr>
          <w:p w:rsidR="00BD6B55" w:rsidRPr="004A6F2B" w:rsidRDefault="004A6F2B" w:rsidP="00CC73F9">
            <w:pPr>
              <w:spacing w:after="0" w:line="240" w:lineRule="auto"/>
              <w:rPr>
                <w:color w:val="auto"/>
                <w:szCs w:val="24"/>
              </w:rPr>
            </w:pPr>
            <w:r>
              <w:rPr>
                <w:color w:val="auto"/>
                <w:szCs w:val="24"/>
              </w:rPr>
              <w:t xml:space="preserve">            </w:t>
            </w:r>
            <w:r w:rsidR="004E00E6">
              <w:rPr>
                <w:color w:val="auto"/>
                <w:szCs w:val="24"/>
              </w:rPr>
              <w:t xml:space="preserve">     </w:t>
            </w:r>
            <w:r w:rsidR="00AC22C8">
              <w:rPr>
                <w:noProof/>
                <w:color w:val="auto"/>
                <w:szCs w:val="24"/>
                <w:lang w:eastAsia="en-GB"/>
              </w:rPr>
              <mc:AlternateContent>
                <mc:Choice Requires="wps">
                  <w:drawing>
                    <wp:anchor distT="0" distB="0" distL="114300" distR="114300" simplePos="0" relativeHeight="251675648" behindDoc="0" locked="0" layoutInCell="1" allowOverlap="1" wp14:anchorId="4E1F74CF" wp14:editId="27D0F5B4">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rsidR="00362E57" w:rsidRDefault="00362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rsidR="00362E57" w:rsidRDefault="00362E57"/>
                        </w:txbxContent>
                      </v:textbox>
                    </v:shape>
                  </w:pict>
                </mc:Fallback>
              </mc:AlternateContent>
            </w:r>
            <w:r w:rsidR="00BD6B55">
              <w:rPr>
                <w:color w:val="auto"/>
                <w:szCs w:val="24"/>
              </w:rPr>
              <w:t>To note</w:t>
            </w:r>
          </w:p>
        </w:tc>
        <w:tc>
          <w:tcPr>
            <w:tcW w:w="4806" w:type="dxa"/>
          </w:tcPr>
          <w:p w:rsidR="00BD6B55" w:rsidRDefault="00BD6B55" w:rsidP="004A6F2B">
            <w:pPr>
              <w:spacing w:after="0" w:line="240" w:lineRule="auto"/>
              <w:rPr>
                <w:color w:val="auto"/>
                <w:szCs w:val="24"/>
              </w:rPr>
            </w:pPr>
          </w:p>
          <w:p w:rsidR="00BD6B55" w:rsidRPr="004A6F2B" w:rsidRDefault="00BD6B55" w:rsidP="004A6F2B">
            <w:pPr>
              <w:spacing w:after="0" w:line="240" w:lineRule="auto"/>
              <w:rPr>
                <w:color w:val="auto"/>
                <w:szCs w:val="24"/>
              </w:rPr>
            </w:pPr>
          </w:p>
        </w:tc>
      </w:tr>
    </w:tbl>
    <w:p w:rsidR="00440CFB" w:rsidRDefault="00440CFB"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566BDC" w:rsidTr="00604AF1">
        <w:trPr>
          <w:trHeight w:val="1530"/>
        </w:trPr>
        <w:tc>
          <w:tcPr>
            <w:tcW w:w="9747" w:type="dxa"/>
          </w:tcPr>
          <w:p w:rsidR="00524FEE" w:rsidRDefault="00524FEE" w:rsidP="00566BDC">
            <w:pPr>
              <w:spacing w:after="0" w:line="240" w:lineRule="auto"/>
              <w:rPr>
                <w:b/>
                <w:color w:val="auto"/>
              </w:rPr>
            </w:pPr>
          </w:p>
          <w:p w:rsidR="004C1D3E" w:rsidRDefault="00F02345" w:rsidP="004C1D3E">
            <w:pPr>
              <w:pStyle w:val="Default"/>
              <w:jc w:val="both"/>
            </w:pPr>
            <w:r>
              <w:rPr>
                <w:b/>
                <w:color w:val="auto"/>
              </w:rPr>
              <w:t>PURPOSE OF REPORT</w:t>
            </w:r>
            <w:r w:rsidR="002B7229">
              <w:rPr>
                <w:b/>
                <w:color w:val="auto"/>
              </w:rPr>
              <w:t>:</w:t>
            </w:r>
            <w:r w:rsidR="004C1D3E" w:rsidRPr="00845D14">
              <w:t xml:space="preserve"> </w:t>
            </w:r>
          </w:p>
          <w:p w:rsidR="00463C68" w:rsidRPr="00845D14" w:rsidRDefault="00463C68" w:rsidP="004576C7">
            <w:pPr>
              <w:pStyle w:val="Default"/>
              <w:jc w:val="both"/>
            </w:pPr>
          </w:p>
          <w:p w:rsidR="00B927F8" w:rsidRDefault="00B927F8" w:rsidP="00B927F8">
            <w:pPr>
              <w:spacing w:after="0" w:line="240" w:lineRule="auto"/>
              <w:rPr>
                <w:bCs/>
                <w:color w:val="auto"/>
              </w:rPr>
            </w:pPr>
            <w:r w:rsidRPr="00B927F8">
              <w:rPr>
                <w:bCs/>
                <w:color w:val="auto"/>
              </w:rPr>
              <w:t xml:space="preserve">The Equality Report provides an update on </w:t>
            </w:r>
            <w:r>
              <w:rPr>
                <w:bCs/>
                <w:color w:val="auto"/>
              </w:rPr>
              <w:t>the following NHS England</w:t>
            </w:r>
            <w:r w:rsidRPr="00B927F8">
              <w:rPr>
                <w:bCs/>
                <w:color w:val="auto"/>
              </w:rPr>
              <w:t xml:space="preserve"> equality </w:t>
            </w:r>
            <w:r>
              <w:rPr>
                <w:bCs/>
                <w:color w:val="auto"/>
              </w:rPr>
              <w:t>standards</w:t>
            </w:r>
            <w:r w:rsidRPr="00B927F8">
              <w:rPr>
                <w:bCs/>
                <w:color w:val="auto"/>
              </w:rPr>
              <w:t>:</w:t>
            </w:r>
          </w:p>
          <w:p w:rsidR="001F487C" w:rsidRPr="00B927F8" w:rsidRDefault="001F487C" w:rsidP="00B927F8">
            <w:pPr>
              <w:spacing w:after="0" w:line="240" w:lineRule="auto"/>
              <w:rPr>
                <w:bCs/>
                <w:color w:val="auto"/>
              </w:rPr>
            </w:pPr>
          </w:p>
          <w:p w:rsidR="00B927F8" w:rsidRPr="00344E60" w:rsidRDefault="00B927F8" w:rsidP="00FA4001">
            <w:pPr>
              <w:pStyle w:val="ListParagraph"/>
              <w:numPr>
                <w:ilvl w:val="0"/>
                <w:numId w:val="1"/>
              </w:numPr>
              <w:spacing w:after="0" w:line="240" w:lineRule="auto"/>
              <w:rPr>
                <w:bCs/>
                <w:color w:val="auto"/>
              </w:rPr>
            </w:pPr>
            <w:r w:rsidRPr="00344E60">
              <w:rPr>
                <w:bCs/>
                <w:color w:val="auto"/>
              </w:rPr>
              <w:t>Workforce Race Equality Standard (WRES) – this is made up of nine indicators and is mandated by NHS</w:t>
            </w:r>
            <w:r w:rsidR="00955A3C">
              <w:rPr>
                <w:bCs/>
                <w:color w:val="auto"/>
              </w:rPr>
              <w:t xml:space="preserve"> England (NHSE)</w:t>
            </w:r>
            <w:r w:rsidRPr="00344E60">
              <w:rPr>
                <w:bCs/>
                <w:color w:val="auto"/>
              </w:rPr>
              <w:t xml:space="preserve">. From 2019 onwards, CCGs are expected to submit their annual WRES data to NHS England by </w:t>
            </w:r>
            <w:r w:rsidR="00AC1E27">
              <w:rPr>
                <w:bCs/>
                <w:color w:val="auto"/>
              </w:rPr>
              <w:t>the end of</w:t>
            </w:r>
            <w:r w:rsidR="00AC1E27" w:rsidRPr="00344E60">
              <w:rPr>
                <w:bCs/>
                <w:color w:val="auto"/>
              </w:rPr>
              <w:t xml:space="preserve"> </w:t>
            </w:r>
            <w:r w:rsidRPr="00344E60">
              <w:rPr>
                <w:bCs/>
                <w:color w:val="auto"/>
              </w:rPr>
              <w:t xml:space="preserve">August. </w:t>
            </w:r>
          </w:p>
          <w:p w:rsidR="00B927F8" w:rsidRDefault="00B927F8" w:rsidP="00B927F8">
            <w:pPr>
              <w:spacing w:after="0" w:line="240" w:lineRule="auto"/>
              <w:ind w:left="360"/>
              <w:rPr>
                <w:bCs/>
                <w:color w:val="auto"/>
              </w:rPr>
            </w:pPr>
          </w:p>
          <w:p w:rsidR="00A90438" w:rsidRPr="00344E60" w:rsidRDefault="00B927F8" w:rsidP="00FA4001">
            <w:pPr>
              <w:pStyle w:val="ListParagraph"/>
              <w:numPr>
                <w:ilvl w:val="0"/>
                <w:numId w:val="1"/>
              </w:numPr>
              <w:spacing w:after="0" w:line="240" w:lineRule="auto"/>
              <w:rPr>
                <w:bCs/>
                <w:color w:val="auto"/>
              </w:rPr>
            </w:pPr>
            <w:r w:rsidRPr="00344E60">
              <w:rPr>
                <w:bCs/>
                <w:color w:val="auto"/>
              </w:rPr>
              <w:t xml:space="preserve">Workforce Disability Equality Standard (WDES) – made up of 10 indicators. </w:t>
            </w:r>
            <w:r w:rsidR="00AC1E27">
              <w:rPr>
                <w:bCs/>
                <w:color w:val="auto"/>
              </w:rPr>
              <w:t>This</w:t>
            </w:r>
            <w:r w:rsidR="00AC1E27" w:rsidRPr="00344E60">
              <w:rPr>
                <w:bCs/>
                <w:color w:val="auto"/>
              </w:rPr>
              <w:t xml:space="preserve"> </w:t>
            </w:r>
            <w:r w:rsidRPr="00344E60">
              <w:rPr>
                <w:bCs/>
                <w:color w:val="auto"/>
              </w:rPr>
              <w:t xml:space="preserve">came into force on 1 April 2019. Mandatory reporting on WDES is restricted </w:t>
            </w:r>
            <w:r w:rsidR="001F487C" w:rsidRPr="00344E60">
              <w:rPr>
                <w:bCs/>
                <w:color w:val="auto"/>
              </w:rPr>
              <w:t>to NHS</w:t>
            </w:r>
            <w:r w:rsidRPr="00344E60">
              <w:rPr>
                <w:bCs/>
                <w:color w:val="auto"/>
              </w:rPr>
              <w:t xml:space="preserve"> Trusts and Foundation Trusts for the first two years of implementation. However,</w:t>
            </w:r>
            <w:r w:rsidR="00AC1E27">
              <w:rPr>
                <w:bCs/>
                <w:color w:val="auto"/>
              </w:rPr>
              <w:t xml:space="preserve"> in accordance with its commitment to openness and transparency</w:t>
            </w:r>
            <w:r w:rsidRPr="00344E60">
              <w:rPr>
                <w:bCs/>
                <w:color w:val="auto"/>
              </w:rPr>
              <w:t xml:space="preserve"> the CCG has taken the option to report from this year.</w:t>
            </w:r>
          </w:p>
          <w:p w:rsidR="004C1D3E" w:rsidRDefault="004C1D3E" w:rsidP="00566BDC">
            <w:pPr>
              <w:spacing w:after="0" w:line="240" w:lineRule="auto"/>
              <w:rPr>
                <w:b/>
                <w:color w:val="auto"/>
              </w:rPr>
            </w:pPr>
          </w:p>
          <w:p w:rsidR="00B927F8" w:rsidRPr="00344E60" w:rsidRDefault="00B927F8" w:rsidP="00FA4001">
            <w:pPr>
              <w:pStyle w:val="ListParagraph"/>
              <w:numPr>
                <w:ilvl w:val="0"/>
                <w:numId w:val="1"/>
              </w:numPr>
              <w:spacing w:after="0" w:line="240" w:lineRule="auto"/>
              <w:rPr>
                <w:bCs/>
                <w:color w:val="auto"/>
              </w:rPr>
            </w:pPr>
            <w:r w:rsidRPr="00344E60">
              <w:rPr>
                <w:bCs/>
                <w:color w:val="auto"/>
              </w:rPr>
              <w:t>The CCG undertook implementation of the Equality Delivery System (EDS) in 2012 (EDS</w:t>
            </w:r>
            <w:r w:rsidR="00B57DC7">
              <w:rPr>
                <w:bCs/>
                <w:color w:val="auto"/>
              </w:rPr>
              <w:t>1</w:t>
            </w:r>
            <w:r w:rsidRPr="00344E60">
              <w:rPr>
                <w:bCs/>
                <w:color w:val="auto"/>
              </w:rPr>
              <w:t xml:space="preserve">) and again in 2015 (EDS2). The engagement of </w:t>
            </w:r>
            <w:r w:rsidR="00F1650F">
              <w:rPr>
                <w:bCs/>
                <w:color w:val="auto"/>
              </w:rPr>
              <w:t xml:space="preserve">staff and </w:t>
            </w:r>
            <w:r w:rsidRPr="00344E60">
              <w:rPr>
                <w:bCs/>
                <w:color w:val="auto"/>
              </w:rPr>
              <w:t>local equality interest groups</w:t>
            </w:r>
            <w:r w:rsidR="00F1650F">
              <w:rPr>
                <w:bCs/>
                <w:color w:val="auto"/>
              </w:rPr>
              <w:t xml:space="preserve"> </w:t>
            </w:r>
            <w:r w:rsidRPr="00344E60">
              <w:rPr>
                <w:bCs/>
                <w:color w:val="auto"/>
              </w:rPr>
              <w:t xml:space="preserve">informed the CCG’s subsequent equality plans. The CCG is required to undertake an assessment of the EDS every four years. </w:t>
            </w:r>
            <w:r w:rsidR="001F487C">
              <w:rPr>
                <w:bCs/>
                <w:color w:val="auto"/>
              </w:rPr>
              <w:t>Given that</w:t>
            </w:r>
            <w:r w:rsidRPr="00344E60">
              <w:rPr>
                <w:bCs/>
                <w:color w:val="auto"/>
              </w:rPr>
              <w:t xml:space="preserve"> the EDS is currently under review by NHS England and it is anticipated that a new version (EDS3) will be launched in 2020</w:t>
            </w:r>
            <w:r w:rsidR="001F487C">
              <w:rPr>
                <w:bCs/>
                <w:color w:val="auto"/>
              </w:rPr>
              <w:t>,</w:t>
            </w:r>
            <w:r w:rsidRPr="00344E60">
              <w:rPr>
                <w:bCs/>
                <w:color w:val="auto"/>
              </w:rPr>
              <w:t xml:space="preserve"> </w:t>
            </w:r>
            <w:r w:rsidR="001F487C">
              <w:rPr>
                <w:bCs/>
                <w:color w:val="auto"/>
              </w:rPr>
              <w:t>i</w:t>
            </w:r>
            <w:r w:rsidRPr="00344E60">
              <w:rPr>
                <w:bCs/>
                <w:color w:val="auto"/>
              </w:rPr>
              <w:t xml:space="preserve">t is </w:t>
            </w:r>
            <w:r w:rsidR="00AC1E27">
              <w:rPr>
                <w:bCs/>
                <w:color w:val="auto"/>
              </w:rPr>
              <w:t xml:space="preserve">therefore </w:t>
            </w:r>
            <w:r w:rsidR="001F487C">
              <w:rPr>
                <w:bCs/>
                <w:color w:val="auto"/>
              </w:rPr>
              <w:t>proposed</w:t>
            </w:r>
            <w:r w:rsidRPr="00344E60">
              <w:rPr>
                <w:bCs/>
                <w:color w:val="auto"/>
              </w:rPr>
              <w:t xml:space="preserve"> that the CCG awaits the launch of EDS3</w:t>
            </w:r>
            <w:r w:rsidR="00344E60" w:rsidRPr="00344E60">
              <w:rPr>
                <w:bCs/>
                <w:color w:val="auto"/>
              </w:rPr>
              <w:t xml:space="preserve"> before undertaking </w:t>
            </w:r>
            <w:r w:rsidR="001F487C">
              <w:rPr>
                <w:bCs/>
                <w:color w:val="auto"/>
              </w:rPr>
              <w:t>the next scheduled assessment</w:t>
            </w:r>
            <w:r w:rsidR="00344E60" w:rsidRPr="00344E60">
              <w:rPr>
                <w:bCs/>
                <w:color w:val="auto"/>
              </w:rPr>
              <w:t xml:space="preserve">. </w:t>
            </w:r>
            <w:r w:rsidR="001F487C">
              <w:rPr>
                <w:bCs/>
                <w:color w:val="auto"/>
              </w:rPr>
              <w:t>I</w:t>
            </w:r>
            <w:r w:rsidR="00344E60" w:rsidRPr="00344E60">
              <w:rPr>
                <w:bCs/>
                <w:color w:val="auto"/>
              </w:rPr>
              <w:t xml:space="preserve">nitial engagement has </w:t>
            </w:r>
            <w:r w:rsidR="001F487C">
              <w:rPr>
                <w:bCs/>
                <w:color w:val="auto"/>
              </w:rPr>
              <w:t xml:space="preserve">however already </w:t>
            </w:r>
            <w:r w:rsidR="00344E60" w:rsidRPr="00344E60">
              <w:rPr>
                <w:bCs/>
                <w:color w:val="auto"/>
              </w:rPr>
              <w:t xml:space="preserve">begun </w:t>
            </w:r>
            <w:r w:rsidR="001F487C">
              <w:rPr>
                <w:bCs/>
                <w:color w:val="auto"/>
              </w:rPr>
              <w:t xml:space="preserve">in order </w:t>
            </w:r>
            <w:r w:rsidR="00344E60" w:rsidRPr="00344E60">
              <w:rPr>
                <w:bCs/>
                <w:color w:val="auto"/>
              </w:rPr>
              <w:t xml:space="preserve">to lay the foundations </w:t>
            </w:r>
            <w:r w:rsidR="00AC1E27">
              <w:rPr>
                <w:bCs/>
                <w:color w:val="auto"/>
              </w:rPr>
              <w:t>for</w:t>
            </w:r>
            <w:r w:rsidR="00AC1E27" w:rsidRPr="00344E60">
              <w:rPr>
                <w:bCs/>
                <w:color w:val="auto"/>
              </w:rPr>
              <w:t xml:space="preserve"> </w:t>
            </w:r>
            <w:r w:rsidR="00344E60" w:rsidRPr="00344E60">
              <w:rPr>
                <w:bCs/>
                <w:color w:val="auto"/>
              </w:rPr>
              <w:t xml:space="preserve">the significant engagement required for </w:t>
            </w:r>
            <w:r w:rsidR="00AC1E27">
              <w:rPr>
                <w:bCs/>
                <w:color w:val="auto"/>
              </w:rPr>
              <w:t xml:space="preserve">an </w:t>
            </w:r>
            <w:r w:rsidR="00344E60" w:rsidRPr="00344E60">
              <w:rPr>
                <w:bCs/>
                <w:color w:val="auto"/>
              </w:rPr>
              <w:t>EDS assessment.</w:t>
            </w:r>
          </w:p>
          <w:p w:rsidR="00C448EC" w:rsidRDefault="00C448EC" w:rsidP="00566BDC">
            <w:pPr>
              <w:spacing w:after="0" w:line="240" w:lineRule="auto"/>
              <w:rPr>
                <w:b/>
                <w:color w:val="auto"/>
              </w:rPr>
            </w:pPr>
          </w:p>
          <w:p w:rsidR="00F02345" w:rsidRPr="00566BDC" w:rsidRDefault="002B7229" w:rsidP="00566BDC">
            <w:pPr>
              <w:spacing w:after="0" w:line="240" w:lineRule="auto"/>
              <w:rPr>
                <w:color w:val="auto"/>
              </w:rPr>
            </w:pPr>
            <w:r w:rsidRPr="00566BDC">
              <w:rPr>
                <w:b/>
                <w:color w:val="auto"/>
              </w:rPr>
              <w:t>RECOMMENDATIONS:</w:t>
            </w:r>
          </w:p>
          <w:p w:rsidR="006500B1" w:rsidRDefault="006500B1" w:rsidP="00FE4442">
            <w:pPr>
              <w:pStyle w:val="ListParagraph"/>
              <w:spacing w:after="120" w:line="240" w:lineRule="auto"/>
              <w:ind w:left="714"/>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6C125A" w:rsidTr="00A928F1">
              <w:tc>
                <w:tcPr>
                  <w:tcW w:w="567" w:type="dxa"/>
                </w:tcPr>
                <w:p w:rsidR="006C125A" w:rsidRDefault="006C125A" w:rsidP="00362E57">
                  <w:pPr>
                    <w:pStyle w:val="ListParagraph"/>
                    <w:spacing w:after="120" w:line="240" w:lineRule="auto"/>
                    <w:ind w:left="0"/>
                    <w:rPr>
                      <w:color w:val="auto"/>
                    </w:rPr>
                  </w:pPr>
                  <w:r>
                    <w:rPr>
                      <w:color w:val="auto"/>
                    </w:rPr>
                    <w:t>a</w:t>
                  </w:r>
                </w:p>
              </w:tc>
              <w:tc>
                <w:tcPr>
                  <w:tcW w:w="8789" w:type="dxa"/>
                </w:tcPr>
                <w:p w:rsidR="006C125A" w:rsidRDefault="001923D4" w:rsidP="00B927F8">
                  <w:pPr>
                    <w:spacing w:after="120" w:line="240" w:lineRule="auto"/>
                    <w:rPr>
                      <w:color w:val="auto"/>
                    </w:rPr>
                  </w:pPr>
                  <w:r>
                    <w:rPr>
                      <w:color w:val="auto"/>
                    </w:rPr>
                    <w:t>Endorse</w:t>
                  </w:r>
                  <w:r w:rsidR="00B927F8" w:rsidRPr="00B927F8">
                    <w:rPr>
                      <w:color w:val="auto"/>
                    </w:rPr>
                    <w:t xml:space="preserve"> the </w:t>
                  </w:r>
                  <w:r w:rsidR="00AC1E27">
                    <w:rPr>
                      <w:color w:val="auto"/>
                    </w:rPr>
                    <w:t xml:space="preserve">CCG </w:t>
                  </w:r>
                  <w:r w:rsidR="00B927F8" w:rsidRPr="00B927F8">
                    <w:rPr>
                      <w:color w:val="auto"/>
                    </w:rPr>
                    <w:t>Workforce Race Equality Standard (WRES)</w:t>
                  </w:r>
                  <w:r w:rsidR="00AC1E27">
                    <w:rPr>
                      <w:color w:val="auto"/>
                    </w:rPr>
                    <w:t xml:space="preserve"> Report.</w:t>
                  </w:r>
                  <w:r w:rsidR="00B927F8" w:rsidRPr="00B927F8">
                    <w:rPr>
                      <w:color w:val="auto"/>
                    </w:rPr>
                    <w:tab/>
                  </w:r>
                </w:p>
              </w:tc>
            </w:tr>
            <w:tr w:rsidR="006C125A" w:rsidTr="00A928F1">
              <w:tc>
                <w:tcPr>
                  <w:tcW w:w="567" w:type="dxa"/>
                </w:tcPr>
                <w:p w:rsidR="006C125A" w:rsidRDefault="006C125A" w:rsidP="00362E57">
                  <w:pPr>
                    <w:pStyle w:val="ListParagraph"/>
                    <w:spacing w:after="120" w:line="240" w:lineRule="auto"/>
                    <w:ind w:left="0"/>
                    <w:rPr>
                      <w:color w:val="auto"/>
                    </w:rPr>
                  </w:pPr>
                  <w:r>
                    <w:rPr>
                      <w:color w:val="auto"/>
                    </w:rPr>
                    <w:lastRenderedPageBreak/>
                    <w:t>b</w:t>
                  </w:r>
                </w:p>
              </w:tc>
              <w:tc>
                <w:tcPr>
                  <w:tcW w:w="8789" w:type="dxa"/>
                </w:tcPr>
                <w:p w:rsidR="006C125A" w:rsidRDefault="001923D4" w:rsidP="006C125A">
                  <w:pPr>
                    <w:pStyle w:val="ListParagraph"/>
                    <w:spacing w:after="120" w:line="240" w:lineRule="auto"/>
                    <w:ind w:left="0"/>
                    <w:rPr>
                      <w:color w:val="auto"/>
                    </w:rPr>
                  </w:pPr>
                  <w:r>
                    <w:rPr>
                      <w:color w:val="auto"/>
                    </w:rPr>
                    <w:t>Endorse</w:t>
                  </w:r>
                  <w:r w:rsidR="00B927F8" w:rsidRPr="00B927F8">
                    <w:rPr>
                      <w:color w:val="auto"/>
                    </w:rPr>
                    <w:t xml:space="preserve"> the CCG’s approach to the Workforce Disability Equality Standard (WDES)</w:t>
                  </w:r>
                  <w:r w:rsidR="00AC1E27">
                    <w:rPr>
                      <w:color w:val="auto"/>
                    </w:rPr>
                    <w:t>.</w:t>
                  </w:r>
                </w:p>
              </w:tc>
            </w:tr>
            <w:tr w:rsidR="006C125A" w:rsidTr="00A928F1">
              <w:tc>
                <w:tcPr>
                  <w:tcW w:w="567" w:type="dxa"/>
                </w:tcPr>
                <w:p w:rsidR="006C125A" w:rsidRDefault="006C125A" w:rsidP="00362E57">
                  <w:pPr>
                    <w:pStyle w:val="ListParagraph"/>
                    <w:spacing w:after="120" w:line="240" w:lineRule="auto"/>
                    <w:ind w:left="0"/>
                    <w:rPr>
                      <w:color w:val="auto"/>
                    </w:rPr>
                  </w:pPr>
                  <w:r>
                    <w:rPr>
                      <w:color w:val="auto"/>
                    </w:rPr>
                    <w:t>c</w:t>
                  </w:r>
                </w:p>
                <w:p w:rsidR="00B927F8" w:rsidRDefault="00B927F8" w:rsidP="00362E57">
                  <w:pPr>
                    <w:pStyle w:val="ListParagraph"/>
                    <w:spacing w:after="120" w:line="240" w:lineRule="auto"/>
                    <w:ind w:left="0"/>
                    <w:rPr>
                      <w:color w:val="auto"/>
                    </w:rPr>
                  </w:pPr>
                </w:p>
                <w:p w:rsidR="00B927F8" w:rsidRDefault="00B927F8" w:rsidP="00362E57">
                  <w:pPr>
                    <w:pStyle w:val="ListParagraph"/>
                    <w:spacing w:after="120" w:line="240" w:lineRule="auto"/>
                    <w:ind w:left="0"/>
                    <w:rPr>
                      <w:color w:val="auto"/>
                    </w:rPr>
                  </w:pPr>
                  <w:r>
                    <w:rPr>
                      <w:color w:val="auto"/>
                    </w:rPr>
                    <w:t>d</w:t>
                  </w:r>
                </w:p>
              </w:tc>
              <w:tc>
                <w:tcPr>
                  <w:tcW w:w="8789" w:type="dxa"/>
                </w:tcPr>
                <w:p w:rsidR="00B927F8" w:rsidRDefault="001F487C" w:rsidP="00FE4442">
                  <w:pPr>
                    <w:pStyle w:val="ListParagraph"/>
                    <w:spacing w:after="120" w:line="240" w:lineRule="auto"/>
                    <w:ind w:left="0"/>
                    <w:rPr>
                      <w:color w:val="auto"/>
                    </w:rPr>
                  </w:pPr>
                  <w:r>
                    <w:rPr>
                      <w:color w:val="auto"/>
                    </w:rPr>
                    <w:t>Note</w:t>
                  </w:r>
                  <w:r w:rsidR="00B927F8" w:rsidRPr="00B927F8">
                    <w:rPr>
                      <w:color w:val="auto"/>
                    </w:rPr>
                    <w:t xml:space="preserve"> the </w:t>
                  </w:r>
                  <w:r>
                    <w:rPr>
                      <w:color w:val="auto"/>
                    </w:rPr>
                    <w:t xml:space="preserve">CCG’s </w:t>
                  </w:r>
                  <w:r w:rsidR="00B927F8" w:rsidRPr="00B927F8">
                    <w:rPr>
                      <w:color w:val="auto"/>
                    </w:rPr>
                    <w:t xml:space="preserve">WRES </w:t>
                  </w:r>
                  <w:r>
                    <w:rPr>
                      <w:color w:val="auto"/>
                    </w:rPr>
                    <w:t>findings</w:t>
                  </w:r>
                  <w:r w:rsidR="00B927F8" w:rsidRPr="00B927F8">
                    <w:rPr>
                      <w:color w:val="auto"/>
                    </w:rPr>
                    <w:t>.</w:t>
                  </w:r>
                </w:p>
                <w:p w:rsidR="00B927F8" w:rsidRDefault="00B927F8" w:rsidP="00FE4442">
                  <w:pPr>
                    <w:pStyle w:val="ListParagraph"/>
                    <w:spacing w:after="120" w:line="240" w:lineRule="auto"/>
                    <w:ind w:left="0"/>
                    <w:rPr>
                      <w:color w:val="auto"/>
                    </w:rPr>
                  </w:pPr>
                </w:p>
                <w:p w:rsidR="00B927F8" w:rsidRDefault="001923D4" w:rsidP="00AC1E27">
                  <w:pPr>
                    <w:pStyle w:val="ListParagraph"/>
                    <w:spacing w:after="120" w:line="240" w:lineRule="auto"/>
                    <w:ind w:left="0"/>
                    <w:rPr>
                      <w:color w:val="auto"/>
                    </w:rPr>
                  </w:pPr>
                  <w:r>
                    <w:rPr>
                      <w:color w:val="auto"/>
                    </w:rPr>
                    <w:t>Approve</w:t>
                  </w:r>
                  <w:r w:rsidR="00B927F8" w:rsidRPr="00B927F8">
                    <w:rPr>
                      <w:color w:val="auto"/>
                    </w:rPr>
                    <w:t xml:space="preserve"> the</w:t>
                  </w:r>
                  <w:r w:rsidR="00AC1E27">
                    <w:rPr>
                      <w:color w:val="auto"/>
                    </w:rPr>
                    <w:t xml:space="preserve"> proposed</w:t>
                  </w:r>
                  <w:r w:rsidR="00B927F8" w:rsidRPr="00B927F8">
                    <w:rPr>
                      <w:color w:val="auto"/>
                    </w:rPr>
                    <w:t xml:space="preserve"> CCG approach to the Equality Delivery System (EDS)</w:t>
                  </w:r>
                  <w:r w:rsidR="00AC1E27">
                    <w:rPr>
                      <w:color w:val="auto"/>
                    </w:rPr>
                    <w:t>.</w:t>
                  </w:r>
                </w:p>
              </w:tc>
            </w:tr>
          </w:tbl>
          <w:p w:rsidR="000126CA" w:rsidRPr="00FE4442" w:rsidRDefault="000126CA" w:rsidP="00FE4442">
            <w:pPr>
              <w:spacing w:after="120" w:line="240" w:lineRule="auto"/>
              <w:rPr>
                <w:color w:val="auto"/>
              </w:rPr>
            </w:pPr>
          </w:p>
        </w:tc>
      </w:tr>
    </w:tbl>
    <w:p w:rsidR="00880E9F" w:rsidRDefault="00880E9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3118"/>
        <w:gridCol w:w="992"/>
        <w:gridCol w:w="2268"/>
      </w:tblGrid>
      <w:tr w:rsidR="00524FEE" w:rsidTr="0025572F">
        <w:trPr>
          <w:trHeight w:val="755"/>
        </w:trPr>
        <w:tc>
          <w:tcPr>
            <w:tcW w:w="6487" w:type="dxa"/>
            <w:gridSpan w:val="2"/>
            <w:tcBorders>
              <w:bottom w:val="nil"/>
              <w:right w:val="nil"/>
            </w:tcBorders>
          </w:tcPr>
          <w:p w:rsidR="00524FEE" w:rsidRDefault="00524FEE" w:rsidP="00BC2195">
            <w:pPr>
              <w:spacing w:after="0"/>
              <w:rPr>
                <w:b/>
                <w:color w:val="auto"/>
              </w:rPr>
            </w:pPr>
          </w:p>
          <w:p w:rsidR="00524FEE" w:rsidRPr="00524FEE" w:rsidRDefault="00524FEE" w:rsidP="00BC2195">
            <w:pPr>
              <w:spacing w:after="0"/>
              <w:rPr>
                <w:b/>
                <w:color w:val="auto"/>
              </w:rPr>
            </w:pPr>
            <w:r>
              <w:rPr>
                <w:b/>
                <w:color w:val="auto"/>
              </w:rPr>
              <w:t>REPORT EXEMPT FROM PUBLIC DISCLOSURE</w:t>
            </w:r>
          </w:p>
        </w:tc>
        <w:tc>
          <w:tcPr>
            <w:tcW w:w="992" w:type="dxa"/>
            <w:tcBorders>
              <w:left w:val="nil"/>
              <w:bottom w:val="nil"/>
              <w:right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1552" behindDoc="0" locked="0" layoutInCell="1" allowOverlap="1" wp14:anchorId="77C35F96" wp14:editId="1D36E2F3">
                      <wp:simplePos x="0" y="0"/>
                      <wp:positionH relativeFrom="column">
                        <wp:posOffset>252730</wp:posOffset>
                      </wp:positionH>
                      <wp:positionV relativeFrom="paragraph">
                        <wp:posOffset>102235</wp:posOffset>
                      </wp:positionV>
                      <wp:extent cx="264160" cy="254635"/>
                      <wp:effectExtent l="9525" t="10795" r="120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AC1E27" w:rsidP="00524FEE">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rsidR="00362E57" w:rsidRPr="008C54B1" w:rsidRDefault="00AC1E27" w:rsidP="00524FEE">
                            <w:pPr>
                              <w:spacing w:after="0" w:line="240" w:lineRule="auto"/>
                              <w:rPr>
                                <w:color w:val="auto"/>
                              </w:rPr>
                            </w:pPr>
                            <w:r>
                              <w:rPr>
                                <w:color w:val="auto"/>
                              </w:rPr>
                              <w:t>X</w:t>
                            </w:r>
                          </w:p>
                        </w:txbxContent>
                      </v:textbox>
                    </v:shape>
                  </w:pict>
                </mc:Fallback>
              </mc:AlternateContent>
            </w:r>
          </w:p>
          <w:p w:rsidR="00524FEE" w:rsidRPr="00524FEE" w:rsidRDefault="00524FEE" w:rsidP="00BC2195">
            <w:pPr>
              <w:spacing w:after="0"/>
              <w:rPr>
                <w:color w:val="auto"/>
              </w:rPr>
            </w:pPr>
            <w:r w:rsidRPr="00524FEE">
              <w:rPr>
                <w:color w:val="auto"/>
              </w:rPr>
              <w:t>No</w:t>
            </w:r>
          </w:p>
        </w:tc>
        <w:tc>
          <w:tcPr>
            <w:tcW w:w="2268" w:type="dxa"/>
            <w:tcBorders>
              <w:left w:val="nil"/>
              <w:bottom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2576" behindDoc="0" locked="0" layoutInCell="1" allowOverlap="1" wp14:anchorId="5DAD35A7" wp14:editId="58F03C68">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362E57" w:rsidRPr="008C54B1" w:rsidRDefault="00362E57"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rsidR="00362E57" w:rsidRPr="008C54B1" w:rsidRDefault="00362E57" w:rsidP="00524FEE">
                            <w:pPr>
                              <w:spacing w:after="0" w:line="240" w:lineRule="auto"/>
                              <w:rPr>
                                <w:color w:val="auto"/>
                              </w:rPr>
                            </w:pPr>
                          </w:p>
                        </w:txbxContent>
                      </v:textbox>
                    </v:shape>
                  </w:pict>
                </mc:Fallback>
              </mc:AlternateContent>
            </w:r>
          </w:p>
          <w:p w:rsidR="00524FEE" w:rsidRPr="00524FEE" w:rsidRDefault="00524FEE" w:rsidP="00BC2195">
            <w:pPr>
              <w:spacing w:after="0"/>
              <w:rPr>
                <w:color w:val="auto"/>
              </w:rPr>
            </w:pPr>
            <w:r w:rsidRPr="00524FEE">
              <w:rPr>
                <w:color w:val="auto"/>
              </w:rPr>
              <w:t>Yes</w:t>
            </w:r>
          </w:p>
        </w:tc>
      </w:tr>
      <w:tr w:rsidR="00D619F8" w:rsidTr="0025572F">
        <w:tc>
          <w:tcPr>
            <w:tcW w:w="3369" w:type="dxa"/>
            <w:tcBorders>
              <w:top w:val="nil"/>
              <w:right w:val="nil"/>
            </w:tcBorders>
          </w:tcPr>
          <w:p w:rsidR="00D619F8" w:rsidRPr="00BD03D7" w:rsidRDefault="00D619F8" w:rsidP="00BC2195">
            <w:pPr>
              <w:spacing w:after="0"/>
              <w:rPr>
                <w:color w:val="auto"/>
                <w:sz w:val="20"/>
              </w:rPr>
            </w:pPr>
            <w:r w:rsidRPr="00BD03D7">
              <w:rPr>
                <w:color w:val="auto"/>
                <w:sz w:val="20"/>
              </w:rPr>
              <w:t xml:space="preserve">If yes, </w:t>
            </w:r>
            <w:r w:rsidR="00CC73F9">
              <w:rPr>
                <w:color w:val="auto"/>
                <w:sz w:val="20"/>
              </w:rPr>
              <w:t xml:space="preserve">detail </w:t>
            </w:r>
            <w:r w:rsidR="00F02345">
              <w:rPr>
                <w:color w:val="auto"/>
                <w:sz w:val="20"/>
              </w:rPr>
              <w:t>grounds for exemption</w:t>
            </w:r>
            <w:r w:rsidRPr="00BD03D7">
              <w:rPr>
                <w:color w:val="auto"/>
                <w:sz w:val="20"/>
              </w:rPr>
              <w:t xml:space="preserve"> </w:t>
            </w:r>
          </w:p>
          <w:p w:rsidR="00D619F8" w:rsidRDefault="00D619F8" w:rsidP="00BC2195">
            <w:pPr>
              <w:spacing w:after="0"/>
              <w:rPr>
                <w:b/>
                <w:color w:val="auto"/>
              </w:rPr>
            </w:pPr>
          </w:p>
        </w:tc>
        <w:tc>
          <w:tcPr>
            <w:tcW w:w="6378" w:type="dxa"/>
            <w:gridSpan w:val="3"/>
            <w:tcBorders>
              <w:top w:val="nil"/>
              <w:left w:val="nil"/>
            </w:tcBorders>
          </w:tcPr>
          <w:p w:rsidR="00D619F8" w:rsidRPr="00907BD9" w:rsidRDefault="00907BD9" w:rsidP="00BC2195">
            <w:pPr>
              <w:spacing w:after="0"/>
              <w:rPr>
                <w:color w:val="auto"/>
              </w:rPr>
            </w:pPr>
            <w:r>
              <w:rPr>
                <w:color w:val="auto"/>
              </w:rPr>
              <w:t>Albeit, elements of staff data included in appendices are exempt from disclosure under data protection requirements.</w:t>
            </w:r>
          </w:p>
        </w:tc>
      </w:tr>
    </w:tbl>
    <w:p w:rsidR="00524FEE" w:rsidRDefault="00524FEE"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D3640A" w:rsidTr="00362E57">
        <w:trPr>
          <w:trHeight w:val="1260"/>
        </w:trPr>
        <w:tc>
          <w:tcPr>
            <w:tcW w:w="9747" w:type="dxa"/>
          </w:tcPr>
          <w:p w:rsidR="00D3640A" w:rsidRDefault="00D3640A" w:rsidP="00362E57">
            <w:pPr>
              <w:spacing w:after="0" w:line="240" w:lineRule="auto"/>
              <w:rPr>
                <w:b/>
                <w:color w:val="auto"/>
              </w:rPr>
            </w:pPr>
          </w:p>
          <w:p w:rsidR="00D3640A" w:rsidRDefault="00D3640A" w:rsidP="00362E57">
            <w:pPr>
              <w:spacing w:after="0" w:line="240" w:lineRule="auto"/>
              <w:rPr>
                <w:i/>
                <w:color w:val="auto"/>
                <w:sz w:val="20"/>
                <w:szCs w:val="20"/>
              </w:rPr>
            </w:pPr>
            <w:r w:rsidRPr="00753A32">
              <w:rPr>
                <w:b/>
                <w:color w:val="auto"/>
                <w:sz w:val="24"/>
                <w:szCs w:val="24"/>
              </w:rPr>
              <w:t xml:space="preserve">CCG </w:t>
            </w:r>
            <w:r>
              <w:rPr>
                <w:b/>
                <w:color w:val="auto"/>
                <w:sz w:val="24"/>
                <w:szCs w:val="24"/>
              </w:rPr>
              <w:t>S</w:t>
            </w:r>
            <w:r w:rsidR="007A7074">
              <w:rPr>
                <w:b/>
                <w:color w:val="auto"/>
                <w:sz w:val="24"/>
                <w:szCs w:val="24"/>
              </w:rPr>
              <w:t xml:space="preserve">TRATEGIC </w:t>
            </w:r>
            <w:r w:rsidRPr="00753A32">
              <w:rPr>
                <w:b/>
                <w:color w:val="auto"/>
                <w:sz w:val="24"/>
                <w:szCs w:val="24"/>
              </w:rPr>
              <w:t>OBJECTIVE</w:t>
            </w:r>
            <w:r>
              <w:rPr>
                <w:b/>
                <w:color w:val="auto"/>
              </w:rPr>
              <w:t xml:space="preserve"> </w:t>
            </w:r>
          </w:p>
          <w:p w:rsidR="00F9295E" w:rsidRDefault="00F9295E" w:rsidP="00362E57">
            <w:pPr>
              <w:spacing w:after="0" w:line="240" w:lineRule="auto"/>
              <w:rPr>
                <w:i/>
                <w:color w:val="auto"/>
                <w:sz w:val="20"/>
                <w:szCs w:val="20"/>
              </w:rPr>
            </w:pPr>
          </w:p>
          <w:p w:rsidR="00B37D2F" w:rsidRDefault="00B37D2F" w:rsidP="00362E57">
            <w:pPr>
              <w:spacing w:after="0" w:line="240" w:lineRule="auto"/>
              <w:rPr>
                <w:i/>
                <w:color w:val="auto"/>
                <w:sz w:val="20"/>
                <w:szCs w:val="20"/>
              </w:rPr>
            </w:pPr>
            <w:r>
              <w:rPr>
                <w:i/>
                <w:color w:val="auto"/>
                <w:sz w:val="20"/>
                <w:szCs w:val="20"/>
              </w:rPr>
              <w:t xml:space="preserve">Objective 3 – </w:t>
            </w:r>
            <w:r w:rsidRPr="00B37D2F">
              <w:rPr>
                <w:color w:val="auto"/>
                <w:sz w:val="20"/>
                <w:szCs w:val="20"/>
              </w:rPr>
              <w:t>Delivery of  Statutory Duties</w:t>
            </w:r>
          </w:p>
          <w:p w:rsidR="00B37D2F" w:rsidRDefault="00B37D2F" w:rsidP="00362E57">
            <w:pPr>
              <w:spacing w:after="0" w:line="240" w:lineRule="auto"/>
              <w:rPr>
                <w:i/>
                <w:color w:val="auto"/>
                <w:sz w:val="20"/>
                <w:szCs w:val="20"/>
              </w:rPr>
            </w:pPr>
          </w:p>
          <w:p w:rsidR="00D20CEA" w:rsidRDefault="00B37D2F" w:rsidP="00362E57">
            <w:pPr>
              <w:spacing w:after="0" w:line="240" w:lineRule="auto"/>
              <w:rPr>
                <w:color w:val="auto"/>
                <w:sz w:val="20"/>
                <w:szCs w:val="20"/>
              </w:rPr>
            </w:pPr>
            <w:r>
              <w:rPr>
                <w:i/>
                <w:color w:val="auto"/>
                <w:sz w:val="20"/>
                <w:szCs w:val="20"/>
              </w:rPr>
              <w:t xml:space="preserve">Objective 5 - </w:t>
            </w:r>
            <w:r w:rsidRPr="00B37D2F">
              <w:rPr>
                <w:color w:val="auto"/>
                <w:sz w:val="20"/>
                <w:szCs w:val="20"/>
              </w:rPr>
              <w:t xml:space="preserve">To embed Patient and Public Involvement across the organisation and ensure that the CCG </w:t>
            </w:r>
          </w:p>
          <w:p w:rsidR="00B37D2F" w:rsidRPr="00B37D2F" w:rsidRDefault="00D20CEA" w:rsidP="00362E57">
            <w:pPr>
              <w:spacing w:after="0" w:line="240" w:lineRule="auto"/>
              <w:rPr>
                <w:color w:val="auto"/>
                <w:sz w:val="20"/>
                <w:szCs w:val="20"/>
              </w:rPr>
            </w:pPr>
            <w:r>
              <w:rPr>
                <w:color w:val="auto"/>
                <w:sz w:val="20"/>
                <w:szCs w:val="20"/>
              </w:rPr>
              <w:t xml:space="preserve">                      </w:t>
            </w:r>
            <w:r w:rsidR="00B37D2F" w:rsidRPr="00B37D2F">
              <w:rPr>
                <w:color w:val="auto"/>
                <w:sz w:val="20"/>
                <w:szCs w:val="20"/>
              </w:rPr>
              <w:t>meets its statutory duty under 14Z2 of the Health and Social Care Act</w:t>
            </w:r>
          </w:p>
          <w:p w:rsidR="00D3640A" w:rsidRPr="00B37D2F" w:rsidRDefault="00D3640A" w:rsidP="00362E57">
            <w:pPr>
              <w:spacing w:after="0" w:line="240" w:lineRule="auto"/>
              <w:rPr>
                <w:b/>
                <w:color w:val="auto"/>
                <w:sz w:val="24"/>
                <w:szCs w:val="24"/>
              </w:rPr>
            </w:pPr>
          </w:p>
        </w:tc>
      </w:tr>
      <w:tr w:rsidR="00D3640A" w:rsidRPr="006C4C28" w:rsidTr="00907BD9">
        <w:trPr>
          <w:trHeight w:val="1038"/>
        </w:trPr>
        <w:tc>
          <w:tcPr>
            <w:tcW w:w="9747" w:type="dxa"/>
          </w:tcPr>
          <w:p w:rsidR="00D3640A" w:rsidRDefault="00D3640A" w:rsidP="00362E57">
            <w:pPr>
              <w:spacing w:after="0" w:line="240" w:lineRule="auto"/>
              <w:rPr>
                <w:i/>
                <w:color w:val="auto"/>
                <w:sz w:val="20"/>
              </w:rPr>
            </w:pPr>
            <w:r>
              <w:rPr>
                <w:i/>
                <w:color w:val="auto"/>
                <w:sz w:val="20"/>
              </w:rPr>
              <w:t>S</w:t>
            </w:r>
            <w:r w:rsidRPr="00FA5C25">
              <w:rPr>
                <w:i/>
                <w:color w:val="auto"/>
                <w:sz w:val="20"/>
              </w:rPr>
              <w:t>hort summary as to how the report links to the CCG</w:t>
            </w:r>
            <w:r>
              <w:rPr>
                <w:i/>
                <w:color w:val="auto"/>
                <w:sz w:val="20"/>
              </w:rPr>
              <w:t>’s</w:t>
            </w:r>
            <w:r w:rsidRPr="00FA5C25">
              <w:rPr>
                <w:i/>
                <w:color w:val="auto"/>
                <w:sz w:val="20"/>
              </w:rPr>
              <w:t xml:space="preserve"> strategic objectives</w:t>
            </w:r>
          </w:p>
          <w:p w:rsidR="004012CC" w:rsidRDefault="004012CC" w:rsidP="00362E57">
            <w:pPr>
              <w:spacing w:after="0" w:line="240" w:lineRule="auto"/>
              <w:rPr>
                <w:i/>
                <w:color w:val="auto"/>
                <w:sz w:val="20"/>
              </w:rPr>
            </w:pPr>
          </w:p>
          <w:p w:rsidR="00D3640A" w:rsidRPr="006C4C28" w:rsidRDefault="00907BD9" w:rsidP="00362E57">
            <w:pPr>
              <w:spacing w:after="0" w:line="240" w:lineRule="auto"/>
              <w:rPr>
                <w:color w:val="auto"/>
                <w:sz w:val="20"/>
              </w:rPr>
            </w:pPr>
            <w:r>
              <w:rPr>
                <w:color w:val="auto"/>
                <w:sz w:val="20"/>
              </w:rPr>
              <w:t xml:space="preserve">The subject material included in the report cuts across a number of the CCG’s </w:t>
            </w:r>
            <w:r w:rsidR="00F9295E">
              <w:rPr>
                <w:color w:val="auto"/>
                <w:sz w:val="20"/>
              </w:rPr>
              <w:t xml:space="preserve">2019/20 </w:t>
            </w:r>
            <w:r>
              <w:rPr>
                <w:color w:val="auto"/>
                <w:sz w:val="20"/>
              </w:rPr>
              <w:t>strategic objectives but particularly its duties under the Equality Act 2010 and its statutory duty to consult.</w:t>
            </w:r>
          </w:p>
        </w:tc>
      </w:tr>
    </w:tbl>
    <w:p w:rsidR="00A12259" w:rsidRPr="00A12259" w:rsidRDefault="00A12259" w:rsidP="00A1225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8363"/>
      </w:tblGrid>
      <w:tr w:rsidR="004159D1" w:rsidRPr="00566BDC" w:rsidTr="0025572F">
        <w:tc>
          <w:tcPr>
            <w:tcW w:w="9747" w:type="dxa"/>
            <w:gridSpan w:val="2"/>
            <w:tcBorders>
              <w:bottom w:val="single" w:sz="6" w:space="0" w:color="auto"/>
            </w:tcBorders>
          </w:tcPr>
          <w:p w:rsidR="004159D1" w:rsidRPr="00566BDC" w:rsidRDefault="004159D1" w:rsidP="00566BDC">
            <w:pPr>
              <w:spacing w:after="0" w:line="240" w:lineRule="auto"/>
              <w:rPr>
                <w:b/>
                <w:color w:val="auto"/>
              </w:rPr>
            </w:pPr>
          </w:p>
          <w:p w:rsidR="004159D1" w:rsidRPr="00566BDC" w:rsidRDefault="004159D1" w:rsidP="004159D1">
            <w:pPr>
              <w:spacing w:after="0" w:line="240" w:lineRule="auto"/>
              <w:rPr>
                <w:b/>
                <w:color w:val="auto"/>
              </w:rPr>
            </w:pPr>
            <w:r w:rsidRPr="00566BDC">
              <w:rPr>
                <w:b/>
                <w:color w:val="auto"/>
              </w:rPr>
              <w:t>IMPLICATIONS:</w:t>
            </w:r>
            <w:r w:rsidRPr="00566BDC">
              <w:rPr>
                <w:color w:val="auto"/>
              </w:rPr>
              <w:t xml:space="preserve"> (</w:t>
            </w:r>
            <w:r w:rsidRPr="00E3617B">
              <w:rPr>
                <w:i/>
                <w:color w:val="auto"/>
                <w:sz w:val="20"/>
              </w:rPr>
              <w:t>summary of key implications, including risks, associated with the paper</w:t>
            </w:r>
            <w:r>
              <w:rPr>
                <w:color w:val="auto"/>
              </w:rPr>
              <w:t>)</w:t>
            </w:r>
            <w:r w:rsidRPr="00566BDC">
              <w:rPr>
                <w:color w:val="auto"/>
              </w:rPr>
              <w:t xml:space="preserve">, </w:t>
            </w:r>
          </w:p>
        </w:tc>
      </w:tr>
      <w:tr w:rsidR="004159D1" w:rsidRPr="00566BDC" w:rsidTr="0025572F">
        <w:tc>
          <w:tcPr>
            <w:tcW w:w="1384" w:type="dxa"/>
            <w:tcBorders>
              <w:top w:val="single" w:sz="6" w:space="0" w:color="auto"/>
              <w:bottom w:val="single" w:sz="6" w:space="0" w:color="auto"/>
              <w:right w:val="single" w:sz="6" w:space="0" w:color="auto"/>
            </w:tcBorders>
          </w:tcPr>
          <w:p w:rsidR="004159D1" w:rsidRPr="00566BDC" w:rsidRDefault="004159D1" w:rsidP="00566BDC">
            <w:pPr>
              <w:spacing w:after="0" w:line="240" w:lineRule="auto"/>
              <w:rPr>
                <w:b/>
                <w:color w:val="auto"/>
              </w:rPr>
            </w:pPr>
            <w:r w:rsidRPr="00566BDC">
              <w:rPr>
                <w:color w:val="auto"/>
              </w:rPr>
              <w:t>Finance</w:t>
            </w:r>
          </w:p>
        </w:tc>
        <w:tc>
          <w:tcPr>
            <w:tcW w:w="8363" w:type="dxa"/>
            <w:tcBorders>
              <w:top w:val="single" w:sz="6" w:space="0" w:color="auto"/>
              <w:left w:val="single" w:sz="6" w:space="0" w:color="auto"/>
              <w:bottom w:val="single" w:sz="6" w:space="0" w:color="auto"/>
            </w:tcBorders>
          </w:tcPr>
          <w:p w:rsidR="004159D1" w:rsidRPr="002E7C5C" w:rsidRDefault="002E7C5C" w:rsidP="00566BDC">
            <w:pPr>
              <w:spacing w:after="0" w:line="240" w:lineRule="auto"/>
              <w:rPr>
                <w:color w:val="auto"/>
              </w:rPr>
            </w:pPr>
            <w:r>
              <w:rPr>
                <w:color w:val="auto"/>
              </w:rPr>
              <w:t>There are no adverse implications associated with the paper</w:t>
            </w:r>
            <w:r w:rsidR="00604AF1">
              <w:rPr>
                <w:color w:val="auto"/>
              </w:rPr>
              <w:t>.</w:t>
            </w:r>
          </w:p>
          <w:p w:rsidR="00B0337D" w:rsidRPr="002E7C5C" w:rsidRDefault="00B0337D" w:rsidP="00566BDC">
            <w:pPr>
              <w:spacing w:after="0" w:line="240" w:lineRule="auto"/>
              <w:rPr>
                <w:color w:val="auto"/>
              </w:rPr>
            </w:pPr>
          </w:p>
        </w:tc>
      </w:tr>
      <w:tr w:rsidR="004159D1" w:rsidRPr="00566BDC" w:rsidTr="0025572F">
        <w:tc>
          <w:tcPr>
            <w:tcW w:w="1384" w:type="dxa"/>
            <w:tcBorders>
              <w:top w:val="single" w:sz="6" w:space="0" w:color="auto"/>
              <w:bottom w:val="single" w:sz="6" w:space="0" w:color="auto"/>
              <w:right w:val="single" w:sz="6" w:space="0" w:color="auto"/>
            </w:tcBorders>
          </w:tcPr>
          <w:p w:rsidR="004159D1" w:rsidRPr="00566BDC" w:rsidRDefault="004159D1" w:rsidP="00566BDC">
            <w:pPr>
              <w:spacing w:after="0" w:line="240" w:lineRule="auto"/>
              <w:rPr>
                <w:b/>
                <w:color w:val="auto"/>
              </w:rPr>
            </w:pPr>
            <w:r w:rsidRPr="00566BDC">
              <w:rPr>
                <w:color w:val="auto"/>
              </w:rPr>
              <w:t>HR</w:t>
            </w:r>
          </w:p>
        </w:tc>
        <w:tc>
          <w:tcPr>
            <w:tcW w:w="8363" w:type="dxa"/>
            <w:tcBorders>
              <w:top w:val="single" w:sz="6" w:space="0" w:color="auto"/>
              <w:left w:val="single" w:sz="6" w:space="0" w:color="auto"/>
              <w:bottom w:val="single" w:sz="6" w:space="0" w:color="auto"/>
            </w:tcBorders>
          </w:tcPr>
          <w:p w:rsidR="004159D1" w:rsidRPr="002E7C5C" w:rsidRDefault="002E7C5C" w:rsidP="00566BDC">
            <w:pPr>
              <w:spacing w:after="0" w:line="240" w:lineRule="auto"/>
              <w:rPr>
                <w:color w:val="auto"/>
              </w:rPr>
            </w:pPr>
            <w:r>
              <w:rPr>
                <w:color w:val="auto"/>
              </w:rPr>
              <w:t>The paper’s findings help in the planning and recruitment of a diverse workforce, representative of the population we serve.</w:t>
            </w:r>
          </w:p>
          <w:p w:rsidR="004159D1" w:rsidRPr="002E7C5C" w:rsidRDefault="004159D1" w:rsidP="00566BDC">
            <w:pPr>
              <w:spacing w:after="0" w:line="240" w:lineRule="auto"/>
              <w:rPr>
                <w:color w:val="auto"/>
              </w:rPr>
            </w:pPr>
          </w:p>
        </w:tc>
      </w:tr>
      <w:tr w:rsidR="004159D1" w:rsidRPr="00566BDC" w:rsidTr="0025572F">
        <w:tc>
          <w:tcPr>
            <w:tcW w:w="1384" w:type="dxa"/>
            <w:tcBorders>
              <w:top w:val="single" w:sz="6" w:space="0" w:color="auto"/>
              <w:bottom w:val="single" w:sz="4" w:space="0" w:color="auto"/>
              <w:right w:val="single" w:sz="6" w:space="0" w:color="auto"/>
            </w:tcBorders>
          </w:tcPr>
          <w:p w:rsidR="004159D1" w:rsidRPr="00566BDC" w:rsidRDefault="004159D1" w:rsidP="00566BDC">
            <w:pPr>
              <w:spacing w:after="0" w:line="240" w:lineRule="auto"/>
              <w:rPr>
                <w:b/>
                <w:color w:val="auto"/>
              </w:rPr>
            </w:pPr>
            <w:r w:rsidRPr="00566BDC">
              <w:rPr>
                <w:color w:val="auto"/>
              </w:rPr>
              <w:t>Quality</w:t>
            </w:r>
          </w:p>
        </w:tc>
        <w:tc>
          <w:tcPr>
            <w:tcW w:w="8363" w:type="dxa"/>
            <w:tcBorders>
              <w:top w:val="single" w:sz="6" w:space="0" w:color="auto"/>
              <w:left w:val="single" w:sz="6" w:space="0" w:color="auto"/>
              <w:bottom w:val="single" w:sz="4" w:space="0" w:color="auto"/>
            </w:tcBorders>
          </w:tcPr>
          <w:p w:rsidR="004159D1" w:rsidRPr="002E7C5C" w:rsidRDefault="002E7C5C" w:rsidP="00E71321">
            <w:pPr>
              <w:spacing w:after="0" w:line="240" w:lineRule="auto"/>
              <w:rPr>
                <w:color w:val="auto"/>
              </w:rPr>
            </w:pPr>
            <w:r>
              <w:rPr>
                <w:color w:val="auto"/>
              </w:rPr>
              <w:t xml:space="preserve">The paper’s recommendations support the ongoing engagement </w:t>
            </w:r>
            <w:r w:rsidR="00E71321">
              <w:rPr>
                <w:color w:val="auto"/>
              </w:rPr>
              <w:t>of diverse interested parties and groups, which in turn supports the commissioning of high quality services.</w:t>
            </w:r>
          </w:p>
        </w:tc>
      </w:tr>
      <w:tr w:rsidR="004159D1" w:rsidRPr="00566BDC" w:rsidTr="004E00E6">
        <w:tc>
          <w:tcPr>
            <w:tcW w:w="1384" w:type="dxa"/>
            <w:tcBorders>
              <w:top w:val="single" w:sz="4" w:space="0" w:color="auto"/>
              <w:bottom w:val="double" w:sz="4" w:space="0" w:color="auto"/>
              <w:right w:val="single" w:sz="4" w:space="0" w:color="auto"/>
            </w:tcBorders>
          </w:tcPr>
          <w:p w:rsidR="004159D1" w:rsidRPr="00566BDC" w:rsidRDefault="004159D1" w:rsidP="00566BDC">
            <w:pPr>
              <w:spacing w:after="0" w:line="240" w:lineRule="auto"/>
              <w:rPr>
                <w:b/>
                <w:color w:val="auto"/>
              </w:rPr>
            </w:pPr>
            <w:r w:rsidRPr="00566BDC">
              <w:rPr>
                <w:color w:val="auto"/>
              </w:rPr>
              <w:t>Safety</w:t>
            </w:r>
          </w:p>
        </w:tc>
        <w:tc>
          <w:tcPr>
            <w:tcW w:w="8363" w:type="dxa"/>
            <w:tcBorders>
              <w:top w:val="single" w:sz="4" w:space="0" w:color="auto"/>
              <w:left w:val="single" w:sz="4" w:space="0" w:color="auto"/>
              <w:bottom w:val="double" w:sz="4" w:space="0" w:color="auto"/>
            </w:tcBorders>
          </w:tcPr>
          <w:p w:rsidR="004159D1" w:rsidRPr="002E7C5C" w:rsidRDefault="00E71321" w:rsidP="00566BDC">
            <w:pPr>
              <w:spacing w:after="0" w:line="240" w:lineRule="auto"/>
              <w:rPr>
                <w:color w:val="auto"/>
              </w:rPr>
            </w:pPr>
            <w:r>
              <w:rPr>
                <w:color w:val="auto"/>
              </w:rPr>
              <w:t>There are no adverse safety implications associated with the paper.</w:t>
            </w:r>
          </w:p>
          <w:p w:rsidR="004159D1" w:rsidRPr="002E7C5C" w:rsidRDefault="004159D1" w:rsidP="00566BDC">
            <w:pPr>
              <w:spacing w:after="0" w:line="240" w:lineRule="auto"/>
              <w:rPr>
                <w:color w:val="auto"/>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c>
          <w:tcPr>
            <w:tcW w:w="9747" w:type="dxa"/>
          </w:tcPr>
          <w:p w:rsidR="00566BDC" w:rsidRPr="00566BDC" w:rsidRDefault="00566BDC" w:rsidP="00566BDC">
            <w:pPr>
              <w:spacing w:after="0" w:line="240" w:lineRule="auto"/>
              <w:rPr>
                <w:b/>
                <w:color w:val="auto"/>
              </w:rPr>
            </w:pPr>
          </w:p>
          <w:p w:rsidR="0010586B" w:rsidRDefault="00880E9F" w:rsidP="00566BDC">
            <w:pPr>
              <w:spacing w:after="0" w:line="240" w:lineRule="auto"/>
              <w:rPr>
                <w:i/>
                <w:color w:val="auto"/>
                <w:sz w:val="20"/>
              </w:rPr>
            </w:pPr>
            <w:r w:rsidRPr="00566BDC">
              <w:rPr>
                <w:b/>
                <w:color w:val="auto"/>
              </w:rPr>
              <w:t>ENGAGEMENT:</w:t>
            </w:r>
            <w:r w:rsidRPr="00566BDC">
              <w:rPr>
                <w:color w:val="auto"/>
              </w:rPr>
              <w:t xml:space="preserve"> (</w:t>
            </w:r>
            <w:r w:rsidR="0010586B">
              <w:rPr>
                <w:i/>
                <w:color w:val="auto"/>
                <w:sz w:val="20"/>
              </w:rPr>
              <w:t>Explain</w:t>
            </w:r>
            <w:r w:rsidRPr="0010586B">
              <w:rPr>
                <w:i/>
                <w:color w:val="auto"/>
                <w:sz w:val="20"/>
              </w:rPr>
              <w:t xml:space="preserve"> what engagement has taken place e.g. Partners, patients and the public </w:t>
            </w:r>
          </w:p>
          <w:p w:rsidR="00880E9F" w:rsidRPr="00566BDC" w:rsidRDefault="00880E9F" w:rsidP="00566BDC">
            <w:pPr>
              <w:spacing w:after="0" w:line="240" w:lineRule="auto"/>
              <w:rPr>
                <w:color w:val="auto"/>
              </w:rPr>
            </w:pPr>
            <w:r w:rsidRPr="0010586B">
              <w:rPr>
                <w:i/>
                <w:color w:val="auto"/>
                <w:sz w:val="20"/>
              </w:rPr>
              <w:t>prior to presenting the paper and the outcome of this</w:t>
            </w:r>
            <w:r w:rsidRPr="00566BDC">
              <w:rPr>
                <w:color w:val="auto"/>
              </w:rPr>
              <w:t>)</w:t>
            </w:r>
            <w:r w:rsidR="00FE4442">
              <w:rPr>
                <w:color w:val="auto"/>
              </w:rPr>
              <w:t xml:space="preserve"> </w:t>
            </w:r>
          </w:p>
          <w:p w:rsidR="00604AF1" w:rsidRDefault="00604AF1" w:rsidP="00566BDC">
            <w:pPr>
              <w:spacing w:after="0" w:line="240" w:lineRule="auto"/>
              <w:rPr>
                <w:color w:val="auto"/>
              </w:rPr>
            </w:pPr>
          </w:p>
          <w:p w:rsidR="00880E9F" w:rsidRPr="00566BDC" w:rsidRDefault="00E71321" w:rsidP="00566BDC">
            <w:pPr>
              <w:spacing w:after="0" w:line="240" w:lineRule="auto"/>
              <w:rPr>
                <w:color w:val="auto"/>
              </w:rPr>
            </w:pPr>
            <w:r>
              <w:rPr>
                <w:color w:val="auto"/>
              </w:rPr>
              <w:t>The paper has been subject to review and development by the CCG’s equality &amp; diversity group</w:t>
            </w:r>
            <w:r w:rsidR="00F9295E">
              <w:rPr>
                <w:color w:val="auto"/>
              </w:rPr>
              <w:t xml:space="preserve"> and references</w:t>
            </w:r>
            <w:r>
              <w:rPr>
                <w:color w:val="auto"/>
              </w:rPr>
              <w:t xml:space="preserve"> plans for wider external engagement across the themes identified in the report.</w:t>
            </w:r>
          </w:p>
          <w:p w:rsidR="00880E9F" w:rsidRPr="00566BDC" w:rsidRDefault="00880E9F" w:rsidP="00566BDC">
            <w:pPr>
              <w:spacing w:after="0" w:line="240" w:lineRule="auto"/>
              <w:rPr>
                <w:color w:val="auto"/>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c>
          <w:tcPr>
            <w:tcW w:w="9747" w:type="dxa"/>
          </w:tcPr>
          <w:p w:rsidR="00566BDC" w:rsidRPr="00566BDC" w:rsidRDefault="00566BDC" w:rsidP="00566BDC">
            <w:pPr>
              <w:spacing w:after="0" w:line="240" w:lineRule="auto"/>
              <w:rPr>
                <w:b/>
                <w:color w:val="auto"/>
              </w:rPr>
            </w:pPr>
          </w:p>
          <w:p w:rsidR="00880E9F" w:rsidRDefault="00880E9F" w:rsidP="00566BDC">
            <w:pPr>
              <w:spacing w:after="0" w:line="240" w:lineRule="auto"/>
              <w:rPr>
                <w:color w:val="auto"/>
              </w:rPr>
            </w:pPr>
            <w:r w:rsidRPr="00566BDC">
              <w:rPr>
                <w:b/>
                <w:color w:val="auto"/>
              </w:rPr>
              <w:t>LEGAL ISSUES:</w:t>
            </w:r>
            <w:r w:rsidRPr="00566BDC">
              <w:rPr>
                <w:color w:val="auto"/>
              </w:rPr>
              <w:t xml:space="preserve"> (</w:t>
            </w:r>
            <w:r w:rsidR="0010586B">
              <w:rPr>
                <w:i/>
                <w:color w:val="auto"/>
                <w:sz w:val="20"/>
              </w:rPr>
              <w:t>S</w:t>
            </w:r>
            <w:r w:rsidRPr="0010586B">
              <w:rPr>
                <w:i/>
                <w:color w:val="auto"/>
                <w:sz w:val="20"/>
              </w:rPr>
              <w:t>ummar</w:t>
            </w:r>
            <w:r w:rsidR="0010586B">
              <w:rPr>
                <w:i/>
                <w:color w:val="auto"/>
                <w:sz w:val="20"/>
              </w:rPr>
              <w:t>ise</w:t>
            </w:r>
            <w:r w:rsidRPr="0010586B">
              <w:rPr>
                <w:i/>
                <w:color w:val="auto"/>
                <w:sz w:val="20"/>
              </w:rPr>
              <w:t xml:space="preserve"> </w:t>
            </w:r>
            <w:r w:rsidR="0010586B">
              <w:rPr>
                <w:i/>
                <w:color w:val="auto"/>
                <w:sz w:val="20"/>
              </w:rPr>
              <w:t>key</w:t>
            </w:r>
            <w:r w:rsidRPr="0010586B">
              <w:rPr>
                <w:i/>
                <w:color w:val="auto"/>
                <w:sz w:val="20"/>
              </w:rPr>
              <w:t xml:space="preserve"> legal issues</w:t>
            </w:r>
            <w:r w:rsidR="0010586B">
              <w:rPr>
                <w:i/>
                <w:color w:val="auto"/>
                <w:sz w:val="20"/>
              </w:rPr>
              <w:t xml:space="preserve"> </w:t>
            </w:r>
            <w:r w:rsidRPr="0010586B">
              <w:rPr>
                <w:i/>
                <w:color w:val="auto"/>
                <w:sz w:val="20"/>
              </w:rPr>
              <w:t>/</w:t>
            </w:r>
            <w:r w:rsidR="0010586B">
              <w:rPr>
                <w:i/>
                <w:color w:val="auto"/>
                <w:sz w:val="20"/>
              </w:rPr>
              <w:t xml:space="preserve"> </w:t>
            </w:r>
            <w:r w:rsidRPr="0010586B">
              <w:rPr>
                <w:i/>
                <w:color w:val="auto"/>
                <w:sz w:val="20"/>
              </w:rPr>
              <w:t>legislation</w:t>
            </w:r>
            <w:r w:rsidR="00E3617B" w:rsidRPr="0010586B">
              <w:rPr>
                <w:i/>
                <w:color w:val="auto"/>
                <w:sz w:val="20"/>
              </w:rPr>
              <w:t xml:space="preserve"> </w:t>
            </w:r>
            <w:r w:rsidR="001774D9" w:rsidRPr="0010586B">
              <w:rPr>
                <w:i/>
                <w:color w:val="auto"/>
                <w:sz w:val="20"/>
              </w:rPr>
              <w:t>relevant to the report</w:t>
            </w:r>
            <w:r w:rsidRPr="00566BDC">
              <w:rPr>
                <w:color w:val="auto"/>
              </w:rPr>
              <w:t>)</w:t>
            </w:r>
            <w:r w:rsidR="00FE4442">
              <w:rPr>
                <w:color w:val="auto"/>
              </w:rPr>
              <w:t xml:space="preserve"> </w:t>
            </w:r>
          </w:p>
          <w:p w:rsidR="00344E60" w:rsidRDefault="00344E60" w:rsidP="00566BDC">
            <w:pPr>
              <w:spacing w:after="0" w:line="240" w:lineRule="auto"/>
              <w:rPr>
                <w:color w:val="auto"/>
              </w:rPr>
            </w:pPr>
          </w:p>
          <w:p w:rsidR="00344E60" w:rsidRDefault="00344E60" w:rsidP="00344E60">
            <w:pPr>
              <w:spacing w:after="0" w:line="240" w:lineRule="auto"/>
              <w:rPr>
                <w:color w:val="auto"/>
              </w:rPr>
            </w:pPr>
            <w:r>
              <w:rPr>
                <w:color w:val="auto"/>
              </w:rPr>
              <w:t>T</w:t>
            </w:r>
            <w:r w:rsidRPr="00344E60">
              <w:rPr>
                <w:color w:val="auto"/>
              </w:rPr>
              <w:t>he Workforce Race Equality Standard is mandated by NHSE and applies to all NHS organisations. CCGs have two roles in relation to these indicators – as commissioners of NHS services and as employers. In both roles the CCG’s work is shaped by key statutory requirements and policy drivers including those arising from:</w:t>
            </w:r>
          </w:p>
          <w:p w:rsidR="00F9295E" w:rsidRDefault="00F9295E" w:rsidP="00344E60">
            <w:pPr>
              <w:spacing w:after="0" w:line="240" w:lineRule="auto"/>
              <w:rPr>
                <w:color w:val="auto"/>
              </w:rPr>
            </w:pPr>
          </w:p>
          <w:p w:rsidR="00344E60" w:rsidRPr="00F1650F" w:rsidRDefault="00344E60" w:rsidP="00FA4001">
            <w:pPr>
              <w:pStyle w:val="ListParagraph"/>
              <w:numPr>
                <w:ilvl w:val="0"/>
                <w:numId w:val="2"/>
              </w:numPr>
              <w:spacing w:after="0" w:line="240" w:lineRule="auto"/>
              <w:rPr>
                <w:color w:val="auto"/>
              </w:rPr>
            </w:pPr>
            <w:r w:rsidRPr="00F1650F">
              <w:rPr>
                <w:color w:val="auto"/>
              </w:rPr>
              <w:t xml:space="preserve">The NHS Constitution; </w:t>
            </w:r>
          </w:p>
          <w:p w:rsidR="00344E60" w:rsidRPr="00F1650F" w:rsidRDefault="00344E60" w:rsidP="00FA4001">
            <w:pPr>
              <w:pStyle w:val="ListParagraph"/>
              <w:numPr>
                <w:ilvl w:val="0"/>
                <w:numId w:val="2"/>
              </w:numPr>
              <w:spacing w:after="0" w:line="240" w:lineRule="auto"/>
              <w:rPr>
                <w:color w:val="auto"/>
              </w:rPr>
            </w:pPr>
            <w:r w:rsidRPr="00F1650F">
              <w:rPr>
                <w:color w:val="auto"/>
              </w:rPr>
              <w:t xml:space="preserve">The Equality Act 2010 and the public sector Equality Duty; </w:t>
            </w:r>
          </w:p>
          <w:p w:rsidR="00344E60" w:rsidRPr="00F1650F" w:rsidRDefault="00344E60" w:rsidP="00FA4001">
            <w:pPr>
              <w:pStyle w:val="ListParagraph"/>
              <w:numPr>
                <w:ilvl w:val="0"/>
                <w:numId w:val="2"/>
              </w:numPr>
              <w:spacing w:after="0" w:line="240" w:lineRule="auto"/>
              <w:rPr>
                <w:color w:val="auto"/>
              </w:rPr>
            </w:pPr>
            <w:r w:rsidRPr="00F1650F">
              <w:rPr>
                <w:color w:val="auto"/>
              </w:rPr>
              <w:lastRenderedPageBreak/>
              <w:t xml:space="preserve">The NHS standard contract and associated documents; </w:t>
            </w:r>
          </w:p>
          <w:p w:rsidR="00344E60" w:rsidRPr="00F1650F" w:rsidRDefault="00344E60" w:rsidP="00FA4001">
            <w:pPr>
              <w:pStyle w:val="ListParagraph"/>
              <w:numPr>
                <w:ilvl w:val="0"/>
                <w:numId w:val="2"/>
              </w:numPr>
              <w:spacing w:after="0" w:line="240" w:lineRule="auto"/>
              <w:rPr>
                <w:color w:val="auto"/>
              </w:rPr>
            </w:pPr>
            <w:r w:rsidRPr="00F1650F">
              <w:rPr>
                <w:color w:val="auto"/>
              </w:rPr>
              <w:t xml:space="preserve">The CCG Improvement and Assessment Framework. </w:t>
            </w:r>
            <w:r w:rsidRPr="00F1650F">
              <w:rPr>
                <w:color w:val="auto"/>
              </w:rPr>
              <w:br/>
            </w:r>
          </w:p>
          <w:p w:rsidR="00344E60" w:rsidRDefault="00344E60" w:rsidP="00344E60">
            <w:pPr>
              <w:spacing w:after="0" w:line="240" w:lineRule="auto"/>
              <w:rPr>
                <w:color w:val="auto"/>
              </w:rPr>
            </w:pPr>
            <w:r>
              <w:rPr>
                <w:color w:val="auto"/>
              </w:rPr>
              <w:t>T</w:t>
            </w:r>
            <w:r w:rsidRPr="00344E60">
              <w:rPr>
                <w:color w:val="auto"/>
              </w:rPr>
              <w:t xml:space="preserve">he CCG </w:t>
            </w:r>
            <w:r>
              <w:rPr>
                <w:color w:val="auto"/>
              </w:rPr>
              <w:t xml:space="preserve">is not mandated to </w:t>
            </w:r>
            <w:r w:rsidRPr="00344E60">
              <w:rPr>
                <w:color w:val="auto"/>
              </w:rPr>
              <w:t>report on the Workforce Disability Equality Standard</w:t>
            </w:r>
            <w:r w:rsidR="00F9295E">
              <w:rPr>
                <w:color w:val="auto"/>
              </w:rPr>
              <w:t xml:space="preserve"> but has chosen to do so in order to be open and transparent.</w:t>
            </w:r>
          </w:p>
          <w:p w:rsidR="00344E60" w:rsidRDefault="00344E60" w:rsidP="00344E60">
            <w:pPr>
              <w:spacing w:after="0" w:line="240" w:lineRule="auto"/>
              <w:rPr>
                <w:color w:val="auto"/>
              </w:rPr>
            </w:pPr>
          </w:p>
          <w:p w:rsidR="00880E9F" w:rsidRPr="00566BDC" w:rsidRDefault="00344E60" w:rsidP="00566BDC">
            <w:pPr>
              <w:spacing w:after="0" w:line="240" w:lineRule="auto"/>
              <w:rPr>
                <w:color w:val="auto"/>
              </w:rPr>
            </w:pPr>
            <w:r>
              <w:rPr>
                <w:color w:val="auto"/>
              </w:rPr>
              <w:t>The Equalit</w:t>
            </w:r>
            <w:r w:rsidR="00F9295E">
              <w:rPr>
                <w:color w:val="auto"/>
              </w:rPr>
              <w:t>y Delivery System is a mandated</w:t>
            </w:r>
            <w:r>
              <w:rPr>
                <w:color w:val="auto"/>
              </w:rPr>
              <w:t xml:space="preserve"> NHS</w:t>
            </w:r>
            <w:r w:rsidR="00F9295E">
              <w:rPr>
                <w:color w:val="auto"/>
              </w:rPr>
              <w:t xml:space="preserve"> </w:t>
            </w:r>
            <w:r>
              <w:rPr>
                <w:color w:val="auto"/>
              </w:rPr>
              <w:t>E</w:t>
            </w:r>
            <w:r w:rsidR="00F9295E">
              <w:rPr>
                <w:color w:val="auto"/>
              </w:rPr>
              <w:t>ngland</w:t>
            </w:r>
            <w:r>
              <w:rPr>
                <w:color w:val="auto"/>
              </w:rPr>
              <w:t xml:space="preserve"> </w:t>
            </w:r>
            <w:r w:rsidR="00F9295E">
              <w:rPr>
                <w:color w:val="auto"/>
              </w:rPr>
              <w:t>s</w:t>
            </w:r>
            <w:r>
              <w:rPr>
                <w:color w:val="auto"/>
              </w:rPr>
              <w:t>tandard</w:t>
            </w:r>
            <w:r w:rsidR="00F9295E">
              <w:rPr>
                <w:color w:val="auto"/>
              </w:rPr>
              <w:t xml:space="preserve"> for CCGs.</w:t>
            </w:r>
          </w:p>
          <w:p w:rsidR="00880E9F" w:rsidRPr="00566BDC" w:rsidRDefault="00880E9F" w:rsidP="00566BDC">
            <w:pPr>
              <w:spacing w:after="0" w:line="240" w:lineRule="auto"/>
              <w:rPr>
                <w:color w:val="auto"/>
              </w:rPr>
            </w:pP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rPr>
          <w:trHeight w:val="4526"/>
        </w:trPr>
        <w:tc>
          <w:tcPr>
            <w:tcW w:w="9747" w:type="dxa"/>
          </w:tcPr>
          <w:p w:rsidR="00566BDC" w:rsidRPr="00566BDC" w:rsidRDefault="00566BDC" w:rsidP="00566BDC">
            <w:pPr>
              <w:spacing w:after="0" w:line="240" w:lineRule="auto"/>
              <w:rPr>
                <w:b/>
                <w:color w:val="auto"/>
              </w:rPr>
            </w:pPr>
          </w:p>
          <w:p w:rsidR="00521467" w:rsidRDefault="00880E9F" w:rsidP="00A90438">
            <w:pPr>
              <w:spacing w:after="0" w:line="240" w:lineRule="auto"/>
              <w:rPr>
                <w:color w:val="auto"/>
              </w:rPr>
            </w:pPr>
            <w:r w:rsidRPr="00566BDC">
              <w:rPr>
                <w:b/>
                <w:color w:val="auto"/>
              </w:rPr>
              <w:t xml:space="preserve">EQUALITY </w:t>
            </w:r>
            <w:r w:rsidR="00C4131D" w:rsidRPr="00566BDC">
              <w:rPr>
                <w:b/>
                <w:color w:val="auto"/>
              </w:rPr>
              <w:t>AND DIVERSITY</w:t>
            </w:r>
            <w:r w:rsidRPr="00566BDC">
              <w:rPr>
                <w:b/>
                <w:color w:val="auto"/>
              </w:rPr>
              <w:t xml:space="preserve"> ISSUES:</w:t>
            </w:r>
            <w:r w:rsidRPr="00566BDC">
              <w:rPr>
                <w:color w:val="auto"/>
              </w:rPr>
              <w:t xml:space="preserve"> (</w:t>
            </w:r>
            <w:r w:rsidRPr="0010586B">
              <w:rPr>
                <w:i/>
                <w:color w:val="auto"/>
                <w:sz w:val="20"/>
              </w:rPr>
              <w:t>summary of impact</w:t>
            </w:r>
            <w:r w:rsidR="0010586B" w:rsidRPr="0010586B">
              <w:rPr>
                <w:i/>
                <w:color w:val="auto"/>
                <w:sz w:val="20"/>
              </w:rPr>
              <w:t>, if any, of CCG’s duty to promote</w:t>
            </w:r>
            <w:r w:rsidRPr="0010586B">
              <w:rPr>
                <w:i/>
                <w:color w:val="auto"/>
                <w:sz w:val="20"/>
              </w:rPr>
              <w:t xml:space="preserve"> equality and diversity</w:t>
            </w:r>
            <w:r w:rsidR="0010586B" w:rsidRPr="0010586B">
              <w:rPr>
                <w:i/>
                <w:color w:val="auto"/>
                <w:sz w:val="20"/>
              </w:rPr>
              <w:t xml:space="preserve"> based on Equality Impact Analysis (EIA). </w:t>
            </w:r>
            <w:r w:rsidR="0010586B" w:rsidRPr="0010586B">
              <w:rPr>
                <w:b/>
                <w:i/>
                <w:color w:val="auto"/>
                <w:sz w:val="20"/>
              </w:rPr>
              <w:t>All</w:t>
            </w:r>
            <w:r w:rsidR="0010586B" w:rsidRPr="0010586B">
              <w:rPr>
                <w:i/>
                <w:color w:val="auto"/>
                <w:sz w:val="20"/>
              </w:rPr>
              <w:t xml:space="preserve"> reports relating to new services, changes to existing services or CCG strategies / policies </w:t>
            </w:r>
            <w:r w:rsidR="0010586B" w:rsidRPr="0010586B">
              <w:rPr>
                <w:b/>
                <w:i/>
                <w:color w:val="auto"/>
                <w:sz w:val="20"/>
              </w:rPr>
              <w:t>must</w:t>
            </w:r>
            <w:r w:rsidR="0010586B">
              <w:rPr>
                <w:i/>
                <w:color w:val="auto"/>
                <w:sz w:val="20"/>
              </w:rPr>
              <w:t xml:space="preserve"> have a valid </w:t>
            </w:r>
            <w:r w:rsidR="0010586B" w:rsidRPr="0010586B">
              <w:rPr>
                <w:i/>
                <w:color w:val="auto"/>
                <w:sz w:val="20"/>
              </w:rPr>
              <w:t>EIA</w:t>
            </w:r>
            <w:r w:rsidR="0010586B" w:rsidRPr="0010586B">
              <w:rPr>
                <w:color w:val="auto"/>
                <w:sz w:val="20"/>
              </w:rPr>
              <w:t xml:space="preserve"> </w:t>
            </w:r>
            <w:r w:rsidR="0010586B" w:rsidRPr="0010586B">
              <w:rPr>
                <w:i/>
                <w:color w:val="auto"/>
                <w:sz w:val="20"/>
              </w:rPr>
              <w:t xml:space="preserve">and will not be received by the Committee </w:t>
            </w:r>
            <w:r w:rsidR="00521467">
              <w:rPr>
                <w:i/>
                <w:color w:val="auto"/>
                <w:sz w:val="20"/>
              </w:rPr>
              <w:t>if this is not appended to the report</w:t>
            </w:r>
            <w:r w:rsidRPr="00566BDC">
              <w:rPr>
                <w:color w:val="auto"/>
              </w:rPr>
              <w:t>)</w:t>
            </w:r>
            <w:r w:rsidR="00FE4442">
              <w:rPr>
                <w:color w:val="auto"/>
              </w:rPr>
              <w:t xml:space="preserve"> </w:t>
            </w:r>
          </w:p>
          <w:p w:rsidR="00186878" w:rsidRDefault="00186878" w:rsidP="00A90438">
            <w:pPr>
              <w:spacing w:after="0" w:line="240" w:lineRule="auto"/>
              <w:rPr>
                <w:color w:val="auto"/>
              </w:rPr>
            </w:pPr>
          </w:p>
          <w:tbl>
            <w:tblPr>
              <w:tblStyle w:val="TableGrid"/>
              <w:tblW w:w="0" w:type="auto"/>
              <w:tblInd w:w="2" w:type="dxa"/>
              <w:tblLook w:val="04A0" w:firstRow="1" w:lastRow="0" w:firstColumn="1" w:lastColumn="0" w:noHBand="0" w:noVBand="1"/>
            </w:tblPr>
            <w:tblGrid>
              <w:gridCol w:w="8357"/>
              <w:gridCol w:w="992"/>
            </w:tblGrid>
            <w:tr w:rsidR="00186878" w:rsidTr="0021269C">
              <w:trPr>
                <w:trHeight w:val="700"/>
              </w:trPr>
              <w:tc>
                <w:tcPr>
                  <w:tcW w:w="8357" w:type="dxa"/>
                </w:tcPr>
                <w:p w:rsidR="00186878" w:rsidRDefault="00186878" w:rsidP="00A90438">
                  <w:pPr>
                    <w:spacing w:after="0" w:line="240" w:lineRule="auto"/>
                    <w:rPr>
                      <w:i/>
                      <w:color w:val="auto"/>
                      <w:sz w:val="20"/>
                    </w:rPr>
                  </w:pPr>
                </w:p>
                <w:p w:rsidR="00186878" w:rsidRDefault="00186878" w:rsidP="00A90438">
                  <w:pPr>
                    <w:spacing w:after="0" w:line="240" w:lineRule="auto"/>
                    <w:rPr>
                      <w:i/>
                      <w:color w:val="auto"/>
                      <w:sz w:val="20"/>
                    </w:rPr>
                  </w:pPr>
                </w:p>
              </w:tc>
              <w:tc>
                <w:tcPr>
                  <w:tcW w:w="992" w:type="dxa"/>
                </w:tcPr>
                <w:p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186878" w:rsidTr="0021269C">
              <w:trPr>
                <w:trHeight w:val="482"/>
              </w:trPr>
              <w:tc>
                <w:tcPr>
                  <w:tcW w:w="8357" w:type="dxa"/>
                </w:tcPr>
                <w:p w:rsidR="00186878" w:rsidRPr="00186878" w:rsidRDefault="00186878" w:rsidP="00A90438">
                  <w:pPr>
                    <w:spacing w:after="0" w:line="240" w:lineRule="auto"/>
                    <w:rPr>
                      <w:color w:val="auto"/>
                      <w:sz w:val="20"/>
                    </w:rPr>
                  </w:pPr>
                  <w:r w:rsidRPr="00186878">
                    <w:rPr>
                      <w:color w:val="auto"/>
                      <w:sz w:val="20"/>
                    </w:rPr>
                    <w:t>An Equality Impact Analysis/Assessment is not required for this report.</w:t>
                  </w:r>
                </w:p>
                <w:p w:rsidR="00186878" w:rsidRDefault="00186878" w:rsidP="00A90438">
                  <w:pPr>
                    <w:spacing w:after="0" w:line="240" w:lineRule="auto"/>
                    <w:rPr>
                      <w:i/>
                      <w:color w:val="auto"/>
                      <w:sz w:val="20"/>
                    </w:rPr>
                  </w:pPr>
                </w:p>
              </w:tc>
              <w:tc>
                <w:tcPr>
                  <w:tcW w:w="992" w:type="dxa"/>
                </w:tcPr>
                <w:p w:rsidR="00186878" w:rsidRPr="00D20CEA" w:rsidRDefault="00D20CEA" w:rsidP="00D20CEA">
                  <w:pPr>
                    <w:spacing w:after="0" w:line="240" w:lineRule="auto"/>
                    <w:jc w:val="center"/>
                    <w:rPr>
                      <w:color w:val="auto"/>
                      <w:sz w:val="20"/>
                    </w:rPr>
                  </w:pPr>
                  <w:r>
                    <w:rPr>
                      <w:color w:val="auto"/>
                      <w:sz w:val="20"/>
                    </w:rPr>
                    <w:t>X</w:t>
                  </w:r>
                </w:p>
              </w:tc>
            </w:tr>
            <w:tr w:rsidR="00186878" w:rsidTr="0021269C">
              <w:trPr>
                <w:trHeight w:val="949"/>
              </w:trPr>
              <w:tc>
                <w:tcPr>
                  <w:tcW w:w="8357" w:type="dxa"/>
                </w:tcPr>
                <w:p w:rsidR="00186878" w:rsidRPr="00186878" w:rsidRDefault="00186878" w:rsidP="00A90438">
                  <w:pPr>
                    <w:spacing w:after="0" w:line="240" w:lineRule="auto"/>
                    <w:rPr>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p w:rsidR="00186878" w:rsidRDefault="00186878" w:rsidP="00A90438">
                  <w:pPr>
                    <w:spacing w:after="0" w:line="240" w:lineRule="auto"/>
                    <w:rPr>
                      <w:i/>
                      <w:color w:val="auto"/>
                      <w:sz w:val="20"/>
                    </w:rPr>
                  </w:pPr>
                </w:p>
              </w:tc>
              <w:tc>
                <w:tcPr>
                  <w:tcW w:w="992" w:type="dxa"/>
                </w:tcPr>
                <w:p w:rsidR="00186878" w:rsidRDefault="00186878" w:rsidP="00A90438">
                  <w:pPr>
                    <w:spacing w:after="0" w:line="240" w:lineRule="auto"/>
                    <w:rPr>
                      <w:i/>
                      <w:color w:val="auto"/>
                      <w:sz w:val="20"/>
                    </w:rPr>
                  </w:pPr>
                </w:p>
              </w:tc>
            </w:tr>
            <w:tr w:rsidR="00186878" w:rsidTr="0021269C">
              <w:trPr>
                <w:trHeight w:val="742"/>
              </w:trPr>
              <w:tc>
                <w:tcPr>
                  <w:tcW w:w="8357" w:type="dxa"/>
                </w:tcPr>
                <w:p w:rsidR="00186878" w:rsidRPr="00186878" w:rsidRDefault="000102CB" w:rsidP="000102CB">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xx in the enclosed report. </w:t>
                  </w:r>
                </w:p>
              </w:tc>
              <w:tc>
                <w:tcPr>
                  <w:tcW w:w="992" w:type="dxa"/>
                </w:tcPr>
                <w:p w:rsidR="00186878" w:rsidRDefault="00186878" w:rsidP="00A90438">
                  <w:pPr>
                    <w:spacing w:after="0" w:line="240" w:lineRule="auto"/>
                    <w:rPr>
                      <w:i/>
                      <w:color w:val="auto"/>
                      <w:sz w:val="20"/>
                    </w:rPr>
                  </w:pPr>
                </w:p>
              </w:tc>
            </w:tr>
          </w:tbl>
          <w:p w:rsidR="00186878" w:rsidRPr="00521467" w:rsidRDefault="00186878" w:rsidP="00A90438">
            <w:pPr>
              <w:spacing w:after="0" w:line="240" w:lineRule="auto"/>
              <w:rPr>
                <w:i/>
                <w:color w:val="auto"/>
                <w:sz w:val="20"/>
              </w:rPr>
            </w:pPr>
          </w:p>
        </w:tc>
      </w:tr>
    </w:tbl>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rsidTr="0025572F">
        <w:trPr>
          <w:trHeight w:val="2234"/>
        </w:trPr>
        <w:tc>
          <w:tcPr>
            <w:tcW w:w="9747" w:type="dxa"/>
          </w:tcPr>
          <w:p w:rsidR="003728AB" w:rsidRPr="00566BDC" w:rsidRDefault="003728AB" w:rsidP="003728AB">
            <w:pPr>
              <w:spacing w:after="0" w:line="240" w:lineRule="auto"/>
              <w:rPr>
                <w:b/>
                <w:color w:val="auto"/>
              </w:rPr>
            </w:pPr>
          </w:p>
          <w:p w:rsidR="003728AB" w:rsidRDefault="003728AB" w:rsidP="00FE4442">
            <w:pPr>
              <w:spacing w:after="0" w:line="240" w:lineRule="auto"/>
              <w:rPr>
                <w:color w:val="auto"/>
              </w:rPr>
            </w:pPr>
            <w:r w:rsidRPr="00566BDC">
              <w:rPr>
                <w:b/>
                <w:color w:val="auto"/>
              </w:rPr>
              <w:t>THE NHS CONSTITUTION:</w:t>
            </w:r>
            <w:r w:rsidRPr="00566BDC">
              <w:rPr>
                <w:color w:val="auto"/>
              </w:rPr>
              <w:t xml:space="preserve"> (</w:t>
            </w:r>
            <w:r w:rsidR="0010586B" w:rsidRPr="0010586B">
              <w:rPr>
                <w:i/>
                <w:color w:val="auto"/>
                <w:sz w:val="20"/>
              </w:rPr>
              <w:t>How the report supports the NHS Constitution</w:t>
            </w:r>
            <w:r w:rsidRPr="00566BDC">
              <w:rPr>
                <w:color w:val="auto"/>
              </w:rPr>
              <w:t>)</w:t>
            </w:r>
            <w:r w:rsidR="00FE4442">
              <w:rPr>
                <w:color w:val="auto"/>
              </w:rPr>
              <w:t xml:space="preserve"> </w:t>
            </w:r>
          </w:p>
          <w:p w:rsidR="00E71321" w:rsidRDefault="00E71321" w:rsidP="00FE4442">
            <w:pPr>
              <w:spacing w:after="0" w:line="240" w:lineRule="auto"/>
              <w:rPr>
                <w:color w:val="auto"/>
              </w:rPr>
            </w:pPr>
          </w:p>
          <w:p w:rsidR="00E71321" w:rsidRPr="00E71321" w:rsidRDefault="00E71321" w:rsidP="00E71321">
            <w:pPr>
              <w:spacing w:after="0" w:line="240" w:lineRule="auto"/>
              <w:rPr>
                <w:b/>
                <w:bCs/>
                <w:color w:val="auto"/>
                <w:lang w:val="en-US"/>
              </w:rPr>
            </w:pPr>
            <w:r w:rsidRPr="00E71321">
              <w:rPr>
                <w:color w:val="auto"/>
              </w:rPr>
              <w:t>Principle 3 of the NHS Constitution:</w:t>
            </w:r>
            <w:r w:rsidRPr="00E71321">
              <w:rPr>
                <w:b/>
                <w:bCs/>
                <w:color w:val="auto"/>
                <w:lang w:val="en-US"/>
              </w:rPr>
              <w:t xml:space="preserve"> </w:t>
            </w:r>
          </w:p>
          <w:p w:rsidR="00E71321" w:rsidRPr="00E71321" w:rsidRDefault="00E71321" w:rsidP="00E71321">
            <w:pPr>
              <w:spacing w:after="0" w:line="240" w:lineRule="auto"/>
              <w:rPr>
                <w:b/>
                <w:bCs/>
                <w:color w:val="auto"/>
                <w:lang w:val="en-US"/>
              </w:rPr>
            </w:pPr>
          </w:p>
          <w:p w:rsidR="00E71321" w:rsidRPr="00566BDC" w:rsidRDefault="00E71321" w:rsidP="00E71321">
            <w:pPr>
              <w:spacing w:after="0" w:line="240" w:lineRule="auto"/>
              <w:rPr>
                <w:color w:val="auto"/>
              </w:rPr>
            </w:pPr>
            <w:r w:rsidRPr="00E71321">
              <w:rPr>
                <w:bCs/>
                <w:color w:val="auto"/>
                <w:lang w:val="en-US"/>
              </w:rPr>
              <w:t xml:space="preserve">The NHS aspires to the highest standards of excellence and professionalism in the provision </w:t>
            </w:r>
            <w:r w:rsidRPr="00E71321">
              <w:rPr>
                <w:color w:val="auto"/>
                <w:lang w:val="en-US"/>
              </w:rPr>
              <w:t>of high-quality care that is safe, effective and focused on patient experience; in the planning and delivery of the clinical and other services it provides; in the people it employs and the education, training and development they receive; in the leadership and management of its organisations; and through its commitment to innovation and to the promotion and conduct of research to improve the current and future health and care of the population.</w:t>
            </w:r>
          </w:p>
        </w:tc>
      </w:tr>
    </w:tbl>
    <w:p w:rsidR="004A4FEF" w:rsidRDefault="0025572F" w:rsidP="0025572F">
      <w:pPr>
        <w:tabs>
          <w:tab w:val="left" w:pos="2127"/>
        </w:tabs>
        <w:spacing w:after="0"/>
        <w:ind w:right="-514"/>
        <w:rPr>
          <w:b/>
          <w:color w:val="auto"/>
        </w:rPr>
      </w:pPr>
      <w:r>
        <w:rPr>
          <w:i/>
          <w:color w:val="auto"/>
        </w:rPr>
        <w:tab/>
      </w:r>
    </w:p>
    <w:p w:rsidR="00BA2E3F" w:rsidRDefault="00BA2E3F" w:rsidP="00BA2E3F">
      <w:pPr>
        <w:spacing w:after="0"/>
        <w:ind w:left="-567" w:right="-1"/>
        <w:rPr>
          <w:b/>
        </w:rPr>
      </w:pPr>
    </w:p>
    <w:p w:rsidR="00BA2E3F" w:rsidRDefault="00BA2E3F" w:rsidP="00BA2E3F">
      <w:pPr>
        <w:spacing w:after="0"/>
        <w:ind w:left="-567" w:right="-1"/>
        <w:rPr>
          <w:b/>
        </w:rPr>
      </w:pPr>
    </w:p>
    <w:p w:rsidR="00C21C0A" w:rsidRDefault="00C21C0A" w:rsidP="00BA2E3F">
      <w:pPr>
        <w:spacing w:after="0"/>
        <w:ind w:left="-567" w:right="-1"/>
        <w:rPr>
          <w:b/>
        </w:rPr>
      </w:pPr>
    </w:p>
    <w:p w:rsidR="00C21C0A" w:rsidRDefault="00C21C0A" w:rsidP="00BA2E3F">
      <w:pPr>
        <w:spacing w:after="0"/>
        <w:ind w:left="-567" w:right="-1"/>
        <w:rPr>
          <w:b/>
        </w:rPr>
      </w:pPr>
    </w:p>
    <w:p w:rsidR="00C21C0A" w:rsidRDefault="00C21C0A" w:rsidP="00BA2E3F">
      <w:pPr>
        <w:spacing w:after="0"/>
        <w:ind w:left="-567" w:right="-1"/>
        <w:rPr>
          <w:b/>
        </w:rPr>
      </w:pPr>
    </w:p>
    <w:p w:rsidR="00C21C0A" w:rsidRDefault="00C21C0A" w:rsidP="00BA2E3F">
      <w:pPr>
        <w:spacing w:after="0"/>
        <w:ind w:left="-567" w:right="-1"/>
        <w:rPr>
          <w:b/>
        </w:rPr>
      </w:pPr>
    </w:p>
    <w:p w:rsidR="00C21C0A" w:rsidRDefault="00C21C0A" w:rsidP="00BA2E3F">
      <w:pPr>
        <w:spacing w:after="0"/>
        <w:ind w:left="-567" w:right="-1"/>
        <w:rPr>
          <w:b/>
        </w:rPr>
      </w:pPr>
    </w:p>
    <w:p w:rsidR="00C21C0A" w:rsidRDefault="00C21C0A" w:rsidP="00BA2E3F">
      <w:pPr>
        <w:spacing w:after="0"/>
        <w:ind w:left="-567" w:right="-1"/>
        <w:rPr>
          <w:b/>
        </w:rPr>
      </w:pPr>
    </w:p>
    <w:p w:rsidR="00E71321" w:rsidRDefault="00E71321" w:rsidP="00BA2E3F">
      <w:pPr>
        <w:spacing w:after="0"/>
        <w:ind w:left="-567" w:right="-1"/>
        <w:rPr>
          <w:b/>
        </w:rPr>
      </w:pPr>
    </w:p>
    <w:p w:rsidR="00E71321" w:rsidRDefault="00E71321" w:rsidP="00BA2E3F">
      <w:pPr>
        <w:spacing w:after="0"/>
        <w:ind w:left="-567" w:right="-1"/>
        <w:rPr>
          <w:b/>
        </w:rPr>
      </w:pPr>
    </w:p>
    <w:p w:rsidR="00604AF1" w:rsidRDefault="00604AF1" w:rsidP="00BA2E3F">
      <w:pPr>
        <w:spacing w:after="0"/>
        <w:ind w:left="-567" w:right="-1"/>
        <w:rPr>
          <w:b/>
        </w:rPr>
      </w:pPr>
    </w:p>
    <w:p w:rsidR="00604AF1" w:rsidRDefault="00604AF1" w:rsidP="00BA2E3F">
      <w:pPr>
        <w:spacing w:after="0"/>
        <w:ind w:left="-567" w:right="-1"/>
        <w:rPr>
          <w:b/>
        </w:rPr>
      </w:pPr>
    </w:p>
    <w:p w:rsidR="00E71321" w:rsidRDefault="00E71321" w:rsidP="00BA2E3F">
      <w:pPr>
        <w:spacing w:after="0"/>
        <w:ind w:left="-567" w:right="-1"/>
        <w:rPr>
          <w:b/>
        </w:rPr>
      </w:pPr>
    </w:p>
    <w:p w:rsidR="00E71321" w:rsidRDefault="00E71321" w:rsidP="00BA2E3F">
      <w:pPr>
        <w:spacing w:after="0"/>
        <w:ind w:left="-567" w:right="-1"/>
        <w:rPr>
          <w:b/>
        </w:rPr>
      </w:pPr>
    </w:p>
    <w:p w:rsidR="00E71321" w:rsidRDefault="00E71321" w:rsidP="00BA2E3F">
      <w:pPr>
        <w:spacing w:after="0"/>
        <w:ind w:left="-567" w:right="-1"/>
        <w:rPr>
          <w:b/>
        </w:rPr>
      </w:pPr>
    </w:p>
    <w:p w:rsidR="00E71321" w:rsidRDefault="00F9295E" w:rsidP="00BA2E3F">
      <w:pPr>
        <w:spacing w:after="0"/>
        <w:ind w:left="-567" w:right="-1"/>
        <w:rPr>
          <w:b/>
        </w:rPr>
      </w:pPr>
      <w:r>
        <w:rPr>
          <w:noProof/>
          <w:lang w:eastAsia="en-GB"/>
        </w:rPr>
        <w:lastRenderedPageBreak/>
        <w:drawing>
          <wp:anchor distT="0" distB="0" distL="114300" distR="114300" simplePos="0" relativeHeight="251680768" behindDoc="1" locked="0" layoutInCell="1" allowOverlap="1" wp14:anchorId="6FF98BD0" wp14:editId="5375AD50">
            <wp:simplePos x="0" y="0"/>
            <wp:positionH relativeFrom="column">
              <wp:posOffset>3703320</wp:posOffset>
            </wp:positionH>
            <wp:positionV relativeFrom="paragraph">
              <wp:posOffset>-205740</wp:posOffset>
            </wp:positionV>
            <wp:extent cx="2638425" cy="869950"/>
            <wp:effectExtent l="0" t="0" r="9525" b="6350"/>
            <wp:wrapTight wrapText="bothSides">
              <wp:wrapPolygon edited="0">
                <wp:start x="0" y="0"/>
                <wp:lineTo x="0" y="21285"/>
                <wp:lineTo x="21522" y="21285"/>
                <wp:lineTo x="2152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1321" w:rsidRDefault="00E71321" w:rsidP="00BA2E3F">
      <w:pPr>
        <w:spacing w:after="0"/>
        <w:ind w:left="-567" w:right="-1"/>
        <w:rPr>
          <w:b/>
        </w:rPr>
      </w:pPr>
    </w:p>
    <w:p w:rsidR="00604AF1" w:rsidRDefault="00604AF1" w:rsidP="00F1650F">
      <w:pPr>
        <w:pStyle w:val="Heading4"/>
        <w:ind w:left="0"/>
        <w:jc w:val="center"/>
        <w:rPr>
          <w:rFonts w:ascii="Arial" w:eastAsia="Calibri" w:hAnsi="Arial" w:cs="Arial"/>
          <w:sz w:val="28"/>
          <w:szCs w:val="28"/>
        </w:rPr>
      </w:pPr>
    </w:p>
    <w:p w:rsidR="00604AF1" w:rsidRDefault="00604AF1" w:rsidP="00F1650F">
      <w:pPr>
        <w:pStyle w:val="Heading4"/>
        <w:ind w:left="0"/>
        <w:jc w:val="center"/>
        <w:rPr>
          <w:rFonts w:ascii="Arial" w:eastAsia="Calibri" w:hAnsi="Arial" w:cs="Arial"/>
          <w:sz w:val="28"/>
          <w:szCs w:val="28"/>
        </w:rPr>
      </w:pPr>
    </w:p>
    <w:p w:rsidR="00F9295E" w:rsidRDefault="00F9295E" w:rsidP="00F1650F">
      <w:pPr>
        <w:pStyle w:val="Heading4"/>
        <w:ind w:left="0"/>
        <w:jc w:val="center"/>
        <w:rPr>
          <w:rFonts w:ascii="Arial" w:eastAsia="Calibri" w:hAnsi="Arial" w:cs="Arial"/>
          <w:sz w:val="28"/>
          <w:szCs w:val="28"/>
        </w:rPr>
      </w:pPr>
      <w:r>
        <w:rPr>
          <w:rFonts w:ascii="Arial" w:eastAsia="Calibri" w:hAnsi="Arial" w:cs="Arial"/>
          <w:sz w:val="28"/>
          <w:szCs w:val="28"/>
        </w:rPr>
        <w:t>Equality Standards Report</w:t>
      </w:r>
    </w:p>
    <w:p w:rsidR="00953DC4" w:rsidRPr="00F1650F" w:rsidRDefault="00F9295E" w:rsidP="00F1650F">
      <w:pPr>
        <w:pStyle w:val="Heading4"/>
        <w:ind w:left="0"/>
        <w:jc w:val="center"/>
        <w:rPr>
          <w:rFonts w:ascii="Arial" w:eastAsia="Calibri" w:hAnsi="Arial" w:cs="Arial"/>
          <w:sz w:val="28"/>
          <w:szCs w:val="28"/>
        </w:rPr>
      </w:pPr>
      <w:r>
        <w:rPr>
          <w:rFonts w:ascii="Arial" w:eastAsia="Calibri" w:hAnsi="Arial" w:cs="Arial"/>
          <w:sz w:val="28"/>
          <w:szCs w:val="28"/>
        </w:rPr>
        <w:t xml:space="preserve">September </w:t>
      </w:r>
      <w:r w:rsidR="00F1650F" w:rsidRPr="00F1650F">
        <w:rPr>
          <w:rFonts w:ascii="Arial" w:eastAsia="Calibri" w:hAnsi="Arial" w:cs="Arial"/>
          <w:sz w:val="28"/>
          <w:szCs w:val="28"/>
        </w:rPr>
        <w:t>2019</w:t>
      </w:r>
    </w:p>
    <w:p w:rsidR="00C9073B" w:rsidRDefault="00C9073B" w:rsidP="00953DC4">
      <w:pPr>
        <w:pStyle w:val="Heading4"/>
        <w:ind w:left="0"/>
        <w:rPr>
          <w:rFonts w:ascii="Arial" w:eastAsia="Calibri" w:hAnsi="Arial" w:cs="Arial"/>
          <w:bCs w:val="0"/>
          <w:sz w:val="22"/>
          <w:szCs w:val="22"/>
        </w:rPr>
      </w:pPr>
    </w:p>
    <w:p w:rsidR="00953DC4" w:rsidRDefault="00953DC4" w:rsidP="00604AF1">
      <w:pPr>
        <w:pStyle w:val="Heading4"/>
        <w:ind w:left="0"/>
        <w:rPr>
          <w:rFonts w:ascii="Arial" w:hAnsi="Arial" w:cs="Arial"/>
        </w:rPr>
      </w:pPr>
      <w:r>
        <w:rPr>
          <w:rFonts w:ascii="Arial" w:eastAsia="Calibri" w:hAnsi="Arial" w:cs="Arial"/>
          <w:bCs w:val="0"/>
          <w:sz w:val="22"/>
          <w:szCs w:val="22"/>
        </w:rPr>
        <w:t>1.</w:t>
      </w:r>
      <w:r>
        <w:rPr>
          <w:rFonts w:ascii="Arial" w:eastAsia="Calibri" w:hAnsi="Arial" w:cs="Arial"/>
          <w:bCs w:val="0"/>
          <w:sz w:val="22"/>
          <w:szCs w:val="22"/>
        </w:rPr>
        <w:tab/>
      </w:r>
      <w:r w:rsidR="00F76790" w:rsidRPr="007A515A">
        <w:rPr>
          <w:rFonts w:ascii="Arial" w:hAnsi="Arial" w:cs="Arial"/>
        </w:rPr>
        <w:t>INTRODUCTION</w:t>
      </w:r>
    </w:p>
    <w:p w:rsidR="00953DC4" w:rsidRDefault="00953DC4" w:rsidP="00604AF1">
      <w:pPr>
        <w:pStyle w:val="Heading4"/>
        <w:ind w:left="0"/>
        <w:rPr>
          <w:rFonts w:ascii="Arial" w:hAnsi="Arial" w:cs="Arial"/>
        </w:rPr>
      </w:pPr>
    </w:p>
    <w:p w:rsidR="00F1650F" w:rsidRDefault="00C75C77" w:rsidP="00604AF1">
      <w:pPr>
        <w:pStyle w:val="ListParagraph"/>
        <w:numPr>
          <w:ilvl w:val="1"/>
          <w:numId w:val="7"/>
        </w:numPr>
        <w:spacing w:after="0" w:line="240" w:lineRule="auto"/>
        <w:ind w:left="709" w:hanging="709"/>
        <w:rPr>
          <w:rFonts w:eastAsia="Times New Roman"/>
          <w:bCs/>
          <w:color w:val="auto"/>
          <w:sz w:val="24"/>
          <w:szCs w:val="24"/>
        </w:rPr>
      </w:pPr>
      <w:r w:rsidRPr="00C75C77">
        <w:rPr>
          <w:rFonts w:eastAsia="Times New Roman"/>
          <w:bCs/>
          <w:color w:val="auto"/>
          <w:sz w:val="24"/>
          <w:szCs w:val="24"/>
        </w:rPr>
        <w:t>T</w:t>
      </w:r>
      <w:r w:rsidR="00F1650F" w:rsidRPr="00C75C77">
        <w:rPr>
          <w:rFonts w:eastAsia="Times New Roman"/>
          <w:bCs/>
          <w:color w:val="auto"/>
          <w:sz w:val="24"/>
          <w:szCs w:val="24"/>
        </w:rPr>
        <w:t xml:space="preserve">he Equality Report provides an update </w:t>
      </w:r>
      <w:r w:rsidR="00C9073B">
        <w:rPr>
          <w:rFonts w:eastAsia="Times New Roman"/>
          <w:bCs/>
          <w:color w:val="auto"/>
          <w:sz w:val="24"/>
          <w:szCs w:val="24"/>
        </w:rPr>
        <w:t>to Members on the CCG’s progress with regards to</w:t>
      </w:r>
      <w:r w:rsidR="00F1650F" w:rsidRPr="00C75C77">
        <w:rPr>
          <w:rFonts w:eastAsia="Times New Roman"/>
          <w:bCs/>
          <w:color w:val="auto"/>
          <w:sz w:val="24"/>
          <w:szCs w:val="24"/>
        </w:rPr>
        <w:t xml:space="preserve"> the following NHS England equality standards:</w:t>
      </w:r>
    </w:p>
    <w:p w:rsidR="00C75C77" w:rsidRPr="00C75C77" w:rsidRDefault="00C75C77" w:rsidP="00604AF1">
      <w:pPr>
        <w:pStyle w:val="ListParagraph"/>
        <w:spacing w:after="0" w:line="240" w:lineRule="auto"/>
        <w:ind w:left="709"/>
        <w:rPr>
          <w:rFonts w:eastAsia="Times New Roman"/>
          <w:bCs/>
          <w:color w:val="auto"/>
          <w:sz w:val="24"/>
          <w:szCs w:val="24"/>
        </w:rPr>
      </w:pPr>
    </w:p>
    <w:p w:rsidR="00C75C77" w:rsidRDefault="00F1650F" w:rsidP="00604AF1">
      <w:pPr>
        <w:pStyle w:val="ListParagraph"/>
        <w:numPr>
          <w:ilvl w:val="0"/>
          <w:numId w:val="5"/>
        </w:numPr>
        <w:spacing w:after="0" w:line="240" w:lineRule="auto"/>
        <w:ind w:left="1134"/>
        <w:rPr>
          <w:rFonts w:eastAsia="Times New Roman"/>
          <w:bCs/>
          <w:color w:val="auto"/>
          <w:sz w:val="24"/>
          <w:szCs w:val="24"/>
        </w:rPr>
      </w:pPr>
      <w:r w:rsidRPr="00F1650F">
        <w:rPr>
          <w:rFonts w:eastAsia="Times New Roman"/>
          <w:bCs/>
          <w:color w:val="auto"/>
          <w:sz w:val="24"/>
          <w:szCs w:val="24"/>
        </w:rPr>
        <w:t>Workforce Race Equality Standard (WRES</w:t>
      </w:r>
      <w:r w:rsidR="00481EC7">
        <w:rPr>
          <w:rFonts w:eastAsia="Times New Roman"/>
          <w:bCs/>
          <w:color w:val="auto"/>
          <w:sz w:val="24"/>
          <w:szCs w:val="24"/>
        </w:rPr>
        <w:t>)</w:t>
      </w:r>
    </w:p>
    <w:p w:rsidR="00C75C77" w:rsidRDefault="00F1650F" w:rsidP="00604AF1">
      <w:pPr>
        <w:pStyle w:val="ListParagraph"/>
        <w:numPr>
          <w:ilvl w:val="0"/>
          <w:numId w:val="5"/>
        </w:numPr>
        <w:spacing w:after="0" w:line="240" w:lineRule="auto"/>
        <w:ind w:left="1134"/>
        <w:rPr>
          <w:rFonts w:eastAsia="Times New Roman"/>
          <w:bCs/>
          <w:color w:val="auto"/>
          <w:sz w:val="24"/>
          <w:szCs w:val="24"/>
        </w:rPr>
      </w:pPr>
      <w:r w:rsidRPr="00C75C77">
        <w:rPr>
          <w:rFonts w:eastAsia="Times New Roman"/>
          <w:bCs/>
          <w:color w:val="auto"/>
          <w:sz w:val="24"/>
          <w:szCs w:val="24"/>
        </w:rPr>
        <w:t>Workforce Disability Equality Standard (WDES)</w:t>
      </w:r>
    </w:p>
    <w:p w:rsidR="00C75C77" w:rsidRPr="00C75C77" w:rsidRDefault="00481EC7" w:rsidP="00604AF1">
      <w:pPr>
        <w:pStyle w:val="ListParagraph"/>
        <w:numPr>
          <w:ilvl w:val="0"/>
          <w:numId w:val="5"/>
        </w:numPr>
        <w:spacing w:after="0" w:line="240" w:lineRule="auto"/>
        <w:ind w:left="1134"/>
        <w:rPr>
          <w:rFonts w:eastAsia="Times New Roman"/>
          <w:bCs/>
          <w:color w:val="auto"/>
          <w:sz w:val="24"/>
          <w:szCs w:val="24"/>
        </w:rPr>
      </w:pPr>
      <w:r w:rsidRPr="00C75C77">
        <w:rPr>
          <w:rFonts w:eastAsia="Times New Roman"/>
          <w:bCs/>
          <w:color w:val="auto"/>
          <w:sz w:val="24"/>
          <w:szCs w:val="24"/>
        </w:rPr>
        <w:t>Equality Delivery Systems (EDS)</w:t>
      </w:r>
    </w:p>
    <w:p w:rsidR="00C75C77" w:rsidRPr="00C75C77" w:rsidRDefault="00C75C77" w:rsidP="00604AF1">
      <w:pPr>
        <w:pStyle w:val="ListParagraph"/>
        <w:spacing w:after="0" w:line="240" w:lineRule="auto"/>
        <w:rPr>
          <w:rFonts w:eastAsia="Times New Roman"/>
          <w:bCs/>
          <w:color w:val="auto"/>
          <w:sz w:val="24"/>
          <w:szCs w:val="24"/>
        </w:rPr>
      </w:pPr>
    </w:p>
    <w:p w:rsidR="00481EC7" w:rsidRPr="00C75C77" w:rsidRDefault="00481EC7" w:rsidP="00604AF1">
      <w:pPr>
        <w:pStyle w:val="ListParagraph"/>
        <w:numPr>
          <w:ilvl w:val="1"/>
          <w:numId w:val="7"/>
        </w:numPr>
        <w:spacing w:after="0" w:line="240" w:lineRule="auto"/>
        <w:ind w:left="709" w:hanging="709"/>
        <w:rPr>
          <w:rFonts w:eastAsia="Times New Roman"/>
          <w:bCs/>
          <w:color w:val="auto"/>
          <w:sz w:val="24"/>
          <w:szCs w:val="24"/>
        </w:rPr>
      </w:pPr>
      <w:r w:rsidRPr="00C75C77">
        <w:rPr>
          <w:rFonts w:eastAsia="Times New Roman"/>
          <w:bCs/>
          <w:color w:val="auto"/>
          <w:sz w:val="24"/>
          <w:szCs w:val="24"/>
        </w:rPr>
        <w:t>These standards form part of the CCG’s Equality &amp; Diversity Action Plan, which includes objectives that reflect the standards in both in the CCG’s role as an employer and as a commissioner of healthcare services for the population of Hull. The Action Plan also includes an objective related to the CCG’s role as a leader in an increasingly integrated healthcare landscape, including exploring shared learning and encouraging best practice.</w:t>
      </w:r>
    </w:p>
    <w:p w:rsidR="00604AF1" w:rsidRDefault="00604AF1" w:rsidP="00604AF1">
      <w:pPr>
        <w:spacing w:after="0" w:line="240" w:lineRule="auto"/>
        <w:jc w:val="both"/>
        <w:rPr>
          <w:b/>
          <w:bCs/>
          <w:color w:val="auto"/>
          <w:sz w:val="24"/>
          <w:szCs w:val="24"/>
        </w:rPr>
      </w:pPr>
    </w:p>
    <w:p w:rsidR="00F76790" w:rsidRDefault="00953DC4" w:rsidP="00604AF1">
      <w:pPr>
        <w:spacing w:after="0" w:line="240" w:lineRule="auto"/>
        <w:jc w:val="both"/>
        <w:rPr>
          <w:b/>
          <w:bCs/>
          <w:color w:val="auto"/>
          <w:sz w:val="24"/>
          <w:szCs w:val="24"/>
        </w:rPr>
      </w:pPr>
      <w:r>
        <w:rPr>
          <w:b/>
          <w:bCs/>
          <w:color w:val="auto"/>
          <w:sz w:val="24"/>
          <w:szCs w:val="24"/>
        </w:rPr>
        <w:t>2.</w:t>
      </w:r>
      <w:r>
        <w:rPr>
          <w:b/>
          <w:bCs/>
          <w:color w:val="auto"/>
          <w:sz w:val="24"/>
          <w:szCs w:val="24"/>
        </w:rPr>
        <w:tab/>
      </w:r>
      <w:r w:rsidR="00F76790" w:rsidRPr="007A515A">
        <w:rPr>
          <w:b/>
          <w:bCs/>
          <w:color w:val="auto"/>
          <w:sz w:val="24"/>
          <w:szCs w:val="24"/>
        </w:rPr>
        <w:t xml:space="preserve">BACKGROUND </w:t>
      </w:r>
    </w:p>
    <w:p w:rsidR="00955A3C" w:rsidRDefault="00955A3C" w:rsidP="00604AF1">
      <w:pPr>
        <w:spacing w:after="0" w:line="240" w:lineRule="auto"/>
        <w:jc w:val="both"/>
        <w:rPr>
          <w:b/>
          <w:bCs/>
          <w:color w:val="auto"/>
          <w:sz w:val="24"/>
          <w:szCs w:val="24"/>
        </w:rPr>
      </w:pPr>
    </w:p>
    <w:p w:rsidR="00955A3C" w:rsidRDefault="00C75C77" w:rsidP="00604AF1">
      <w:pPr>
        <w:spacing w:after="0" w:line="240" w:lineRule="auto"/>
        <w:jc w:val="both"/>
        <w:rPr>
          <w:b/>
          <w:bCs/>
          <w:color w:val="auto"/>
          <w:sz w:val="24"/>
          <w:szCs w:val="24"/>
        </w:rPr>
      </w:pPr>
      <w:r>
        <w:rPr>
          <w:b/>
          <w:bCs/>
          <w:color w:val="auto"/>
          <w:sz w:val="24"/>
          <w:szCs w:val="24"/>
        </w:rPr>
        <w:tab/>
      </w:r>
      <w:r w:rsidR="00955A3C" w:rsidRPr="00955A3C">
        <w:rPr>
          <w:b/>
          <w:bCs/>
          <w:color w:val="auto"/>
          <w:sz w:val="24"/>
          <w:szCs w:val="24"/>
        </w:rPr>
        <w:t>WRES and WDES</w:t>
      </w:r>
    </w:p>
    <w:p w:rsidR="00955A3C" w:rsidRDefault="00955A3C" w:rsidP="00604AF1">
      <w:pPr>
        <w:spacing w:after="0" w:line="240" w:lineRule="auto"/>
        <w:jc w:val="both"/>
        <w:rPr>
          <w:b/>
          <w:bCs/>
          <w:color w:val="auto"/>
          <w:sz w:val="24"/>
          <w:szCs w:val="24"/>
        </w:rPr>
      </w:pPr>
    </w:p>
    <w:p w:rsidR="00955A3C" w:rsidRDefault="00C75C77" w:rsidP="00604AF1">
      <w:pPr>
        <w:pStyle w:val="BodyTextIndent"/>
        <w:ind w:left="720" w:hanging="720"/>
        <w:rPr>
          <w:rFonts w:ascii="Arial" w:hAnsi="Arial" w:cs="Arial"/>
        </w:rPr>
      </w:pPr>
      <w:r>
        <w:rPr>
          <w:rFonts w:ascii="Arial" w:hAnsi="Arial" w:cs="Arial"/>
        </w:rPr>
        <w:t>2.1</w:t>
      </w:r>
      <w:r>
        <w:rPr>
          <w:rFonts w:ascii="Arial" w:hAnsi="Arial" w:cs="Arial"/>
        </w:rPr>
        <w:tab/>
      </w:r>
      <w:r w:rsidR="00955A3C" w:rsidRPr="00F1650F">
        <w:rPr>
          <w:rFonts w:ascii="Arial" w:hAnsi="Arial" w:cs="Arial"/>
        </w:rPr>
        <w:t>The main purpose of the NHS Workforce Race Equality Standard (WRES) and the Workforce Disability</w:t>
      </w:r>
      <w:r w:rsidR="00955A3C">
        <w:rPr>
          <w:rFonts w:ascii="Arial" w:hAnsi="Arial" w:cs="Arial"/>
        </w:rPr>
        <w:t xml:space="preserve"> </w:t>
      </w:r>
      <w:r w:rsidR="00955A3C" w:rsidRPr="00F1650F">
        <w:rPr>
          <w:rFonts w:ascii="Arial" w:hAnsi="Arial" w:cs="Arial"/>
        </w:rPr>
        <w:t>Equality Standard (WDES) are to:</w:t>
      </w:r>
    </w:p>
    <w:p w:rsidR="00C75C77" w:rsidRPr="00F1650F" w:rsidRDefault="00C75C77" w:rsidP="00604AF1">
      <w:pPr>
        <w:pStyle w:val="BodyTextIndent"/>
        <w:ind w:left="720" w:hanging="720"/>
        <w:rPr>
          <w:rFonts w:ascii="Arial" w:hAnsi="Arial" w:cs="Arial"/>
        </w:rPr>
      </w:pPr>
    </w:p>
    <w:p w:rsidR="00955A3C" w:rsidRPr="00F1650F" w:rsidRDefault="00C75C77" w:rsidP="00604AF1">
      <w:pPr>
        <w:pStyle w:val="BodyTextIndent"/>
        <w:numPr>
          <w:ilvl w:val="0"/>
          <w:numId w:val="3"/>
        </w:numPr>
        <w:ind w:left="1134"/>
        <w:rPr>
          <w:rFonts w:ascii="Arial" w:hAnsi="Arial" w:cs="Arial"/>
        </w:rPr>
      </w:pPr>
      <w:r>
        <w:rPr>
          <w:rFonts w:ascii="Arial" w:hAnsi="Arial" w:cs="Arial"/>
        </w:rPr>
        <w:t>Help local</w:t>
      </w:r>
      <w:r w:rsidR="00955A3C" w:rsidRPr="00F1650F">
        <w:rPr>
          <w:rFonts w:ascii="Arial" w:hAnsi="Arial" w:cs="Arial"/>
        </w:rPr>
        <w:t xml:space="preserve"> and national NHS organisations (and other organisations providing NHS services) to</w:t>
      </w:r>
      <w:r w:rsidR="00955A3C">
        <w:rPr>
          <w:rFonts w:ascii="Arial" w:hAnsi="Arial" w:cs="Arial"/>
        </w:rPr>
        <w:t xml:space="preserve"> </w:t>
      </w:r>
      <w:r w:rsidR="00955A3C" w:rsidRPr="00F1650F">
        <w:rPr>
          <w:rFonts w:ascii="Arial" w:hAnsi="Arial" w:cs="Arial"/>
        </w:rPr>
        <w:t>review their data against the relevant indicators</w:t>
      </w:r>
      <w:r>
        <w:rPr>
          <w:rFonts w:ascii="Arial" w:hAnsi="Arial" w:cs="Arial"/>
        </w:rPr>
        <w:t>.</w:t>
      </w:r>
    </w:p>
    <w:p w:rsidR="00955A3C" w:rsidRPr="00F1650F" w:rsidRDefault="00955A3C" w:rsidP="00604AF1">
      <w:pPr>
        <w:pStyle w:val="BodyTextIndent"/>
        <w:numPr>
          <w:ilvl w:val="0"/>
          <w:numId w:val="3"/>
        </w:numPr>
        <w:ind w:left="1134"/>
        <w:rPr>
          <w:rFonts w:ascii="Arial" w:hAnsi="Arial" w:cs="Arial"/>
        </w:rPr>
      </w:pPr>
      <w:r w:rsidRPr="00F1650F">
        <w:rPr>
          <w:rFonts w:ascii="Arial" w:hAnsi="Arial" w:cs="Arial"/>
        </w:rPr>
        <w:t>Produce action plans to close the gaps in workplace experience between relevant groups of staff</w:t>
      </w:r>
      <w:r w:rsidR="00C75C77">
        <w:rPr>
          <w:rFonts w:ascii="Arial" w:hAnsi="Arial" w:cs="Arial"/>
        </w:rPr>
        <w:t>,</w:t>
      </w:r>
      <w:r w:rsidRPr="00F1650F">
        <w:rPr>
          <w:rFonts w:ascii="Arial" w:hAnsi="Arial" w:cs="Arial"/>
        </w:rPr>
        <w:t xml:space="preserve"> and</w:t>
      </w:r>
    </w:p>
    <w:p w:rsidR="00955A3C" w:rsidRDefault="00955A3C" w:rsidP="00604AF1">
      <w:pPr>
        <w:pStyle w:val="BodyTextIndent"/>
        <w:numPr>
          <w:ilvl w:val="0"/>
          <w:numId w:val="3"/>
        </w:numPr>
        <w:ind w:left="1134"/>
        <w:rPr>
          <w:rFonts w:ascii="Arial" w:hAnsi="Arial" w:cs="Arial"/>
        </w:rPr>
      </w:pPr>
      <w:r>
        <w:rPr>
          <w:rFonts w:ascii="Arial" w:hAnsi="Arial" w:cs="Arial"/>
        </w:rPr>
        <w:t>I</w:t>
      </w:r>
      <w:r w:rsidRPr="00F1650F">
        <w:rPr>
          <w:rFonts w:ascii="Arial" w:hAnsi="Arial" w:cs="Arial"/>
        </w:rPr>
        <w:t>mprove BME</w:t>
      </w:r>
      <w:r w:rsidR="00B57DC7">
        <w:rPr>
          <w:rFonts w:ascii="Arial" w:hAnsi="Arial" w:cs="Arial"/>
        </w:rPr>
        <w:t xml:space="preserve"> </w:t>
      </w:r>
      <w:r w:rsidRPr="00F1650F">
        <w:rPr>
          <w:rFonts w:ascii="Arial" w:hAnsi="Arial" w:cs="Arial"/>
        </w:rPr>
        <w:t>/ Disabled people representation and gender balance at the Board level of the</w:t>
      </w:r>
      <w:r>
        <w:rPr>
          <w:rFonts w:ascii="Arial" w:hAnsi="Arial" w:cs="Arial"/>
        </w:rPr>
        <w:t xml:space="preserve"> </w:t>
      </w:r>
      <w:r w:rsidRPr="00F1650F">
        <w:rPr>
          <w:rFonts w:ascii="Arial" w:hAnsi="Arial" w:cs="Arial"/>
        </w:rPr>
        <w:t>organisation.</w:t>
      </w:r>
    </w:p>
    <w:p w:rsidR="00955A3C" w:rsidRDefault="00955A3C" w:rsidP="00604AF1">
      <w:pPr>
        <w:spacing w:after="0" w:line="240" w:lineRule="auto"/>
        <w:jc w:val="both"/>
        <w:rPr>
          <w:b/>
          <w:bCs/>
          <w:color w:val="auto"/>
          <w:sz w:val="24"/>
          <w:szCs w:val="24"/>
        </w:rPr>
      </w:pPr>
    </w:p>
    <w:p w:rsidR="00362E57" w:rsidRPr="00F1650F" w:rsidRDefault="00362E57" w:rsidP="00604AF1">
      <w:pPr>
        <w:pStyle w:val="BodyTextIndent"/>
        <w:ind w:left="0" w:firstLine="720"/>
        <w:rPr>
          <w:rFonts w:ascii="Arial" w:hAnsi="Arial" w:cs="Arial"/>
          <w:b/>
          <w:bCs/>
        </w:rPr>
      </w:pPr>
      <w:r w:rsidRPr="00F1650F">
        <w:rPr>
          <w:rFonts w:ascii="Arial" w:hAnsi="Arial" w:cs="Arial"/>
          <w:b/>
          <w:bCs/>
        </w:rPr>
        <w:t>Assessment</w:t>
      </w:r>
    </w:p>
    <w:p w:rsidR="00C75C77" w:rsidRDefault="00C75C77" w:rsidP="00604AF1">
      <w:pPr>
        <w:pStyle w:val="BodyTextIndent"/>
        <w:ind w:left="0"/>
        <w:rPr>
          <w:rFonts w:ascii="Arial" w:hAnsi="Arial" w:cs="Arial"/>
        </w:rPr>
      </w:pPr>
    </w:p>
    <w:p w:rsidR="00362E57" w:rsidRDefault="00C75C77" w:rsidP="00604AF1">
      <w:pPr>
        <w:pStyle w:val="BodyTextIndent"/>
        <w:ind w:left="0"/>
        <w:rPr>
          <w:rFonts w:ascii="Arial" w:hAnsi="Arial" w:cs="Arial"/>
        </w:rPr>
      </w:pPr>
      <w:r>
        <w:rPr>
          <w:rFonts w:ascii="Arial" w:hAnsi="Arial" w:cs="Arial"/>
        </w:rPr>
        <w:t>2.2</w:t>
      </w:r>
      <w:r>
        <w:rPr>
          <w:rFonts w:ascii="Arial" w:hAnsi="Arial" w:cs="Arial"/>
        </w:rPr>
        <w:tab/>
      </w:r>
      <w:r w:rsidR="00362E57" w:rsidRPr="00F1650F">
        <w:rPr>
          <w:rFonts w:ascii="Arial" w:hAnsi="Arial" w:cs="Arial"/>
        </w:rPr>
        <w:t>As a</w:t>
      </w:r>
      <w:r w:rsidR="00362E57">
        <w:rPr>
          <w:rFonts w:ascii="Arial" w:hAnsi="Arial" w:cs="Arial"/>
        </w:rPr>
        <w:t>n</w:t>
      </w:r>
      <w:r w:rsidR="00362E57" w:rsidRPr="00F1650F">
        <w:rPr>
          <w:rFonts w:ascii="Arial" w:hAnsi="Arial" w:cs="Arial"/>
        </w:rPr>
        <w:t xml:space="preserve"> NHS organisation the CCG is required to:</w:t>
      </w:r>
    </w:p>
    <w:p w:rsidR="00C75C77" w:rsidRPr="00F1650F" w:rsidRDefault="00C75C77" w:rsidP="00604AF1">
      <w:pPr>
        <w:pStyle w:val="BodyTextIndent"/>
        <w:ind w:left="0"/>
        <w:rPr>
          <w:rFonts w:ascii="Arial" w:hAnsi="Arial" w:cs="Arial"/>
        </w:rPr>
      </w:pPr>
    </w:p>
    <w:p w:rsidR="00362E57" w:rsidRDefault="00362E57" w:rsidP="00604AF1">
      <w:pPr>
        <w:pStyle w:val="BodyTextIndent"/>
        <w:numPr>
          <w:ilvl w:val="0"/>
          <w:numId w:val="3"/>
        </w:numPr>
        <w:ind w:left="1134"/>
        <w:rPr>
          <w:rFonts w:ascii="Arial" w:hAnsi="Arial" w:cs="Arial"/>
        </w:rPr>
      </w:pPr>
      <w:r w:rsidRPr="00F1650F">
        <w:rPr>
          <w:rFonts w:ascii="Arial" w:hAnsi="Arial" w:cs="Arial"/>
        </w:rPr>
        <w:t>Collect data on their workforce - this includes both workforce data and staff survey data with analysis</w:t>
      </w:r>
      <w:r>
        <w:rPr>
          <w:rFonts w:ascii="Arial" w:hAnsi="Arial" w:cs="Arial"/>
        </w:rPr>
        <w:t xml:space="preserve"> </w:t>
      </w:r>
      <w:r w:rsidRPr="00F1650F">
        <w:rPr>
          <w:rFonts w:ascii="Arial" w:hAnsi="Arial" w:cs="Arial"/>
        </w:rPr>
        <w:t>of data for each of the relevant metrics.</w:t>
      </w:r>
    </w:p>
    <w:p w:rsidR="00C466D5" w:rsidRPr="00F1650F" w:rsidRDefault="00C466D5" w:rsidP="00604AF1">
      <w:pPr>
        <w:pStyle w:val="BodyTextIndent"/>
        <w:ind w:left="1134"/>
        <w:rPr>
          <w:rFonts w:ascii="Arial" w:hAnsi="Arial" w:cs="Arial"/>
        </w:rPr>
      </w:pPr>
    </w:p>
    <w:p w:rsidR="00C466D5" w:rsidRPr="00C466D5" w:rsidRDefault="00362E57" w:rsidP="00604AF1">
      <w:pPr>
        <w:pStyle w:val="BodyTextIndent"/>
        <w:numPr>
          <w:ilvl w:val="0"/>
          <w:numId w:val="4"/>
        </w:numPr>
        <w:ind w:left="1134"/>
        <w:rPr>
          <w:b/>
          <w:bCs/>
        </w:rPr>
      </w:pPr>
      <w:r w:rsidRPr="00F1650F">
        <w:rPr>
          <w:rFonts w:ascii="Arial" w:hAnsi="Arial" w:cs="Arial"/>
        </w:rPr>
        <w:t>Produce an annual report and action plan – the report should show the results of the staff survey and workforce data for internal analyses and indicate the steps being taken to improve performance</w:t>
      </w:r>
      <w:r>
        <w:rPr>
          <w:rFonts w:ascii="Arial" w:hAnsi="Arial" w:cs="Arial"/>
        </w:rPr>
        <w:t xml:space="preserve"> </w:t>
      </w:r>
      <w:r w:rsidR="00C75C77">
        <w:rPr>
          <w:rFonts w:ascii="Arial" w:hAnsi="Arial" w:cs="Arial"/>
        </w:rPr>
        <w:t>against the relevant indicators, and</w:t>
      </w:r>
    </w:p>
    <w:p w:rsidR="00C466D5" w:rsidRPr="00C466D5" w:rsidRDefault="00C466D5" w:rsidP="00604AF1">
      <w:pPr>
        <w:pStyle w:val="BodyTextIndent"/>
        <w:ind w:left="1134"/>
        <w:rPr>
          <w:b/>
          <w:bCs/>
        </w:rPr>
      </w:pPr>
    </w:p>
    <w:p w:rsidR="00362E57" w:rsidRPr="00AC1E27" w:rsidRDefault="00362E57" w:rsidP="00604AF1">
      <w:pPr>
        <w:pStyle w:val="BodyTextIndent"/>
        <w:numPr>
          <w:ilvl w:val="0"/>
          <w:numId w:val="4"/>
        </w:numPr>
        <w:ind w:left="1134"/>
        <w:rPr>
          <w:b/>
          <w:bCs/>
        </w:rPr>
      </w:pPr>
      <w:r w:rsidRPr="00E71321">
        <w:rPr>
          <w:rFonts w:ascii="Arial" w:hAnsi="Arial" w:cs="Arial"/>
        </w:rPr>
        <w:t>Publish the annual report and action plan - CCGs will need to give consideration to how such data is published and what conclusions are drawn.</w:t>
      </w:r>
    </w:p>
    <w:p w:rsidR="00953DC4" w:rsidRDefault="00953DC4" w:rsidP="00604AF1">
      <w:pPr>
        <w:pStyle w:val="BodyTextIndent"/>
        <w:ind w:left="0"/>
        <w:rPr>
          <w:rFonts w:ascii="Arial" w:hAnsi="Arial" w:cs="Arial"/>
        </w:rPr>
      </w:pPr>
      <w:r>
        <w:rPr>
          <w:rFonts w:ascii="Arial" w:hAnsi="Arial" w:cs="Arial"/>
        </w:rPr>
        <w:tab/>
      </w:r>
    </w:p>
    <w:p w:rsidR="00C75C77" w:rsidRDefault="00C75C77" w:rsidP="00604AF1">
      <w:pPr>
        <w:spacing w:after="0" w:line="240" w:lineRule="auto"/>
        <w:ind w:left="720" w:hanging="720"/>
        <w:rPr>
          <w:rFonts w:eastAsia="Times New Roman"/>
          <w:bCs/>
          <w:color w:val="auto"/>
          <w:sz w:val="24"/>
          <w:szCs w:val="24"/>
        </w:rPr>
      </w:pPr>
      <w:r>
        <w:rPr>
          <w:rFonts w:eastAsia="Times New Roman"/>
          <w:bCs/>
          <w:color w:val="auto"/>
          <w:sz w:val="24"/>
          <w:szCs w:val="24"/>
        </w:rPr>
        <w:lastRenderedPageBreak/>
        <w:t>2.3</w:t>
      </w:r>
      <w:r>
        <w:rPr>
          <w:rFonts w:eastAsia="Times New Roman"/>
          <w:bCs/>
          <w:color w:val="auto"/>
          <w:sz w:val="24"/>
          <w:szCs w:val="24"/>
        </w:rPr>
        <w:tab/>
      </w:r>
      <w:r w:rsidR="00481EC7">
        <w:rPr>
          <w:rFonts w:eastAsia="Times New Roman"/>
          <w:bCs/>
          <w:color w:val="auto"/>
          <w:sz w:val="24"/>
          <w:szCs w:val="24"/>
        </w:rPr>
        <w:t>The WRES</w:t>
      </w:r>
      <w:r w:rsidR="00F1650F" w:rsidRPr="00F1650F">
        <w:rPr>
          <w:rFonts w:eastAsia="Times New Roman"/>
          <w:bCs/>
          <w:color w:val="auto"/>
          <w:sz w:val="24"/>
          <w:szCs w:val="24"/>
        </w:rPr>
        <w:t xml:space="preserve"> </w:t>
      </w:r>
      <w:r w:rsidR="00C466D5">
        <w:rPr>
          <w:rFonts w:eastAsia="Times New Roman"/>
          <w:bCs/>
          <w:color w:val="auto"/>
          <w:sz w:val="24"/>
          <w:szCs w:val="24"/>
        </w:rPr>
        <w:t>comprises</w:t>
      </w:r>
      <w:r w:rsidR="00F1650F" w:rsidRPr="00F1650F">
        <w:rPr>
          <w:rFonts w:eastAsia="Times New Roman"/>
          <w:bCs/>
          <w:color w:val="auto"/>
          <w:sz w:val="24"/>
          <w:szCs w:val="24"/>
        </w:rPr>
        <w:t xml:space="preserve"> nine indicators and is mandated by NHS</w:t>
      </w:r>
      <w:r>
        <w:rPr>
          <w:rFonts w:eastAsia="Times New Roman"/>
          <w:bCs/>
          <w:color w:val="auto"/>
          <w:sz w:val="24"/>
          <w:szCs w:val="24"/>
        </w:rPr>
        <w:t xml:space="preserve"> </w:t>
      </w:r>
      <w:r w:rsidR="00F1650F" w:rsidRPr="00F1650F">
        <w:rPr>
          <w:rFonts w:eastAsia="Times New Roman"/>
          <w:bCs/>
          <w:color w:val="auto"/>
          <w:sz w:val="24"/>
          <w:szCs w:val="24"/>
        </w:rPr>
        <w:t>E</w:t>
      </w:r>
      <w:r>
        <w:rPr>
          <w:rFonts w:eastAsia="Times New Roman"/>
          <w:bCs/>
          <w:color w:val="auto"/>
          <w:sz w:val="24"/>
          <w:szCs w:val="24"/>
        </w:rPr>
        <w:t>ngland</w:t>
      </w:r>
      <w:r w:rsidR="00F1650F" w:rsidRPr="00F1650F">
        <w:rPr>
          <w:rFonts w:eastAsia="Times New Roman"/>
          <w:bCs/>
          <w:color w:val="auto"/>
          <w:sz w:val="24"/>
          <w:szCs w:val="24"/>
        </w:rPr>
        <w:t>.</w:t>
      </w:r>
      <w:r w:rsidR="00C466D5">
        <w:rPr>
          <w:rFonts w:eastAsia="Times New Roman"/>
          <w:bCs/>
          <w:color w:val="auto"/>
          <w:sz w:val="24"/>
          <w:szCs w:val="24"/>
        </w:rPr>
        <w:t xml:space="preserve"> The WDES comprises </w:t>
      </w:r>
      <w:r w:rsidR="00F1650F" w:rsidRPr="00F1650F">
        <w:rPr>
          <w:rFonts w:eastAsia="Times New Roman"/>
          <w:bCs/>
          <w:color w:val="auto"/>
          <w:sz w:val="24"/>
          <w:szCs w:val="24"/>
        </w:rPr>
        <w:t>10 indicators</w:t>
      </w:r>
      <w:r w:rsidR="00C466D5">
        <w:rPr>
          <w:rFonts w:eastAsia="Times New Roman"/>
          <w:bCs/>
          <w:color w:val="auto"/>
          <w:sz w:val="24"/>
          <w:szCs w:val="24"/>
        </w:rPr>
        <w:t xml:space="preserve"> and </w:t>
      </w:r>
      <w:r w:rsidR="00B57DC7">
        <w:rPr>
          <w:rFonts w:eastAsia="Times New Roman"/>
          <w:bCs/>
          <w:color w:val="auto"/>
          <w:sz w:val="24"/>
          <w:szCs w:val="24"/>
        </w:rPr>
        <w:t>i</w:t>
      </w:r>
      <w:r w:rsidR="00F1650F" w:rsidRPr="00F1650F">
        <w:rPr>
          <w:rFonts w:eastAsia="Times New Roman"/>
          <w:bCs/>
          <w:color w:val="auto"/>
          <w:sz w:val="24"/>
          <w:szCs w:val="24"/>
        </w:rPr>
        <w:t>t came into force on 1 April 2019. Mandatory reporting on WDES is restricted to NHS Trusts and Foundation Trusts for the first two years of implementati</w:t>
      </w:r>
      <w:r w:rsidR="00C466D5">
        <w:rPr>
          <w:rFonts w:eastAsia="Times New Roman"/>
          <w:bCs/>
          <w:color w:val="auto"/>
          <w:sz w:val="24"/>
          <w:szCs w:val="24"/>
        </w:rPr>
        <w:t>on. T</w:t>
      </w:r>
      <w:r w:rsidR="00F1650F" w:rsidRPr="00F1650F">
        <w:rPr>
          <w:rFonts w:eastAsia="Times New Roman"/>
          <w:bCs/>
          <w:color w:val="auto"/>
          <w:sz w:val="24"/>
          <w:szCs w:val="24"/>
        </w:rPr>
        <w:t xml:space="preserve">he CCG has </w:t>
      </w:r>
      <w:r w:rsidR="00C466D5">
        <w:rPr>
          <w:rFonts w:eastAsia="Times New Roman"/>
          <w:bCs/>
          <w:color w:val="auto"/>
          <w:sz w:val="24"/>
          <w:szCs w:val="24"/>
        </w:rPr>
        <w:t xml:space="preserve">however </w:t>
      </w:r>
      <w:r w:rsidR="00F1650F" w:rsidRPr="00F1650F">
        <w:rPr>
          <w:rFonts w:eastAsia="Times New Roman"/>
          <w:bCs/>
          <w:color w:val="auto"/>
          <w:sz w:val="24"/>
          <w:szCs w:val="24"/>
        </w:rPr>
        <w:t>taken the option to report from this year</w:t>
      </w:r>
      <w:r>
        <w:rPr>
          <w:rFonts w:eastAsia="Times New Roman"/>
          <w:bCs/>
          <w:color w:val="auto"/>
          <w:sz w:val="24"/>
          <w:szCs w:val="24"/>
        </w:rPr>
        <w:t xml:space="preserve"> in accordance with its commitment to openness and transparency</w:t>
      </w:r>
      <w:r w:rsidR="00B57DC7">
        <w:rPr>
          <w:rFonts w:eastAsia="Times New Roman"/>
          <w:bCs/>
          <w:color w:val="auto"/>
          <w:sz w:val="24"/>
          <w:szCs w:val="24"/>
        </w:rPr>
        <w:t>.</w:t>
      </w:r>
      <w:r w:rsidR="00481EC7" w:rsidRPr="00955A3C">
        <w:rPr>
          <w:rFonts w:eastAsia="Times New Roman"/>
          <w:bCs/>
          <w:color w:val="auto"/>
          <w:sz w:val="24"/>
          <w:szCs w:val="24"/>
        </w:rPr>
        <w:t xml:space="preserve"> </w:t>
      </w:r>
    </w:p>
    <w:p w:rsidR="00604AF1" w:rsidRDefault="00604AF1" w:rsidP="00604AF1">
      <w:pPr>
        <w:spacing w:after="0" w:line="240" w:lineRule="auto"/>
        <w:ind w:left="720" w:hanging="720"/>
        <w:rPr>
          <w:rFonts w:eastAsia="Times New Roman"/>
          <w:bCs/>
          <w:color w:val="auto"/>
          <w:sz w:val="24"/>
          <w:szCs w:val="24"/>
        </w:rPr>
      </w:pPr>
    </w:p>
    <w:p w:rsidR="00955A3C" w:rsidRPr="00955A3C" w:rsidRDefault="00C75C77" w:rsidP="00604AF1">
      <w:pPr>
        <w:spacing w:after="0" w:line="240" w:lineRule="auto"/>
        <w:ind w:left="720" w:hanging="720"/>
        <w:rPr>
          <w:rFonts w:eastAsia="Times New Roman"/>
          <w:bCs/>
          <w:color w:val="auto"/>
          <w:sz w:val="24"/>
          <w:szCs w:val="24"/>
        </w:rPr>
      </w:pPr>
      <w:r>
        <w:rPr>
          <w:rFonts w:eastAsia="Times New Roman"/>
          <w:bCs/>
          <w:color w:val="auto"/>
          <w:sz w:val="24"/>
          <w:szCs w:val="24"/>
        </w:rPr>
        <w:t>2.4</w:t>
      </w:r>
      <w:r>
        <w:rPr>
          <w:rFonts w:eastAsia="Times New Roman"/>
          <w:bCs/>
          <w:color w:val="auto"/>
          <w:sz w:val="24"/>
          <w:szCs w:val="24"/>
        </w:rPr>
        <w:tab/>
      </w:r>
      <w:r w:rsidR="00955A3C">
        <w:rPr>
          <w:rFonts w:eastAsia="Times New Roman"/>
          <w:bCs/>
          <w:color w:val="auto"/>
          <w:sz w:val="24"/>
          <w:szCs w:val="24"/>
        </w:rPr>
        <w:t>The indicators of both standards</w:t>
      </w:r>
      <w:r w:rsidR="00481EC7" w:rsidRPr="00955A3C">
        <w:rPr>
          <w:rFonts w:eastAsia="Times New Roman"/>
          <w:bCs/>
          <w:color w:val="auto"/>
          <w:sz w:val="24"/>
          <w:szCs w:val="24"/>
        </w:rPr>
        <w:t xml:space="preserve"> are </w:t>
      </w:r>
      <w:r w:rsidR="00955A3C">
        <w:rPr>
          <w:rFonts w:eastAsia="Times New Roman"/>
          <w:bCs/>
          <w:color w:val="auto"/>
          <w:sz w:val="24"/>
          <w:szCs w:val="24"/>
        </w:rPr>
        <w:t>intended</w:t>
      </w:r>
      <w:r w:rsidR="00481EC7" w:rsidRPr="00955A3C">
        <w:rPr>
          <w:rFonts w:eastAsia="Times New Roman"/>
          <w:bCs/>
          <w:color w:val="auto"/>
          <w:sz w:val="24"/>
          <w:szCs w:val="24"/>
        </w:rPr>
        <w:t xml:space="preserve"> to highlight</w:t>
      </w:r>
      <w:r w:rsidR="00955A3C" w:rsidRPr="00955A3C">
        <w:rPr>
          <w:rFonts w:eastAsia="Times New Roman"/>
          <w:bCs/>
          <w:color w:val="auto"/>
          <w:sz w:val="24"/>
          <w:szCs w:val="24"/>
        </w:rPr>
        <w:t xml:space="preserve"> and reflect:</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T</w:t>
      </w:r>
      <w:r w:rsidR="00481EC7">
        <w:rPr>
          <w:rFonts w:eastAsia="Times New Roman"/>
          <w:bCs/>
          <w:color w:val="auto"/>
          <w:sz w:val="24"/>
          <w:szCs w:val="24"/>
        </w:rPr>
        <w:t>he overall representation of black or minority ethnic (BME) staff in the CCG, across the pay structure</w:t>
      </w:r>
      <w:r w:rsidR="00C75C77">
        <w:rPr>
          <w:rFonts w:eastAsia="Times New Roman"/>
          <w:bCs/>
          <w:color w:val="auto"/>
          <w:sz w:val="24"/>
          <w:szCs w:val="24"/>
        </w:rPr>
        <w:t>.</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Th</w:t>
      </w:r>
      <w:r w:rsidR="00481EC7">
        <w:rPr>
          <w:rFonts w:eastAsia="Times New Roman"/>
          <w:bCs/>
          <w:color w:val="auto"/>
          <w:sz w:val="24"/>
          <w:szCs w:val="24"/>
        </w:rPr>
        <w:t xml:space="preserve">e relative likelihood of BME candidates </w:t>
      </w:r>
      <w:r w:rsidR="00C75C77">
        <w:rPr>
          <w:rFonts w:eastAsia="Times New Roman"/>
          <w:bCs/>
          <w:color w:val="auto"/>
          <w:sz w:val="24"/>
          <w:szCs w:val="24"/>
        </w:rPr>
        <w:t>being shortlisted and appointed.</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BME staff entering the formal disciplinary process</w:t>
      </w:r>
      <w:r w:rsidR="00C75C77">
        <w:rPr>
          <w:rFonts w:eastAsia="Times New Roman"/>
          <w:bCs/>
          <w:color w:val="auto"/>
          <w:sz w:val="24"/>
          <w:szCs w:val="24"/>
        </w:rPr>
        <w:t>.</w:t>
      </w:r>
    </w:p>
    <w:p w:rsidR="00481EC7"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Uptake of non-mandatory training</w:t>
      </w:r>
      <w:r w:rsidR="00C75C77">
        <w:rPr>
          <w:rFonts w:eastAsia="Times New Roman"/>
          <w:bCs/>
          <w:color w:val="auto"/>
          <w:sz w:val="24"/>
          <w:szCs w:val="24"/>
        </w:rPr>
        <w:t>.</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Staff experience of bullying and harassment</w:t>
      </w:r>
      <w:r w:rsidR="00C75C77">
        <w:rPr>
          <w:rFonts w:eastAsia="Times New Roman"/>
          <w:bCs/>
          <w:color w:val="auto"/>
          <w:sz w:val="24"/>
          <w:szCs w:val="24"/>
        </w:rPr>
        <w:t>.</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Staff experience of whether the organisation provides equal opportunities</w:t>
      </w:r>
      <w:r w:rsidR="00C75C77">
        <w:rPr>
          <w:rFonts w:eastAsia="Times New Roman"/>
          <w:bCs/>
          <w:color w:val="auto"/>
          <w:sz w:val="24"/>
          <w:szCs w:val="24"/>
        </w:rPr>
        <w:t>, and</w:t>
      </w:r>
    </w:p>
    <w:p w:rsidR="00955A3C" w:rsidRDefault="00955A3C" w:rsidP="00604AF1">
      <w:pPr>
        <w:numPr>
          <w:ilvl w:val="0"/>
          <w:numId w:val="1"/>
        </w:numPr>
        <w:spacing w:after="0" w:line="240" w:lineRule="auto"/>
        <w:ind w:left="1134"/>
        <w:rPr>
          <w:rFonts w:eastAsia="Times New Roman"/>
          <w:bCs/>
          <w:color w:val="auto"/>
          <w:sz w:val="24"/>
          <w:szCs w:val="24"/>
        </w:rPr>
      </w:pPr>
      <w:r>
        <w:rPr>
          <w:rFonts w:eastAsia="Times New Roman"/>
          <w:bCs/>
          <w:color w:val="auto"/>
          <w:sz w:val="24"/>
          <w:szCs w:val="24"/>
        </w:rPr>
        <w:t>Board representation</w:t>
      </w:r>
      <w:r w:rsidR="00C75C77">
        <w:rPr>
          <w:rFonts w:eastAsia="Times New Roman"/>
          <w:bCs/>
          <w:color w:val="auto"/>
          <w:sz w:val="24"/>
          <w:szCs w:val="24"/>
        </w:rPr>
        <w:t>.</w:t>
      </w:r>
    </w:p>
    <w:p w:rsidR="00604AF1" w:rsidRDefault="00604AF1" w:rsidP="00604AF1">
      <w:pPr>
        <w:spacing w:after="0" w:line="240" w:lineRule="auto"/>
        <w:ind w:left="720" w:hanging="720"/>
        <w:rPr>
          <w:rFonts w:eastAsia="Times New Roman"/>
          <w:bCs/>
          <w:color w:val="auto"/>
          <w:sz w:val="24"/>
          <w:szCs w:val="24"/>
        </w:rPr>
      </w:pPr>
    </w:p>
    <w:p w:rsidR="00863EF6" w:rsidRDefault="00C75C77" w:rsidP="00604AF1">
      <w:pPr>
        <w:spacing w:after="0" w:line="240" w:lineRule="auto"/>
        <w:ind w:left="720" w:hanging="720"/>
        <w:rPr>
          <w:rFonts w:eastAsia="Times New Roman"/>
          <w:bCs/>
          <w:color w:val="auto"/>
          <w:sz w:val="24"/>
          <w:szCs w:val="24"/>
        </w:rPr>
      </w:pPr>
      <w:r>
        <w:rPr>
          <w:rFonts w:eastAsia="Times New Roman"/>
          <w:bCs/>
          <w:color w:val="auto"/>
          <w:sz w:val="24"/>
          <w:szCs w:val="24"/>
        </w:rPr>
        <w:t>2.5</w:t>
      </w:r>
      <w:r>
        <w:rPr>
          <w:rFonts w:eastAsia="Times New Roman"/>
          <w:bCs/>
          <w:color w:val="auto"/>
          <w:sz w:val="24"/>
          <w:szCs w:val="24"/>
        </w:rPr>
        <w:tab/>
      </w:r>
      <w:r w:rsidR="00863EF6">
        <w:rPr>
          <w:rFonts w:eastAsia="Times New Roman"/>
          <w:bCs/>
          <w:color w:val="auto"/>
          <w:sz w:val="24"/>
          <w:szCs w:val="24"/>
        </w:rPr>
        <w:t>Both</w:t>
      </w:r>
      <w:r w:rsidR="00863EF6" w:rsidRPr="00863EF6">
        <w:rPr>
          <w:rFonts w:eastAsia="Times New Roman"/>
          <w:bCs/>
          <w:color w:val="auto"/>
          <w:sz w:val="24"/>
          <w:szCs w:val="24"/>
        </w:rPr>
        <w:t xml:space="preserve"> </w:t>
      </w:r>
      <w:r w:rsidR="00FD7B0B">
        <w:rPr>
          <w:rFonts w:eastAsia="Times New Roman"/>
          <w:bCs/>
          <w:color w:val="auto"/>
          <w:sz w:val="24"/>
          <w:szCs w:val="24"/>
        </w:rPr>
        <w:t xml:space="preserve">sets of indicators </w:t>
      </w:r>
      <w:r w:rsidR="00863EF6" w:rsidRPr="00863EF6">
        <w:rPr>
          <w:rFonts w:eastAsia="Times New Roman"/>
          <w:bCs/>
          <w:color w:val="auto"/>
          <w:sz w:val="24"/>
          <w:szCs w:val="24"/>
        </w:rPr>
        <w:t xml:space="preserve">highlight any differences between the experience and treatment of </w:t>
      </w:r>
      <w:r w:rsidR="00863EF6">
        <w:rPr>
          <w:rFonts w:eastAsia="Times New Roman"/>
          <w:bCs/>
          <w:color w:val="auto"/>
          <w:sz w:val="24"/>
          <w:szCs w:val="24"/>
        </w:rPr>
        <w:t xml:space="preserve">BME and </w:t>
      </w:r>
      <w:r w:rsidR="00863EF6" w:rsidRPr="00863EF6">
        <w:rPr>
          <w:rFonts w:eastAsia="Times New Roman"/>
          <w:bCs/>
          <w:color w:val="auto"/>
          <w:sz w:val="24"/>
          <w:szCs w:val="24"/>
        </w:rPr>
        <w:t xml:space="preserve">disabled </w:t>
      </w:r>
      <w:r w:rsidR="00863EF6">
        <w:rPr>
          <w:rFonts w:eastAsia="Times New Roman"/>
          <w:bCs/>
          <w:color w:val="auto"/>
          <w:sz w:val="24"/>
          <w:szCs w:val="24"/>
        </w:rPr>
        <w:t xml:space="preserve">staff and candidates </w:t>
      </w:r>
      <w:r w:rsidR="00863EF6" w:rsidRPr="00863EF6">
        <w:rPr>
          <w:rFonts w:eastAsia="Times New Roman"/>
          <w:bCs/>
          <w:color w:val="auto"/>
          <w:sz w:val="24"/>
          <w:szCs w:val="24"/>
        </w:rPr>
        <w:t>in the CCG</w:t>
      </w:r>
      <w:r w:rsidR="00863EF6">
        <w:rPr>
          <w:rFonts w:eastAsia="Times New Roman"/>
          <w:bCs/>
          <w:color w:val="auto"/>
          <w:sz w:val="24"/>
          <w:szCs w:val="24"/>
        </w:rPr>
        <w:t>,</w:t>
      </w:r>
      <w:r w:rsidR="00863EF6" w:rsidRPr="00863EF6">
        <w:rPr>
          <w:rFonts w:eastAsia="Times New Roman"/>
          <w:bCs/>
          <w:color w:val="auto"/>
          <w:sz w:val="24"/>
          <w:szCs w:val="24"/>
        </w:rPr>
        <w:t xml:space="preserve"> with a view to closing those gaps through the development and implementation of action plans focused upon continuous improvement over time</w:t>
      </w:r>
      <w:r w:rsidR="00B57DC7">
        <w:rPr>
          <w:rFonts w:eastAsia="Times New Roman"/>
          <w:bCs/>
          <w:color w:val="auto"/>
          <w:sz w:val="24"/>
          <w:szCs w:val="24"/>
        </w:rPr>
        <w:t>.</w:t>
      </w:r>
    </w:p>
    <w:p w:rsidR="00604AF1" w:rsidRDefault="00604AF1" w:rsidP="00604AF1">
      <w:pPr>
        <w:spacing w:after="0" w:line="240" w:lineRule="auto"/>
        <w:ind w:left="720" w:hanging="720"/>
        <w:rPr>
          <w:rFonts w:eastAsia="Times New Roman"/>
          <w:bCs/>
          <w:color w:val="auto"/>
          <w:sz w:val="24"/>
          <w:szCs w:val="24"/>
        </w:rPr>
      </w:pPr>
    </w:p>
    <w:p w:rsidR="00481EC7" w:rsidRDefault="00FD7B0B" w:rsidP="00604AF1">
      <w:pPr>
        <w:spacing w:after="0" w:line="240" w:lineRule="auto"/>
        <w:ind w:left="720" w:hanging="720"/>
        <w:rPr>
          <w:rFonts w:eastAsia="Times New Roman"/>
          <w:bCs/>
          <w:color w:val="auto"/>
          <w:sz w:val="24"/>
          <w:szCs w:val="24"/>
        </w:rPr>
      </w:pPr>
      <w:r>
        <w:rPr>
          <w:rFonts w:eastAsia="Times New Roman"/>
          <w:bCs/>
          <w:color w:val="auto"/>
          <w:sz w:val="24"/>
          <w:szCs w:val="24"/>
        </w:rPr>
        <w:t>2.6</w:t>
      </w:r>
      <w:r>
        <w:rPr>
          <w:rFonts w:eastAsia="Times New Roman"/>
          <w:bCs/>
          <w:color w:val="auto"/>
          <w:sz w:val="24"/>
          <w:szCs w:val="24"/>
        </w:rPr>
        <w:tab/>
      </w:r>
      <w:r w:rsidR="00955A3C">
        <w:rPr>
          <w:rFonts w:eastAsia="Times New Roman"/>
          <w:bCs/>
          <w:color w:val="auto"/>
          <w:sz w:val="24"/>
          <w:szCs w:val="24"/>
        </w:rPr>
        <w:t>An action plan to address issues highlighted by the data is required</w:t>
      </w:r>
      <w:r>
        <w:rPr>
          <w:rFonts w:eastAsia="Times New Roman"/>
          <w:bCs/>
          <w:color w:val="auto"/>
          <w:sz w:val="24"/>
          <w:szCs w:val="24"/>
        </w:rPr>
        <w:t xml:space="preserve"> and</w:t>
      </w:r>
      <w:r w:rsidR="00955A3C">
        <w:rPr>
          <w:rFonts w:eastAsia="Times New Roman"/>
          <w:bCs/>
          <w:color w:val="auto"/>
          <w:sz w:val="24"/>
          <w:szCs w:val="24"/>
        </w:rPr>
        <w:t xml:space="preserve"> </w:t>
      </w:r>
      <w:r>
        <w:rPr>
          <w:rFonts w:eastAsia="Times New Roman"/>
          <w:bCs/>
          <w:color w:val="auto"/>
          <w:sz w:val="24"/>
          <w:szCs w:val="24"/>
        </w:rPr>
        <w:t xml:space="preserve">this </w:t>
      </w:r>
      <w:r w:rsidR="00955A3C">
        <w:rPr>
          <w:rFonts w:eastAsia="Times New Roman"/>
          <w:bCs/>
          <w:color w:val="auto"/>
          <w:sz w:val="24"/>
          <w:szCs w:val="24"/>
        </w:rPr>
        <w:t>is given at Appendix 1 and is incorporated into the current E&amp;D Action Plan.</w:t>
      </w:r>
    </w:p>
    <w:p w:rsidR="00604AF1" w:rsidRDefault="00604AF1" w:rsidP="00604AF1">
      <w:pPr>
        <w:spacing w:after="0" w:line="240" w:lineRule="auto"/>
        <w:ind w:left="720" w:hanging="720"/>
        <w:rPr>
          <w:rFonts w:eastAsia="Times New Roman"/>
          <w:bCs/>
          <w:color w:val="auto"/>
          <w:sz w:val="24"/>
          <w:szCs w:val="24"/>
        </w:rPr>
      </w:pPr>
    </w:p>
    <w:p w:rsidR="00955A3C" w:rsidRPr="00F1650F" w:rsidRDefault="00955A3C" w:rsidP="00604AF1">
      <w:pPr>
        <w:spacing w:after="0" w:line="240" w:lineRule="auto"/>
        <w:ind w:firstLine="720"/>
        <w:rPr>
          <w:rFonts w:eastAsia="Times New Roman"/>
          <w:b/>
          <w:color w:val="auto"/>
          <w:sz w:val="24"/>
          <w:szCs w:val="24"/>
        </w:rPr>
      </w:pPr>
      <w:r>
        <w:rPr>
          <w:rFonts w:eastAsia="Times New Roman"/>
          <w:b/>
          <w:color w:val="auto"/>
          <w:sz w:val="24"/>
          <w:szCs w:val="24"/>
        </w:rPr>
        <w:t>EDS</w:t>
      </w:r>
    </w:p>
    <w:p w:rsidR="00C466D5" w:rsidRPr="00C466D5" w:rsidRDefault="00FD7B0B" w:rsidP="00604AF1">
      <w:pPr>
        <w:numPr>
          <w:ilvl w:val="0"/>
          <w:numId w:val="1"/>
        </w:numPr>
        <w:spacing w:after="0" w:line="240" w:lineRule="auto"/>
        <w:rPr>
          <w:rFonts w:eastAsia="Times New Roman"/>
          <w:bCs/>
          <w:color w:val="auto"/>
          <w:sz w:val="24"/>
          <w:szCs w:val="24"/>
        </w:rPr>
      </w:pPr>
      <w:r>
        <w:rPr>
          <w:rFonts w:eastAsia="Times New Roman"/>
          <w:bCs/>
          <w:color w:val="auto"/>
          <w:sz w:val="24"/>
          <w:szCs w:val="24"/>
        </w:rPr>
        <w:t>2.7</w:t>
      </w:r>
      <w:r>
        <w:rPr>
          <w:rFonts w:eastAsia="Times New Roman"/>
          <w:bCs/>
          <w:color w:val="auto"/>
          <w:sz w:val="24"/>
          <w:szCs w:val="24"/>
        </w:rPr>
        <w:tab/>
      </w:r>
      <w:r w:rsidR="00F1650F" w:rsidRPr="00F1650F">
        <w:rPr>
          <w:rFonts w:eastAsia="Times New Roman"/>
          <w:bCs/>
          <w:color w:val="auto"/>
          <w:sz w:val="24"/>
          <w:szCs w:val="24"/>
        </w:rPr>
        <w:t>The CCG undertook implementation of the Equality Delivery System (EDS) in 2012 (EDS</w:t>
      </w:r>
      <w:r w:rsidR="00B57DC7">
        <w:rPr>
          <w:rFonts w:eastAsia="Times New Roman"/>
          <w:bCs/>
          <w:color w:val="auto"/>
          <w:sz w:val="24"/>
          <w:szCs w:val="24"/>
        </w:rPr>
        <w:t>1</w:t>
      </w:r>
      <w:r w:rsidR="00F1650F" w:rsidRPr="00F1650F">
        <w:rPr>
          <w:rFonts w:eastAsia="Times New Roman"/>
          <w:bCs/>
          <w:color w:val="auto"/>
          <w:sz w:val="24"/>
          <w:szCs w:val="24"/>
        </w:rPr>
        <w:t xml:space="preserve">) and again in 2015 (EDS2). </w:t>
      </w:r>
      <w:r w:rsidR="00481EC7" w:rsidRPr="00F1650F">
        <w:rPr>
          <w:rFonts w:eastAsia="Times New Roman"/>
          <w:bCs/>
          <w:color w:val="auto"/>
          <w:sz w:val="24"/>
          <w:szCs w:val="24"/>
        </w:rPr>
        <w:t xml:space="preserve">The engagement of </w:t>
      </w:r>
      <w:r w:rsidR="00481EC7">
        <w:rPr>
          <w:rFonts w:eastAsia="Times New Roman"/>
          <w:bCs/>
          <w:color w:val="auto"/>
          <w:sz w:val="24"/>
          <w:szCs w:val="24"/>
        </w:rPr>
        <w:t xml:space="preserve">staff and </w:t>
      </w:r>
      <w:r w:rsidR="00481EC7" w:rsidRPr="00F1650F">
        <w:rPr>
          <w:rFonts w:eastAsia="Times New Roman"/>
          <w:bCs/>
          <w:color w:val="auto"/>
          <w:sz w:val="24"/>
          <w:szCs w:val="24"/>
        </w:rPr>
        <w:t>local equality interest groups</w:t>
      </w:r>
      <w:r w:rsidR="0079619F">
        <w:rPr>
          <w:rFonts w:eastAsia="Times New Roman"/>
          <w:bCs/>
          <w:color w:val="auto"/>
          <w:sz w:val="24"/>
          <w:szCs w:val="24"/>
        </w:rPr>
        <w:t xml:space="preserve"> </w:t>
      </w:r>
      <w:r w:rsidR="00F1650F" w:rsidRPr="00F1650F">
        <w:rPr>
          <w:rFonts w:eastAsia="Times New Roman"/>
          <w:bCs/>
          <w:color w:val="auto"/>
          <w:sz w:val="24"/>
          <w:szCs w:val="24"/>
        </w:rPr>
        <w:t xml:space="preserve">informed the CCG’s subsequent equality plans. The CCG is required to undertake an assessment of the EDS every four years. </w:t>
      </w:r>
      <w:r w:rsidR="00C466D5" w:rsidRPr="00C466D5">
        <w:rPr>
          <w:rFonts w:eastAsia="Times New Roman"/>
          <w:bCs/>
          <w:color w:val="auto"/>
          <w:sz w:val="24"/>
          <w:szCs w:val="24"/>
        </w:rPr>
        <w:t>Given that the EDS is currently under review by NHS England and it is anticipated that a new version (EDS3) will be launched in 2020, it is proposed that the CCG awaits the launch of EDS3 before undertaking the next scheduled assessment. Initial engagement has however already begun in order to lay the foundations for the significant engagement required for an EDS assessment.</w:t>
      </w:r>
    </w:p>
    <w:p w:rsidR="00604AF1" w:rsidRDefault="00604AF1" w:rsidP="00604AF1">
      <w:pPr>
        <w:pStyle w:val="Heading4"/>
        <w:ind w:left="0"/>
        <w:rPr>
          <w:rFonts w:ascii="Arial" w:hAnsi="Arial" w:cs="Arial"/>
        </w:rPr>
      </w:pPr>
    </w:p>
    <w:p w:rsidR="00481EC7" w:rsidRDefault="00953DC4" w:rsidP="00604AF1">
      <w:pPr>
        <w:pStyle w:val="Heading4"/>
        <w:ind w:left="0"/>
        <w:rPr>
          <w:rFonts w:ascii="Arial" w:hAnsi="Arial" w:cs="Arial"/>
        </w:rPr>
      </w:pPr>
      <w:r>
        <w:rPr>
          <w:rFonts w:ascii="Arial" w:hAnsi="Arial" w:cs="Arial"/>
        </w:rPr>
        <w:t>3.</w:t>
      </w:r>
      <w:r>
        <w:rPr>
          <w:rFonts w:ascii="Arial" w:hAnsi="Arial" w:cs="Arial"/>
        </w:rPr>
        <w:tab/>
      </w:r>
      <w:r w:rsidR="00F76790" w:rsidRPr="007A515A">
        <w:rPr>
          <w:rFonts w:ascii="Arial" w:hAnsi="Arial" w:cs="Arial"/>
        </w:rPr>
        <w:t>INFORMATION</w:t>
      </w:r>
    </w:p>
    <w:p w:rsidR="00C466D5" w:rsidRDefault="00C466D5" w:rsidP="00604AF1">
      <w:pPr>
        <w:spacing w:after="0" w:line="240" w:lineRule="auto"/>
        <w:ind w:left="720" w:hanging="720"/>
        <w:rPr>
          <w:rFonts w:eastAsia="Times New Roman"/>
          <w:bCs/>
          <w:color w:val="auto"/>
          <w:sz w:val="24"/>
          <w:szCs w:val="24"/>
        </w:rPr>
      </w:pPr>
    </w:p>
    <w:p w:rsidR="00481EC7" w:rsidRDefault="00FD7B0B" w:rsidP="00604AF1">
      <w:pPr>
        <w:spacing w:after="0" w:line="240" w:lineRule="auto"/>
        <w:ind w:left="720" w:hanging="720"/>
        <w:rPr>
          <w:rFonts w:eastAsia="Times New Roman"/>
          <w:bCs/>
          <w:color w:val="auto"/>
          <w:sz w:val="24"/>
          <w:szCs w:val="24"/>
        </w:rPr>
      </w:pPr>
      <w:r>
        <w:rPr>
          <w:rFonts w:eastAsia="Times New Roman"/>
          <w:bCs/>
          <w:color w:val="auto"/>
          <w:sz w:val="24"/>
          <w:szCs w:val="24"/>
        </w:rPr>
        <w:t>3.1</w:t>
      </w:r>
      <w:r>
        <w:rPr>
          <w:rFonts w:eastAsia="Times New Roman"/>
          <w:bCs/>
          <w:color w:val="auto"/>
          <w:sz w:val="24"/>
          <w:szCs w:val="24"/>
        </w:rPr>
        <w:tab/>
      </w:r>
      <w:r w:rsidR="00F1650F" w:rsidRPr="00F1650F">
        <w:rPr>
          <w:rFonts w:eastAsia="Times New Roman"/>
          <w:bCs/>
          <w:color w:val="auto"/>
          <w:sz w:val="24"/>
          <w:szCs w:val="24"/>
        </w:rPr>
        <w:t xml:space="preserve">From 2019 onwards, CCGs are expected to submit their annual WRES data to NHS England by </w:t>
      </w:r>
      <w:r>
        <w:rPr>
          <w:rFonts w:eastAsia="Times New Roman"/>
          <w:bCs/>
          <w:color w:val="auto"/>
          <w:sz w:val="24"/>
          <w:szCs w:val="24"/>
        </w:rPr>
        <w:t>the end of August</w:t>
      </w:r>
      <w:r w:rsidR="00F1650F" w:rsidRPr="00F1650F">
        <w:rPr>
          <w:rFonts w:eastAsia="Times New Roman"/>
          <w:bCs/>
          <w:color w:val="auto"/>
          <w:sz w:val="24"/>
          <w:szCs w:val="24"/>
        </w:rPr>
        <w:t>.</w:t>
      </w:r>
      <w:r>
        <w:rPr>
          <w:rFonts w:eastAsia="Times New Roman"/>
          <w:bCs/>
          <w:color w:val="auto"/>
          <w:sz w:val="24"/>
          <w:szCs w:val="24"/>
        </w:rPr>
        <w:t xml:space="preserve"> This requirement was completed by the CCG in 2019.</w:t>
      </w:r>
    </w:p>
    <w:p w:rsidR="00604AF1" w:rsidRPr="00481EC7" w:rsidRDefault="00604AF1" w:rsidP="00604AF1">
      <w:pPr>
        <w:spacing w:after="0" w:line="240" w:lineRule="auto"/>
        <w:ind w:left="720" w:hanging="720"/>
      </w:pPr>
    </w:p>
    <w:p w:rsidR="00481EC7" w:rsidRDefault="00FD7B0B" w:rsidP="00604AF1">
      <w:pPr>
        <w:pStyle w:val="BodyTextIndent"/>
        <w:ind w:left="720" w:hanging="720"/>
        <w:rPr>
          <w:rFonts w:ascii="Arial" w:hAnsi="Arial" w:cs="Arial"/>
        </w:rPr>
      </w:pPr>
      <w:r>
        <w:rPr>
          <w:rFonts w:ascii="Arial" w:hAnsi="Arial" w:cs="Arial"/>
        </w:rPr>
        <w:t>3.2</w:t>
      </w:r>
      <w:r>
        <w:rPr>
          <w:rFonts w:ascii="Arial" w:hAnsi="Arial" w:cs="Arial"/>
        </w:rPr>
        <w:tab/>
        <w:t>Data</w:t>
      </w:r>
      <w:r w:rsidRPr="00F1650F">
        <w:rPr>
          <w:rFonts w:ascii="Arial" w:hAnsi="Arial" w:cs="Arial"/>
        </w:rPr>
        <w:t xml:space="preserve"> </w:t>
      </w:r>
      <w:r w:rsidR="00481EC7" w:rsidRPr="00F1650F">
        <w:rPr>
          <w:rFonts w:ascii="Arial" w:hAnsi="Arial" w:cs="Arial"/>
        </w:rPr>
        <w:t xml:space="preserve">is </w:t>
      </w:r>
      <w:r>
        <w:rPr>
          <w:rFonts w:ascii="Arial" w:hAnsi="Arial" w:cs="Arial"/>
        </w:rPr>
        <w:t>drawn</w:t>
      </w:r>
      <w:r w:rsidRPr="00F1650F">
        <w:rPr>
          <w:rFonts w:ascii="Arial" w:hAnsi="Arial" w:cs="Arial"/>
        </w:rPr>
        <w:t xml:space="preserve"> </w:t>
      </w:r>
      <w:r w:rsidR="00481EC7" w:rsidRPr="00F1650F">
        <w:rPr>
          <w:rFonts w:ascii="Arial" w:hAnsi="Arial" w:cs="Arial"/>
        </w:rPr>
        <w:t>from both the Electronic Staff Record (ESR) and the Staff Survey. It is important to note</w:t>
      </w:r>
      <w:r w:rsidR="00481EC7">
        <w:rPr>
          <w:rFonts w:ascii="Arial" w:hAnsi="Arial" w:cs="Arial"/>
        </w:rPr>
        <w:t xml:space="preserve"> </w:t>
      </w:r>
      <w:r>
        <w:rPr>
          <w:rFonts w:ascii="Arial" w:hAnsi="Arial" w:cs="Arial"/>
        </w:rPr>
        <w:t xml:space="preserve">therefore </w:t>
      </w:r>
      <w:r w:rsidR="00481EC7" w:rsidRPr="00F1650F">
        <w:rPr>
          <w:rFonts w:ascii="Arial" w:hAnsi="Arial" w:cs="Arial"/>
        </w:rPr>
        <w:t xml:space="preserve">that the numbers </w:t>
      </w:r>
      <w:r>
        <w:rPr>
          <w:rFonts w:ascii="Arial" w:hAnsi="Arial" w:cs="Arial"/>
        </w:rPr>
        <w:t xml:space="preserve">given reflect those staff </w:t>
      </w:r>
      <w:r w:rsidR="00C466D5">
        <w:rPr>
          <w:rFonts w:ascii="Arial" w:hAnsi="Arial" w:cs="Arial"/>
        </w:rPr>
        <w:t>that</w:t>
      </w:r>
      <w:r>
        <w:rPr>
          <w:rFonts w:ascii="Arial" w:hAnsi="Arial" w:cs="Arial"/>
        </w:rPr>
        <w:t xml:space="preserve"> we</w:t>
      </w:r>
      <w:r w:rsidR="00481EC7" w:rsidRPr="00F1650F">
        <w:rPr>
          <w:rFonts w:ascii="Arial" w:hAnsi="Arial" w:cs="Arial"/>
        </w:rPr>
        <w:t>re willing to disclose details through ESR.</w:t>
      </w:r>
    </w:p>
    <w:p w:rsidR="00481EC7" w:rsidRPr="00F1650F" w:rsidRDefault="00481EC7" w:rsidP="00604AF1">
      <w:pPr>
        <w:pStyle w:val="BodyTextIndent"/>
        <w:ind w:left="0"/>
        <w:rPr>
          <w:rFonts w:ascii="Arial" w:hAnsi="Arial" w:cs="Arial"/>
        </w:rPr>
      </w:pPr>
    </w:p>
    <w:p w:rsidR="00481EC7" w:rsidRDefault="00FD7B0B" w:rsidP="00604AF1">
      <w:pPr>
        <w:pStyle w:val="BodyTextIndent"/>
        <w:ind w:left="720" w:hanging="720"/>
        <w:rPr>
          <w:rFonts w:ascii="Arial" w:hAnsi="Arial" w:cs="Arial"/>
        </w:rPr>
      </w:pPr>
      <w:r>
        <w:rPr>
          <w:rFonts w:ascii="Arial" w:hAnsi="Arial" w:cs="Arial"/>
        </w:rPr>
        <w:t>3.3</w:t>
      </w:r>
      <w:r>
        <w:rPr>
          <w:rFonts w:ascii="Arial" w:hAnsi="Arial" w:cs="Arial"/>
        </w:rPr>
        <w:tab/>
      </w:r>
      <w:r w:rsidR="00481EC7" w:rsidRPr="00F1650F">
        <w:rPr>
          <w:rFonts w:ascii="Arial" w:hAnsi="Arial" w:cs="Arial"/>
        </w:rPr>
        <w:t>The number of staff reporting as BME or Disabled on ESR in some instances would be so small (5 or less)</w:t>
      </w:r>
      <w:r w:rsidR="00481EC7">
        <w:rPr>
          <w:rFonts w:ascii="Arial" w:hAnsi="Arial" w:cs="Arial"/>
        </w:rPr>
        <w:t xml:space="preserve"> </w:t>
      </w:r>
      <w:r w:rsidR="00481EC7" w:rsidRPr="00F1650F">
        <w:rPr>
          <w:rFonts w:ascii="Arial" w:hAnsi="Arial" w:cs="Arial"/>
        </w:rPr>
        <w:t>that the CCG believes it would be possible to identify individuals as a result of publication, therefore this</w:t>
      </w:r>
      <w:r w:rsidR="00481EC7">
        <w:rPr>
          <w:rFonts w:ascii="Arial" w:hAnsi="Arial" w:cs="Arial"/>
        </w:rPr>
        <w:t xml:space="preserve"> </w:t>
      </w:r>
      <w:r w:rsidR="00481EC7" w:rsidRPr="00F1650F">
        <w:rPr>
          <w:rFonts w:ascii="Arial" w:hAnsi="Arial" w:cs="Arial"/>
        </w:rPr>
        <w:t xml:space="preserve">information </w:t>
      </w:r>
      <w:r w:rsidR="00E07045">
        <w:rPr>
          <w:rFonts w:ascii="Arial" w:hAnsi="Arial" w:cs="Arial"/>
        </w:rPr>
        <w:t>would</w:t>
      </w:r>
      <w:r w:rsidR="00481EC7" w:rsidRPr="00F1650F">
        <w:rPr>
          <w:rFonts w:ascii="Arial" w:hAnsi="Arial" w:cs="Arial"/>
        </w:rPr>
        <w:t xml:space="preserve"> be </w:t>
      </w:r>
      <w:r w:rsidR="00481EC7">
        <w:rPr>
          <w:rFonts w:ascii="Arial" w:hAnsi="Arial" w:cs="Arial"/>
        </w:rPr>
        <w:t>redacted</w:t>
      </w:r>
      <w:r w:rsidR="00E07045">
        <w:rPr>
          <w:rFonts w:ascii="Arial" w:hAnsi="Arial" w:cs="Arial"/>
        </w:rPr>
        <w:t xml:space="preserve"> prior to wider circulation</w:t>
      </w:r>
      <w:r w:rsidR="00481EC7" w:rsidRPr="00F1650F">
        <w:rPr>
          <w:rFonts w:ascii="Arial" w:hAnsi="Arial" w:cs="Arial"/>
        </w:rPr>
        <w:t xml:space="preserve">. </w:t>
      </w:r>
      <w:r w:rsidR="00481EC7" w:rsidRPr="00FD7B0B">
        <w:rPr>
          <w:rFonts w:ascii="Arial" w:hAnsi="Arial" w:cs="Arial"/>
          <w:iCs/>
        </w:rPr>
        <w:t>The Senior Leadership Team is satisfied that the findings reflect the analysis of data.</w:t>
      </w:r>
    </w:p>
    <w:p w:rsidR="00481EC7" w:rsidRDefault="00481EC7" w:rsidP="00604AF1">
      <w:pPr>
        <w:pStyle w:val="BodyTextIndent"/>
        <w:ind w:left="0"/>
        <w:rPr>
          <w:rFonts w:ascii="Arial" w:hAnsi="Arial" w:cs="Arial"/>
        </w:rPr>
      </w:pPr>
    </w:p>
    <w:p w:rsidR="00604AF1" w:rsidRDefault="00604AF1" w:rsidP="00604AF1">
      <w:pPr>
        <w:pStyle w:val="BodyTextIndent"/>
        <w:ind w:left="0"/>
        <w:rPr>
          <w:rFonts w:ascii="Arial" w:hAnsi="Arial" w:cs="Arial"/>
        </w:rPr>
      </w:pPr>
    </w:p>
    <w:p w:rsidR="00481EC7" w:rsidRDefault="00481EC7" w:rsidP="00604AF1">
      <w:pPr>
        <w:pStyle w:val="BodyTextIndent"/>
        <w:ind w:left="0" w:firstLine="720"/>
        <w:rPr>
          <w:rFonts w:ascii="Arial" w:hAnsi="Arial" w:cs="Arial"/>
          <w:b/>
          <w:bCs/>
        </w:rPr>
      </w:pPr>
      <w:r w:rsidRPr="00362E57">
        <w:rPr>
          <w:rFonts w:ascii="Arial" w:hAnsi="Arial" w:cs="Arial"/>
          <w:b/>
          <w:bCs/>
        </w:rPr>
        <w:lastRenderedPageBreak/>
        <w:t>Workforce Race Equality Standard (WRES)</w:t>
      </w:r>
    </w:p>
    <w:p w:rsidR="00604AF1" w:rsidRPr="00362E57" w:rsidRDefault="00604AF1" w:rsidP="00604AF1">
      <w:pPr>
        <w:pStyle w:val="BodyTextIndent"/>
        <w:ind w:left="0" w:firstLine="720"/>
        <w:rPr>
          <w:rFonts w:ascii="Arial" w:hAnsi="Arial" w:cs="Arial"/>
          <w:b/>
          <w:bCs/>
        </w:rPr>
      </w:pPr>
    </w:p>
    <w:p w:rsidR="00481EC7" w:rsidRDefault="00FD7B0B" w:rsidP="00604AF1">
      <w:pPr>
        <w:pStyle w:val="BodyTextIndent"/>
        <w:ind w:left="720" w:hanging="720"/>
        <w:rPr>
          <w:rFonts w:ascii="Arial" w:hAnsi="Arial" w:cs="Arial"/>
        </w:rPr>
      </w:pPr>
      <w:r>
        <w:rPr>
          <w:rFonts w:ascii="Arial" w:hAnsi="Arial" w:cs="Arial"/>
        </w:rPr>
        <w:t>3.4</w:t>
      </w:r>
      <w:r>
        <w:rPr>
          <w:rFonts w:ascii="Arial" w:hAnsi="Arial" w:cs="Arial"/>
        </w:rPr>
        <w:tab/>
      </w:r>
      <w:r w:rsidR="00481EC7" w:rsidRPr="00D230F5">
        <w:rPr>
          <w:rFonts w:ascii="Arial" w:hAnsi="Arial" w:cs="Arial"/>
        </w:rPr>
        <w:t>There are nine WRES indicators. Four of the indicators focus on workforce data, four are based on data</w:t>
      </w:r>
      <w:r w:rsidR="00481EC7">
        <w:rPr>
          <w:rFonts w:ascii="Arial" w:hAnsi="Arial" w:cs="Arial"/>
        </w:rPr>
        <w:t xml:space="preserve"> </w:t>
      </w:r>
      <w:r w:rsidR="00481EC7" w:rsidRPr="00D230F5">
        <w:rPr>
          <w:rFonts w:ascii="Arial" w:hAnsi="Arial" w:cs="Arial"/>
        </w:rPr>
        <w:t>from the national NHS Staff Survey questions and one indicator focuses upon BME representation on</w:t>
      </w:r>
      <w:r w:rsidR="00481EC7">
        <w:rPr>
          <w:rFonts w:ascii="Arial" w:hAnsi="Arial" w:cs="Arial"/>
        </w:rPr>
        <w:t xml:space="preserve"> </w:t>
      </w:r>
      <w:r w:rsidR="00481EC7" w:rsidRPr="00D230F5">
        <w:rPr>
          <w:rFonts w:ascii="Arial" w:hAnsi="Arial" w:cs="Arial"/>
        </w:rPr>
        <w:t>Boards. The WRES highlights any differences between the experience and treatment of white staff and BME</w:t>
      </w:r>
      <w:r w:rsidR="00481EC7">
        <w:rPr>
          <w:rFonts w:ascii="Arial" w:hAnsi="Arial" w:cs="Arial"/>
        </w:rPr>
        <w:t xml:space="preserve"> </w:t>
      </w:r>
      <w:r w:rsidR="00481EC7" w:rsidRPr="00D230F5">
        <w:rPr>
          <w:rFonts w:ascii="Arial" w:hAnsi="Arial" w:cs="Arial"/>
        </w:rPr>
        <w:t>staff in the CCG with a view to closing those gaps through the development and implementation of action</w:t>
      </w:r>
      <w:r w:rsidR="00481EC7">
        <w:rPr>
          <w:rFonts w:ascii="Arial" w:hAnsi="Arial" w:cs="Arial"/>
        </w:rPr>
        <w:t xml:space="preserve"> </w:t>
      </w:r>
      <w:r w:rsidR="00481EC7" w:rsidRPr="00D230F5">
        <w:rPr>
          <w:rFonts w:ascii="Arial" w:hAnsi="Arial" w:cs="Arial"/>
        </w:rPr>
        <w:t xml:space="preserve">plans focused upon continuous improvement over time. </w:t>
      </w:r>
    </w:p>
    <w:p w:rsidR="00604AF1" w:rsidRDefault="00604AF1" w:rsidP="00604AF1">
      <w:pPr>
        <w:pStyle w:val="NormalWeb"/>
        <w:spacing w:before="0" w:beforeAutospacing="0" w:after="0" w:afterAutospacing="0"/>
        <w:ind w:left="720" w:hanging="720"/>
        <w:rPr>
          <w:rFonts w:ascii="Arial" w:hAnsi="Arial" w:cs="Arial"/>
        </w:rPr>
      </w:pPr>
    </w:p>
    <w:p w:rsidR="00481EC7" w:rsidRDefault="00FD7B0B" w:rsidP="00604AF1">
      <w:pPr>
        <w:pStyle w:val="NormalWeb"/>
        <w:spacing w:before="0" w:beforeAutospacing="0" w:after="0" w:afterAutospacing="0"/>
        <w:ind w:left="720" w:hanging="720"/>
      </w:pPr>
      <w:r>
        <w:rPr>
          <w:rFonts w:ascii="Arial" w:hAnsi="Arial" w:cs="Arial"/>
        </w:rPr>
        <w:t>3.5</w:t>
      </w:r>
      <w:r>
        <w:rPr>
          <w:rFonts w:ascii="Arial" w:hAnsi="Arial" w:cs="Arial"/>
        </w:rPr>
        <w:tab/>
      </w:r>
      <w:r w:rsidR="00481EC7">
        <w:rPr>
          <w:rFonts w:ascii="Arial" w:hAnsi="Arial" w:cs="Arial"/>
        </w:rPr>
        <w:t xml:space="preserve">The WRES defines BME based on </w:t>
      </w:r>
      <w:r w:rsidR="00481EC7">
        <w:rPr>
          <w:rFonts w:ascii="Arial,Bold" w:hAnsi="Arial,Bold"/>
        </w:rPr>
        <w:t xml:space="preserve">ethnic categories defined Office of National Statistics (ONS) and used in the 2011 Census. BME </w:t>
      </w:r>
      <w:r w:rsidR="00481EC7">
        <w:rPr>
          <w:rFonts w:ascii="Arial" w:hAnsi="Arial" w:cs="Arial"/>
        </w:rPr>
        <w:t>excludes A, B, C and Z in the table below. The category C ‘Any other white background’ contains minority groups including white European</w:t>
      </w:r>
      <w:r w:rsidR="00481EC7">
        <w:t>.</w:t>
      </w:r>
    </w:p>
    <w:p w:rsidR="00604AF1" w:rsidRDefault="00604AF1" w:rsidP="00604AF1">
      <w:pPr>
        <w:pStyle w:val="NormalWeb"/>
        <w:spacing w:before="0" w:beforeAutospacing="0" w:after="0" w:afterAutospacing="0"/>
        <w:ind w:left="720" w:hanging="720"/>
      </w:pPr>
    </w:p>
    <w:tbl>
      <w:tblPr>
        <w:tblStyle w:val="TableGrid"/>
        <w:tblW w:w="0" w:type="auto"/>
        <w:jc w:val="center"/>
        <w:tblLook w:val="04A0" w:firstRow="1" w:lastRow="0" w:firstColumn="1" w:lastColumn="0" w:noHBand="0" w:noVBand="1"/>
      </w:tblPr>
      <w:tblGrid>
        <w:gridCol w:w="6629"/>
      </w:tblGrid>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A – White -British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B – White -Irish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C – Any other white background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D – Mixed White and Black Caribbean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E – Mixed White and Black African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F – Mixed White and Asian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G – Any other mixed background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H – Asian or Asian British -Indian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J – Asian or Asian British -Pakistani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K – Asian or Asian British - Bangladeshi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L – Any other Asian background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M – Black or Black British -Caribbean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N – Black or Black British -African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P – Any other Black background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R – Chinese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S – Any other ethnic group </w:t>
            </w:r>
          </w:p>
        </w:tc>
      </w:tr>
      <w:tr w:rsidR="00481EC7" w:rsidRPr="00015D16" w:rsidTr="00FD7B0B">
        <w:trPr>
          <w:jc w:val="center"/>
        </w:trPr>
        <w:tc>
          <w:tcPr>
            <w:tcW w:w="6629" w:type="dxa"/>
          </w:tcPr>
          <w:p w:rsidR="00481EC7" w:rsidRPr="00015D16" w:rsidRDefault="00481EC7" w:rsidP="00604AF1">
            <w:pPr>
              <w:pStyle w:val="NormalWeb"/>
              <w:spacing w:before="0" w:beforeAutospacing="0" w:after="0" w:afterAutospacing="0"/>
            </w:pPr>
            <w:r w:rsidRPr="00015D16">
              <w:rPr>
                <w:rFonts w:ascii="Arial" w:hAnsi="Arial" w:cs="Arial"/>
              </w:rPr>
              <w:t xml:space="preserve">Z – not stated </w:t>
            </w:r>
          </w:p>
        </w:tc>
      </w:tr>
    </w:tbl>
    <w:p w:rsidR="00481EC7" w:rsidRDefault="00481EC7" w:rsidP="00604AF1">
      <w:pPr>
        <w:pStyle w:val="BodyTextIndent"/>
        <w:ind w:left="0"/>
        <w:rPr>
          <w:rFonts w:ascii="Arial" w:hAnsi="Arial" w:cs="Arial"/>
        </w:rPr>
      </w:pPr>
    </w:p>
    <w:p w:rsidR="00481EC7" w:rsidRDefault="00FD7B0B" w:rsidP="00604AF1">
      <w:pPr>
        <w:pStyle w:val="BodyTextIndent"/>
        <w:ind w:left="0"/>
        <w:rPr>
          <w:rFonts w:ascii="Arial" w:hAnsi="Arial" w:cs="Arial"/>
          <w:bCs/>
        </w:rPr>
      </w:pPr>
      <w:r>
        <w:rPr>
          <w:rFonts w:ascii="Arial" w:hAnsi="Arial" w:cs="Arial"/>
          <w:bCs/>
        </w:rPr>
        <w:t>3.6</w:t>
      </w:r>
      <w:r>
        <w:rPr>
          <w:rFonts w:ascii="Arial" w:hAnsi="Arial" w:cs="Arial"/>
          <w:bCs/>
        </w:rPr>
        <w:tab/>
        <w:t>The s</w:t>
      </w:r>
      <w:r w:rsidR="00863EF6" w:rsidRPr="00FD7B0B">
        <w:rPr>
          <w:rFonts w:ascii="Arial" w:hAnsi="Arial" w:cs="Arial"/>
          <w:bCs/>
        </w:rPr>
        <w:t>ummary findings</w:t>
      </w:r>
      <w:r>
        <w:rPr>
          <w:rFonts w:ascii="Arial" w:hAnsi="Arial" w:cs="Arial"/>
          <w:bCs/>
        </w:rPr>
        <w:t xml:space="preserve"> for the CCG are as follows</w:t>
      </w:r>
      <w:r w:rsidR="00863EF6" w:rsidRPr="00FD7B0B">
        <w:rPr>
          <w:rFonts w:ascii="Arial" w:hAnsi="Arial" w:cs="Arial"/>
          <w:bCs/>
        </w:rPr>
        <w:t>:</w:t>
      </w:r>
    </w:p>
    <w:p w:rsidR="00FD7B0B" w:rsidRPr="00FD7B0B" w:rsidRDefault="00FD7B0B" w:rsidP="00604AF1">
      <w:pPr>
        <w:pStyle w:val="BodyTextIndent"/>
        <w:ind w:left="0"/>
        <w:rPr>
          <w:rFonts w:ascii="Arial" w:hAnsi="Arial" w:cs="Arial"/>
          <w:bCs/>
        </w:rPr>
      </w:pPr>
    </w:p>
    <w:p w:rsidR="00481EC7" w:rsidRPr="00512578" w:rsidRDefault="00481EC7" w:rsidP="00604AF1">
      <w:pPr>
        <w:pStyle w:val="BodyTextIndent"/>
        <w:numPr>
          <w:ilvl w:val="0"/>
          <w:numId w:val="8"/>
        </w:numPr>
        <w:rPr>
          <w:rFonts w:ascii="Arial" w:hAnsi="Arial" w:cs="Arial"/>
          <w:b/>
          <w:bCs/>
        </w:rPr>
      </w:pPr>
      <w:r>
        <w:rPr>
          <w:rFonts w:ascii="Arial" w:hAnsi="Arial" w:cs="Arial"/>
        </w:rPr>
        <w:t xml:space="preserve">According to ESR data, </w:t>
      </w:r>
      <w:r w:rsidR="00512578">
        <w:rPr>
          <w:rFonts w:ascii="Arial" w:hAnsi="Arial" w:cs="Arial"/>
        </w:rPr>
        <w:t>fewer than 5</w:t>
      </w:r>
      <w:r>
        <w:rPr>
          <w:rFonts w:ascii="Arial" w:hAnsi="Arial" w:cs="Arial"/>
        </w:rPr>
        <w:t>% of the CCG’s workforce is identified as BME. The BME population of Hull (as defined above) is 6%.</w:t>
      </w:r>
      <w:r w:rsidR="00512578">
        <w:rPr>
          <w:rFonts w:ascii="Arial" w:hAnsi="Arial" w:cs="Arial"/>
        </w:rPr>
        <w:t xml:space="preserve"> Specific numbers are not listed as they are so small as to potentially enable the identification of individuals.</w:t>
      </w:r>
    </w:p>
    <w:p w:rsidR="00512578" w:rsidRPr="00D230F5" w:rsidRDefault="00512578" w:rsidP="00604AF1">
      <w:pPr>
        <w:pStyle w:val="BodyTextIndent"/>
        <w:ind w:left="1080"/>
        <w:rPr>
          <w:rFonts w:ascii="Arial" w:hAnsi="Arial" w:cs="Arial"/>
          <w:b/>
          <w:bCs/>
        </w:rPr>
      </w:pPr>
    </w:p>
    <w:p w:rsidR="00512578" w:rsidRPr="00850F88" w:rsidRDefault="003C09CB" w:rsidP="00604AF1">
      <w:pPr>
        <w:pStyle w:val="BodyTextIndent"/>
        <w:numPr>
          <w:ilvl w:val="0"/>
          <w:numId w:val="8"/>
        </w:numPr>
        <w:rPr>
          <w:rFonts w:ascii="Arial" w:hAnsi="Arial" w:cs="Arial"/>
          <w:b/>
          <w:bCs/>
        </w:rPr>
      </w:pPr>
      <w:r>
        <w:rPr>
          <w:rFonts w:ascii="Arial" w:hAnsi="Arial" w:cs="Arial"/>
        </w:rPr>
        <w:t xml:space="preserve">According to CCG </w:t>
      </w:r>
      <w:r w:rsidR="00850F88">
        <w:rPr>
          <w:rFonts w:ascii="Arial" w:hAnsi="Arial" w:cs="Arial"/>
        </w:rPr>
        <w:t xml:space="preserve">2018/19 </w:t>
      </w:r>
      <w:r>
        <w:rPr>
          <w:rFonts w:ascii="Arial" w:hAnsi="Arial" w:cs="Arial"/>
        </w:rPr>
        <w:t>recruitment information</w:t>
      </w:r>
      <w:r w:rsidR="00850F88">
        <w:rPr>
          <w:rFonts w:ascii="Arial" w:hAnsi="Arial" w:cs="Arial"/>
        </w:rPr>
        <w:t>,</w:t>
      </w:r>
      <w:r>
        <w:rPr>
          <w:rFonts w:ascii="Arial" w:hAnsi="Arial" w:cs="Arial"/>
        </w:rPr>
        <w:t xml:space="preserve"> </w:t>
      </w:r>
      <w:r w:rsidR="00850F88">
        <w:rPr>
          <w:rFonts w:ascii="Arial" w:hAnsi="Arial" w:cs="Arial"/>
        </w:rPr>
        <w:t xml:space="preserve">white </w:t>
      </w:r>
      <w:r w:rsidR="00481EC7">
        <w:rPr>
          <w:rFonts w:ascii="Arial" w:hAnsi="Arial" w:cs="Arial"/>
        </w:rPr>
        <w:t xml:space="preserve">candidates </w:t>
      </w:r>
      <w:r w:rsidR="00850F88">
        <w:rPr>
          <w:rFonts w:ascii="Arial" w:hAnsi="Arial" w:cs="Arial"/>
        </w:rPr>
        <w:t xml:space="preserve">(when expressed as a ratio of applications to shortlisting) have a slightly lower chance of being shortlisted when compared to BME (9.8% and 10.5% respectively). The relative likelihood of white staff being appointed from shortlisting when compared with BME is 0.93. That said, caution must be used in </w:t>
      </w:r>
      <w:r w:rsidR="00E07045">
        <w:rPr>
          <w:rFonts w:ascii="Arial" w:hAnsi="Arial" w:cs="Arial"/>
        </w:rPr>
        <w:t>interpretation of this data as the very low numbers reported in some categories would challenge statistical validity</w:t>
      </w:r>
      <w:r w:rsidR="00512578">
        <w:rPr>
          <w:rFonts w:ascii="Arial" w:hAnsi="Arial" w:cs="Arial"/>
        </w:rPr>
        <w:t>.</w:t>
      </w:r>
    </w:p>
    <w:p w:rsidR="00512578" w:rsidRPr="00015D16" w:rsidRDefault="00512578" w:rsidP="00604AF1">
      <w:pPr>
        <w:pStyle w:val="BodyTextIndent"/>
        <w:ind w:left="0"/>
        <w:rPr>
          <w:rFonts w:ascii="Arial" w:hAnsi="Arial" w:cs="Arial"/>
          <w:b/>
          <w:bCs/>
        </w:rPr>
      </w:pPr>
    </w:p>
    <w:p w:rsidR="00481EC7" w:rsidRPr="00512578" w:rsidRDefault="00481EC7" w:rsidP="00604AF1">
      <w:pPr>
        <w:pStyle w:val="BodyTextIndent"/>
        <w:numPr>
          <w:ilvl w:val="0"/>
          <w:numId w:val="8"/>
        </w:numPr>
        <w:rPr>
          <w:rFonts w:ascii="Arial" w:hAnsi="Arial" w:cs="Arial"/>
          <w:b/>
          <w:bCs/>
        </w:rPr>
      </w:pPr>
      <w:r>
        <w:rPr>
          <w:rFonts w:ascii="Arial" w:hAnsi="Arial" w:cs="Arial"/>
        </w:rPr>
        <w:t>7% of the CCG’s Board is BME</w:t>
      </w:r>
      <w:r w:rsidR="00512578">
        <w:rPr>
          <w:rFonts w:ascii="Arial" w:hAnsi="Arial" w:cs="Arial"/>
        </w:rPr>
        <w:t>.</w:t>
      </w:r>
    </w:p>
    <w:p w:rsidR="00512578" w:rsidRPr="00015D16" w:rsidRDefault="00512578" w:rsidP="00604AF1">
      <w:pPr>
        <w:pStyle w:val="BodyTextIndent"/>
        <w:ind w:left="1080"/>
        <w:rPr>
          <w:rFonts w:ascii="Arial" w:hAnsi="Arial" w:cs="Arial"/>
          <w:b/>
          <w:bCs/>
        </w:rPr>
      </w:pPr>
    </w:p>
    <w:p w:rsidR="00481EC7" w:rsidRPr="00512578" w:rsidRDefault="003C09CB" w:rsidP="00604AF1">
      <w:pPr>
        <w:pStyle w:val="BodyTextIndent"/>
        <w:numPr>
          <w:ilvl w:val="0"/>
          <w:numId w:val="8"/>
        </w:numPr>
        <w:rPr>
          <w:rFonts w:ascii="Arial" w:hAnsi="Arial" w:cs="Arial"/>
          <w:b/>
          <w:bCs/>
        </w:rPr>
      </w:pPr>
      <w:r>
        <w:rPr>
          <w:rFonts w:ascii="Arial" w:hAnsi="Arial" w:cs="Arial"/>
        </w:rPr>
        <w:lastRenderedPageBreak/>
        <w:t xml:space="preserve">In the 2018 staff survey </w:t>
      </w:r>
      <w:r w:rsidR="00512578">
        <w:rPr>
          <w:rFonts w:ascii="Arial" w:hAnsi="Arial" w:cs="Arial"/>
        </w:rPr>
        <w:t>a higher percentage</w:t>
      </w:r>
      <w:r w:rsidR="0084138B">
        <w:rPr>
          <w:rFonts w:ascii="Arial" w:hAnsi="Arial" w:cs="Arial"/>
        </w:rPr>
        <w:t xml:space="preserve"> of BME staff reported experiencing bullying or harassment from staff in the last 12 months, as opposed to</w:t>
      </w:r>
      <w:r>
        <w:rPr>
          <w:rFonts w:ascii="Arial" w:hAnsi="Arial" w:cs="Arial"/>
        </w:rPr>
        <w:t xml:space="preserve"> </w:t>
      </w:r>
      <w:r w:rsidR="00481EC7">
        <w:rPr>
          <w:rFonts w:ascii="Arial" w:hAnsi="Arial" w:cs="Arial"/>
        </w:rPr>
        <w:t xml:space="preserve">11% of </w:t>
      </w:r>
      <w:r w:rsidR="00E07045">
        <w:rPr>
          <w:rFonts w:ascii="Arial" w:hAnsi="Arial" w:cs="Arial"/>
        </w:rPr>
        <w:t>w</w:t>
      </w:r>
      <w:r w:rsidR="00481EC7">
        <w:rPr>
          <w:rFonts w:ascii="Arial" w:hAnsi="Arial" w:cs="Arial"/>
        </w:rPr>
        <w:t>hite staff</w:t>
      </w:r>
      <w:r w:rsidR="0084138B">
        <w:rPr>
          <w:rFonts w:ascii="Arial" w:hAnsi="Arial" w:cs="Arial"/>
        </w:rPr>
        <w:t>.</w:t>
      </w:r>
      <w:r w:rsidR="00512578">
        <w:rPr>
          <w:rFonts w:ascii="Arial" w:hAnsi="Arial" w:cs="Arial"/>
        </w:rPr>
        <w:t xml:space="preserve"> It should be noted that the absolute numbers remain low.</w:t>
      </w:r>
    </w:p>
    <w:p w:rsidR="00512578" w:rsidRPr="00C3298A" w:rsidRDefault="00512578" w:rsidP="00604AF1">
      <w:pPr>
        <w:pStyle w:val="BodyTextIndent"/>
        <w:ind w:left="0"/>
        <w:rPr>
          <w:rFonts w:ascii="Arial" w:hAnsi="Arial" w:cs="Arial"/>
          <w:b/>
          <w:bCs/>
        </w:rPr>
      </w:pPr>
    </w:p>
    <w:p w:rsidR="00481EC7" w:rsidRPr="00C3298A" w:rsidRDefault="003C09CB" w:rsidP="00604AF1">
      <w:pPr>
        <w:pStyle w:val="BodyTextIndent"/>
        <w:numPr>
          <w:ilvl w:val="0"/>
          <w:numId w:val="8"/>
        </w:numPr>
        <w:rPr>
          <w:rFonts w:ascii="Arial" w:hAnsi="Arial" w:cs="Arial"/>
          <w:b/>
          <w:bCs/>
        </w:rPr>
      </w:pPr>
      <w:r>
        <w:rPr>
          <w:rFonts w:ascii="Arial" w:hAnsi="Arial" w:cs="Arial"/>
        </w:rPr>
        <w:t xml:space="preserve">In the 2018 staff survey </w:t>
      </w:r>
      <w:r w:rsidR="00481EC7">
        <w:rPr>
          <w:rFonts w:ascii="Arial" w:hAnsi="Arial" w:cs="Arial"/>
        </w:rPr>
        <w:t xml:space="preserve">2% of </w:t>
      </w:r>
      <w:r w:rsidR="00E07045">
        <w:rPr>
          <w:rFonts w:ascii="Arial" w:hAnsi="Arial" w:cs="Arial"/>
        </w:rPr>
        <w:t>w</w:t>
      </w:r>
      <w:r w:rsidR="00481EC7">
        <w:rPr>
          <w:rFonts w:ascii="Arial" w:hAnsi="Arial" w:cs="Arial"/>
        </w:rPr>
        <w:t xml:space="preserve">hite staff </w:t>
      </w:r>
      <w:r w:rsidR="0084138B">
        <w:rPr>
          <w:rFonts w:ascii="Arial" w:hAnsi="Arial" w:cs="Arial"/>
        </w:rPr>
        <w:t xml:space="preserve">reported </w:t>
      </w:r>
      <w:r w:rsidR="00481EC7">
        <w:rPr>
          <w:rFonts w:ascii="Arial" w:hAnsi="Arial" w:cs="Arial"/>
        </w:rPr>
        <w:t>experienc</w:t>
      </w:r>
      <w:r w:rsidR="0084138B">
        <w:rPr>
          <w:rFonts w:ascii="Arial" w:hAnsi="Arial" w:cs="Arial"/>
        </w:rPr>
        <w:t>ing</w:t>
      </w:r>
      <w:r w:rsidR="00481EC7">
        <w:rPr>
          <w:rFonts w:ascii="Arial" w:hAnsi="Arial" w:cs="Arial"/>
        </w:rPr>
        <w:t xml:space="preserve"> discrimination at work from a manager or colleague</w:t>
      </w:r>
      <w:r w:rsidR="00512578">
        <w:rPr>
          <w:rFonts w:ascii="Arial" w:hAnsi="Arial" w:cs="Arial"/>
        </w:rPr>
        <w:t>.</w:t>
      </w:r>
    </w:p>
    <w:p w:rsidR="00481EC7" w:rsidRPr="00C3298A" w:rsidRDefault="00481EC7" w:rsidP="00604AF1">
      <w:pPr>
        <w:pStyle w:val="BodyTextIndent"/>
        <w:ind w:left="720"/>
        <w:rPr>
          <w:rFonts w:ascii="Arial" w:hAnsi="Arial" w:cs="Arial"/>
          <w:b/>
          <w:bCs/>
        </w:rPr>
      </w:pPr>
    </w:p>
    <w:p w:rsidR="00481EC7" w:rsidRDefault="00512578" w:rsidP="00604AF1">
      <w:pPr>
        <w:pStyle w:val="BodyTextIndent"/>
        <w:ind w:left="720" w:hanging="720"/>
        <w:rPr>
          <w:rFonts w:ascii="Arial" w:hAnsi="Arial" w:cs="Arial"/>
        </w:rPr>
      </w:pPr>
      <w:r>
        <w:rPr>
          <w:rFonts w:ascii="Arial" w:hAnsi="Arial" w:cs="Arial"/>
        </w:rPr>
        <w:t>3.7</w:t>
      </w:r>
      <w:r>
        <w:rPr>
          <w:rFonts w:ascii="Arial" w:hAnsi="Arial" w:cs="Arial"/>
        </w:rPr>
        <w:tab/>
      </w:r>
      <w:r w:rsidR="00481EC7">
        <w:rPr>
          <w:rFonts w:ascii="Arial" w:hAnsi="Arial" w:cs="Arial"/>
        </w:rPr>
        <w:t xml:space="preserve">The CCG recognises the need to recruit </w:t>
      </w:r>
      <w:r w:rsidR="0084138B">
        <w:rPr>
          <w:rFonts w:ascii="Arial" w:hAnsi="Arial" w:cs="Arial"/>
        </w:rPr>
        <w:t xml:space="preserve">and retain </w:t>
      </w:r>
      <w:r w:rsidR="00481EC7">
        <w:rPr>
          <w:rFonts w:ascii="Arial" w:hAnsi="Arial" w:cs="Arial"/>
        </w:rPr>
        <w:t>a workforce that more closely represents the population of Hull. This</w:t>
      </w:r>
      <w:r w:rsidR="003C09CB">
        <w:rPr>
          <w:rFonts w:ascii="Arial" w:hAnsi="Arial" w:cs="Arial"/>
        </w:rPr>
        <w:t>, along with a number of other actions aimed to reduce the gap in differences of representation and treatment,</w:t>
      </w:r>
      <w:r w:rsidR="00481EC7">
        <w:rPr>
          <w:rFonts w:ascii="Arial" w:hAnsi="Arial" w:cs="Arial"/>
        </w:rPr>
        <w:t xml:space="preserve"> is reflected in the CCGs E&amp;D action plan.</w:t>
      </w:r>
      <w:r w:rsidR="003C09CB">
        <w:rPr>
          <w:rFonts w:ascii="Arial" w:hAnsi="Arial" w:cs="Arial"/>
        </w:rPr>
        <w:t xml:space="preserve"> </w:t>
      </w:r>
    </w:p>
    <w:p w:rsidR="00481EC7" w:rsidRDefault="00481EC7" w:rsidP="00604AF1">
      <w:pPr>
        <w:pStyle w:val="BodyTextIndent"/>
        <w:ind w:left="0"/>
        <w:rPr>
          <w:rFonts w:ascii="Arial" w:hAnsi="Arial" w:cs="Arial"/>
        </w:rPr>
      </w:pPr>
    </w:p>
    <w:p w:rsidR="00481EC7" w:rsidRPr="00362E57" w:rsidRDefault="00481EC7" w:rsidP="00604AF1">
      <w:pPr>
        <w:pStyle w:val="BodyTextIndent"/>
        <w:ind w:left="0" w:firstLine="720"/>
        <w:rPr>
          <w:rFonts w:ascii="Arial" w:hAnsi="Arial" w:cs="Arial"/>
          <w:sz w:val="28"/>
          <w:szCs w:val="28"/>
        </w:rPr>
      </w:pPr>
      <w:r w:rsidRPr="00AD0682">
        <w:rPr>
          <w:rFonts w:ascii="Arial" w:hAnsi="Arial" w:cs="Arial"/>
          <w:b/>
          <w:bCs/>
          <w:szCs w:val="28"/>
        </w:rPr>
        <w:t>Assessment of provider WRES reports and Action Plans</w:t>
      </w:r>
    </w:p>
    <w:p w:rsidR="00AD0682" w:rsidRDefault="00AD0682" w:rsidP="00604AF1">
      <w:pPr>
        <w:pStyle w:val="BodyTextIndent"/>
        <w:ind w:left="0"/>
        <w:rPr>
          <w:rFonts w:ascii="Arial" w:hAnsi="Arial" w:cs="Arial"/>
        </w:rPr>
      </w:pPr>
    </w:p>
    <w:p w:rsidR="00481EC7" w:rsidRPr="00BE7C57" w:rsidRDefault="00AD0682" w:rsidP="00604AF1">
      <w:pPr>
        <w:pStyle w:val="BodyTextIndent"/>
        <w:ind w:left="720" w:hanging="720"/>
        <w:rPr>
          <w:rFonts w:ascii="Arial" w:hAnsi="Arial" w:cs="Arial"/>
          <w:color w:val="222222"/>
          <w:lang w:eastAsia="en-GB"/>
        </w:rPr>
      </w:pPr>
      <w:r>
        <w:rPr>
          <w:rFonts w:ascii="Arial" w:hAnsi="Arial" w:cs="Arial"/>
        </w:rPr>
        <w:t>3.8</w:t>
      </w:r>
      <w:r>
        <w:rPr>
          <w:rFonts w:ascii="Arial" w:hAnsi="Arial" w:cs="Arial"/>
        </w:rPr>
        <w:tab/>
      </w:r>
      <w:r w:rsidR="00481EC7">
        <w:rPr>
          <w:rFonts w:ascii="Arial" w:hAnsi="Arial" w:cs="Arial"/>
        </w:rPr>
        <w:t xml:space="preserve">A review has been conducted of the 2018 WRES reports of </w:t>
      </w:r>
      <w:r w:rsidR="00BE7C57">
        <w:rPr>
          <w:rFonts w:ascii="Arial" w:hAnsi="Arial" w:cs="Arial"/>
        </w:rPr>
        <w:t xml:space="preserve">City Health Care Partnerships </w:t>
      </w:r>
      <w:r w:rsidR="00481EC7">
        <w:rPr>
          <w:rFonts w:ascii="Arial" w:hAnsi="Arial" w:cs="Arial"/>
          <w:color w:val="222222"/>
          <w:lang w:eastAsia="en-GB"/>
        </w:rPr>
        <w:t>(C</w:t>
      </w:r>
      <w:r w:rsidR="00BE7C57">
        <w:rPr>
          <w:rFonts w:ascii="Arial" w:hAnsi="Arial" w:cs="Arial"/>
          <w:color w:val="222222"/>
          <w:lang w:eastAsia="en-GB"/>
        </w:rPr>
        <w:t xml:space="preserve">HCP), </w:t>
      </w:r>
      <w:r w:rsidR="00BE7C57">
        <w:rPr>
          <w:rFonts w:ascii="Arial" w:hAnsi="Arial" w:cs="Arial"/>
          <w:lang w:eastAsia="en-GB"/>
        </w:rPr>
        <w:t>Hull University Teaching Hospitals NHS Trust</w:t>
      </w:r>
      <w:r w:rsidR="00481EC7">
        <w:rPr>
          <w:rFonts w:ascii="Arial" w:hAnsi="Arial" w:cs="Arial"/>
          <w:color w:val="222222"/>
          <w:lang w:eastAsia="en-GB"/>
        </w:rPr>
        <w:t xml:space="preserve"> (</w:t>
      </w:r>
      <w:r>
        <w:rPr>
          <w:rFonts w:ascii="Arial" w:hAnsi="Arial" w:cs="Arial"/>
          <w:color w:val="222222"/>
          <w:lang w:eastAsia="en-GB"/>
        </w:rPr>
        <w:t>HUTH</w:t>
      </w:r>
      <w:r w:rsidR="00481EC7">
        <w:rPr>
          <w:rFonts w:ascii="Arial" w:hAnsi="Arial" w:cs="Arial"/>
          <w:color w:val="222222"/>
          <w:lang w:eastAsia="en-GB"/>
        </w:rPr>
        <w:t>)</w:t>
      </w:r>
      <w:r w:rsidR="00BE7C57">
        <w:rPr>
          <w:rFonts w:ascii="Arial" w:hAnsi="Arial" w:cs="Arial"/>
          <w:color w:val="222222"/>
          <w:lang w:eastAsia="en-GB"/>
        </w:rPr>
        <w:t xml:space="preserve"> and Humber Teaching NHS Foundation Trust (HFT).</w:t>
      </w:r>
    </w:p>
    <w:p w:rsidR="00481EC7" w:rsidRPr="002941E7" w:rsidRDefault="00481EC7" w:rsidP="00604AF1">
      <w:pPr>
        <w:shd w:val="clear" w:color="auto" w:fill="FFFFFF"/>
        <w:spacing w:after="0" w:line="240" w:lineRule="auto"/>
        <w:rPr>
          <w:rFonts w:eastAsia="Times New Roman"/>
          <w:color w:val="222222"/>
          <w:sz w:val="24"/>
          <w:szCs w:val="24"/>
          <w:lang w:eastAsia="en-GB"/>
        </w:rPr>
      </w:pPr>
    </w:p>
    <w:p w:rsidR="00551939" w:rsidRDefault="00AD0682" w:rsidP="00604AF1">
      <w:pPr>
        <w:shd w:val="clear" w:color="auto" w:fill="FFFFFF"/>
        <w:spacing w:after="0" w:line="240" w:lineRule="auto"/>
        <w:ind w:left="720" w:hanging="720"/>
        <w:jc w:val="both"/>
        <w:rPr>
          <w:rFonts w:eastAsia="Times New Roman"/>
          <w:color w:val="222222"/>
          <w:sz w:val="24"/>
          <w:szCs w:val="24"/>
          <w:lang w:eastAsia="en-GB"/>
        </w:rPr>
      </w:pPr>
      <w:r>
        <w:rPr>
          <w:rFonts w:eastAsia="Times New Roman"/>
          <w:color w:val="222222"/>
          <w:sz w:val="24"/>
          <w:szCs w:val="24"/>
          <w:lang w:eastAsia="en-GB"/>
        </w:rPr>
        <w:t>3.9</w:t>
      </w:r>
      <w:r>
        <w:rPr>
          <w:rFonts w:eastAsia="Times New Roman"/>
          <w:color w:val="222222"/>
          <w:sz w:val="24"/>
          <w:szCs w:val="24"/>
          <w:lang w:eastAsia="en-GB"/>
        </w:rPr>
        <w:tab/>
      </w:r>
      <w:r w:rsidR="00481EC7" w:rsidRPr="002941E7">
        <w:rPr>
          <w:rFonts w:eastAsia="Times New Roman"/>
          <w:color w:val="222222"/>
          <w:sz w:val="24"/>
          <w:szCs w:val="24"/>
          <w:lang w:eastAsia="en-GB"/>
        </w:rPr>
        <w:t>CHCP</w:t>
      </w:r>
      <w:r w:rsidR="00481EC7">
        <w:rPr>
          <w:rFonts w:eastAsia="Times New Roman"/>
          <w:color w:val="222222"/>
          <w:sz w:val="24"/>
          <w:szCs w:val="24"/>
          <w:lang w:eastAsia="en-GB"/>
        </w:rPr>
        <w:t xml:space="preserve">’s report indicated incomplete data, particularly in </w:t>
      </w:r>
      <w:r w:rsidR="00481EC7" w:rsidRPr="002941E7">
        <w:rPr>
          <w:rFonts w:eastAsia="Times New Roman"/>
          <w:color w:val="222222"/>
          <w:sz w:val="24"/>
          <w:szCs w:val="24"/>
          <w:lang w:eastAsia="en-GB"/>
        </w:rPr>
        <w:t>capturing staff equality data in their colleague survey.</w:t>
      </w:r>
      <w:r w:rsidR="00481EC7">
        <w:rPr>
          <w:rFonts w:eastAsia="Times New Roman"/>
          <w:color w:val="222222"/>
          <w:sz w:val="24"/>
          <w:szCs w:val="24"/>
          <w:lang w:eastAsia="en-GB"/>
        </w:rPr>
        <w:t xml:space="preserve"> This has been identified in their Action Plan and </w:t>
      </w:r>
      <w:r w:rsidR="00481EC7" w:rsidRPr="002941E7">
        <w:rPr>
          <w:rFonts w:eastAsia="Times New Roman"/>
          <w:color w:val="222222"/>
          <w:sz w:val="24"/>
          <w:szCs w:val="24"/>
          <w:lang w:eastAsia="en-GB"/>
        </w:rPr>
        <w:t xml:space="preserve">should be more developed in their 2019 submission. </w:t>
      </w:r>
    </w:p>
    <w:p w:rsidR="00551939" w:rsidRDefault="00551939" w:rsidP="00604AF1">
      <w:pPr>
        <w:shd w:val="clear" w:color="auto" w:fill="FFFFFF"/>
        <w:spacing w:after="0" w:line="240" w:lineRule="auto"/>
        <w:ind w:left="720" w:hanging="720"/>
        <w:jc w:val="both"/>
        <w:rPr>
          <w:rFonts w:eastAsia="Times New Roman"/>
          <w:color w:val="222222"/>
          <w:sz w:val="24"/>
          <w:szCs w:val="24"/>
          <w:lang w:eastAsia="en-GB"/>
        </w:rPr>
      </w:pPr>
    </w:p>
    <w:p w:rsidR="00481EC7" w:rsidRDefault="00551939" w:rsidP="00604AF1">
      <w:pPr>
        <w:shd w:val="clear" w:color="auto" w:fill="FFFFFF"/>
        <w:spacing w:after="0" w:line="240" w:lineRule="auto"/>
        <w:ind w:left="720" w:hanging="720"/>
        <w:jc w:val="both"/>
        <w:rPr>
          <w:rFonts w:eastAsia="Times New Roman"/>
          <w:color w:val="222222"/>
          <w:sz w:val="24"/>
          <w:szCs w:val="24"/>
          <w:lang w:eastAsia="en-GB"/>
        </w:rPr>
      </w:pPr>
      <w:r>
        <w:rPr>
          <w:rFonts w:eastAsia="Times New Roman"/>
          <w:color w:val="222222"/>
          <w:sz w:val="24"/>
          <w:szCs w:val="24"/>
          <w:lang w:eastAsia="en-GB"/>
        </w:rPr>
        <w:t>3.10</w:t>
      </w:r>
      <w:r>
        <w:rPr>
          <w:rFonts w:eastAsia="Times New Roman"/>
          <w:color w:val="222222"/>
          <w:sz w:val="24"/>
          <w:szCs w:val="24"/>
          <w:lang w:eastAsia="en-GB"/>
        </w:rPr>
        <w:tab/>
      </w:r>
      <w:r w:rsidR="00AD0682">
        <w:rPr>
          <w:rFonts w:eastAsia="Times New Roman"/>
          <w:color w:val="222222"/>
          <w:sz w:val="24"/>
          <w:szCs w:val="24"/>
          <w:lang w:eastAsia="en-GB"/>
        </w:rPr>
        <w:t>HUTH’s</w:t>
      </w:r>
      <w:r w:rsidR="00481EC7" w:rsidRPr="002941E7">
        <w:rPr>
          <w:rFonts w:eastAsia="Times New Roman"/>
          <w:color w:val="222222"/>
          <w:sz w:val="24"/>
          <w:szCs w:val="24"/>
          <w:lang w:eastAsia="en-GB"/>
        </w:rPr>
        <w:t xml:space="preserve"> action plan and data capture is </w:t>
      </w:r>
      <w:r w:rsidR="00481EC7">
        <w:rPr>
          <w:rFonts w:eastAsia="Times New Roman"/>
          <w:color w:val="222222"/>
          <w:sz w:val="24"/>
          <w:szCs w:val="24"/>
          <w:lang w:eastAsia="en-GB"/>
        </w:rPr>
        <w:t xml:space="preserve">further </w:t>
      </w:r>
      <w:r w:rsidR="00481EC7" w:rsidRPr="002941E7">
        <w:rPr>
          <w:rFonts w:eastAsia="Times New Roman"/>
          <w:color w:val="222222"/>
          <w:sz w:val="24"/>
          <w:szCs w:val="24"/>
          <w:lang w:eastAsia="en-GB"/>
        </w:rPr>
        <w:t xml:space="preserve">developed, and they are making progress against a number of indicators (e.g. uptake of non-mandatory training, and a small increase in the likelihood of BME staff being shortlisted and recruited). The main challenges for </w:t>
      </w:r>
      <w:r w:rsidR="00AD0682">
        <w:rPr>
          <w:rFonts w:eastAsia="Times New Roman"/>
          <w:color w:val="222222"/>
          <w:sz w:val="24"/>
          <w:szCs w:val="24"/>
          <w:lang w:eastAsia="en-GB"/>
        </w:rPr>
        <w:t>HUTH</w:t>
      </w:r>
      <w:r w:rsidR="00481EC7" w:rsidRPr="002941E7">
        <w:rPr>
          <w:rFonts w:eastAsia="Times New Roman"/>
          <w:color w:val="222222"/>
          <w:sz w:val="24"/>
          <w:szCs w:val="24"/>
          <w:lang w:eastAsia="en-GB"/>
        </w:rPr>
        <w:t xml:space="preserve"> are still the higher levels of staff in general reporting harassment &amp; abuse from patients as well as from staff. Their report also indicates a marked decrease in the </w:t>
      </w:r>
      <w:r>
        <w:rPr>
          <w:rFonts w:eastAsia="Times New Roman"/>
          <w:color w:val="222222"/>
          <w:sz w:val="24"/>
          <w:szCs w:val="24"/>
          <w:lang w:eastAsia="en-GB"/>
        </w:rPr>
        <w:t>percentage</w:t>
      </w:r>
      <w:r w:rsidR="00481EC7" w:rsidRPr="002941E7">
        <w:rPr>
          <w:rFonts w:eastAsia="Times New Roman"/>
          <w:color w:val="222222"/>
          <w:sz w:val="24"/>
          <w:szCs w:val="24"/>
          <w:lang w:eastAsia="en-GB"/>
        </w:rPr>
        <w:t xml:space="preserve"> of BME staff who feel that the Trust is an equal opportunities employer, bu</w:t>
      </w:r>
      <w:r w:rsidR="00AB3DDF">
        <w:rPr>
          <w:rFonts w:eastAsia="Times New Roman"/>
          <w:color w:val="222222"/>
          <w:sz w:val="24"/>
          <w:szCs w:val="24"/>
          <w:lang w:eastAsia="en-GB"/>
        </w:rPr>
        <w:t xml:space="preserve">t they do have a well-developed </w:t>
      </w:r>
      <w:r w:rsidR="00481EC7" w:rsidRPr="002941E7">
        <w:rPr>
          <w:rFonts w:eastAsia="Times New Roman"/>
          <w:color w:val="1155CC"/>
          <w:sz w:val="24"/>
          <w:szCs w:val="24"/>
          <w:u w:val="single"/>
          <w:lang w:eastAsia="en-GB"/>
        </w:rPr>
        <w:t>Ac</w:t>
      </w:r>
      <w:r w:rsidR="00AB3DDF">
        <w:rPr>
          <w:rFonts w:eastAsia="Times New Roman"/>
          <w:color w:val="1155CC"/>
          <w:sz w:val="24"/>
          <w:szCs w:val="24"/>
          <w:u w:val="single"/>
          <w:lang w:eastAsia="en-GB"/>
        </w:rPr>
        <w:t>tion Plan</w:t>
      </w:r>
      <w:r w:rsidR="00481EC7" w:rsidRPr="002941E7">
        <w:rPr>
          <w:rFonts w:eastAsia="Times New Roman"/>
          <w:color w:val="222222"/>
          <w:sz w:val="24"/>
          <w:szCs w:val="24"/>
          <w:lang w:eastAsia="en-GB"/>
        </w:rPr>
        <w:t>.</w:t>
      </w:r>
    </w:p>
    <w:p w:rsidR="00AD0682" w:rsidRDefault="00AD0682" w:rsidP="00604AF1">
      <w:pPr>
        <w:shd w:val="clear" w:color="auto" w:fill="FFFFFF"/>
        <w:spacing w:after="0" w:line="240" w:lineRule="auto"/>
        <w:ind w:left="720" w:hanging="720"/>
        <w:jc w:val="both"/>
        <w:rPr>
          <w:rFonts w:eastAsia="Times New Roman"/>
          <w:color w:val="222222"/>
          <w:sz w:val="24"/>
          <w:szCs w:val="24"/>
          <w:lang w:eastAsia="en-GB"/>
        </w:rPr>
      </w:pPr>
    </w:p>
    <w:p w:rsidR="00AD0682" w:rsidRDefault="00AB3DDF" w:rsidP="00604AF1">
      <w:pPr>
        <w:shd w:val="clear" w:color="auto" w:fill="FFFFFF"/>
        <w:spacing w:after="0" w:line="240" w:lineRule="auto"/>
        <w:ind w:left="720" w:hanging="720"/>
        <w:jc w:val="both"/>
        <w:rPr>
          <w:rFonts w:eastAsia="Times New Roman"/>
          <w:color w:val="222222"/>
          <w:sz w:val="24"/>
          <w:szCs w:val="24"/>
          <w:lang w:eastAsia="en-GB"/>
        </w:rPr>
      </w:pPr>
      <w:r>
        <w:rPr>
          <w:rFonts w:eastAsia="Times New Roman"/>
          <w:color w:val="222222"/>
          <w:sz w:val="24"/>
          <w:szCs w:val="24"/>
          <w:lang w:eastAsia="en-GB"/>
        </w:rPr>
        <w:t>3.11</w:t>
      </w:r>
      <w:r w:rsidR="00AD0682">
        <w:rPr>
          <w:rFonts w:eastAsia="Times New Roman"/>
          <w:color w:val="222222"/>
          <w:sz w:val="24"/>
          <w:szCs w:val="24"/>
          <w:lang w:eastAsia="en-GB"/>
        </w:rPr>
        <w:tab/>
      </w:r>
      <w:hyperlink r:id="rId11" w:history="1">
        <w:r w:rsidR="00BE7C57" w:rsidRPr="00BE7C57">
          <w:rPr>
            <w:rStyle w:val="Hyperlink"/>
            <w:rFonts w:eastAsia="Times New Roman"/>
            <w:sz w:val="24"/>
            <w:szCs w:val="24"/>
            <w:lang w:eastAsia="en-GB"/>
          </w:rPr>
          <w:t>Humber Teaching Hospital’s WRES work plan  2018</w:t>
        </w:r>
      </w:hyperlink>
      <w:r w:rsidR="00BE7C57" w:rsidRPr="00BE7C57">
        <w:rPr>
          <w:rFonts w:eastAsia="Times New Roman"/>
          <w:color w:val="222222"/>
          <w:sz w:val="24"/>
          <w:szCs w:val="24"/>
          <w:lang w:eastAsia="en-GB"/>
        </w:rPr>
        <w:t xml:space="preserve"> is well developed, with a focus on addressing issues highlighted related to staff experience of bullying and harassme</w:t>
      </w:r>
      <w:r>
        <w:rPr>
          <w:rFonts w:eastAsia="Times New Roman"/>
          <w:color w:val="222222"/>
          <w:sz w:val="24"/>
          <w:szCs w:val="24"/>
          <w:lang w:eastAsia="en-GB"/>
        </w:rPr>
        <w:t>nt reflected in the staff survey</w:t>
      </w:r>
      <w:r w:rsidR="00AD0682">
        <w:rPr>
          <w:rFonts w:eastAsia="Times New Roman"/>
          <w:color w:val="222222"/>
          <w:sz w:val="24"/>
          <w:szCs w:val="24"/>
          <w:lang w:eastAsia="en-GB"/>
        </w:rPr>
        <w:t>.</w:t>
      </w:r>
    </w:p>
    <w:p w:rsidR="00362E57" w:rsidRDefault="00362E57" w:rsidP="00604AF1">
      <w:pPr>
        <w:shd w:val="clear" w:color="auto" w:fill="FFFFFF"/>
        <w:spacing w:after="0" w:line="240" w:lineRule="auto"/>
        <w:rPr>
          <w:rFonts w:eastAsia="Times New Roman"/>
          <w:color w:val="222222"/>
          <w:sz w:val="24"/>
          <w:szCs w:val="24"/>
          <w:lang w:eastAsia="en-GB"/>
        </w:rPr>
      </w:pPr>
    </w:p>
    <w:p w:rsidR="00362E57" w:rsidRDefault="00362E57" w:rsidP="00604AF1">
      <w:pPr>
        <w:shd w:val="clear" w:color="auto" w:fill="FFFFFF"/>
        <w:spacing w:after="0" w:line="240" w:lineRule="auto"/>
        <w:ind w:firstLine="720"/>
        <w:rPr>
          <w:rFonts w:eastAsia="Times New Roman"/>
          <w:b/>
          <w:bCs/>
          <w:color w:val="222222"/>
          <w:sz w:val="24"/>
          <w:szCs w:val="24"/>
          <w:lang w:eastAsia="en-GB"/>
        </w:rPr>
      </w:pPr>
      <w:r>
        <w:rPr>
          <w:rFonts w:eastAsia="Times New Roman"/>
          <w:b/>
          <w:bCs/>
          <w:color w:val="222222"/>
          <w:sz w:val="24"/>
          <w:szCs w:val="24"/>
          <w:lang w:eastAsia="en-GB"/>
        </w:rPr>
        <w:t>Workforce Disability Equality Standard (WDES)</w:t>
      </w:r>
    </w:p>
    <w:p w:rsidR="00362E57" w:rsidRDefault="00362E57" w:rsidP="00604AF1">
      <w:pPr>
        <w:shd w:val="clear" w:color="auto" w:fill="FFFFFF"/>
        <w:spacing w:after="0" w:line="240" w:lineRule="auto"/>
        <w:rPr>
          <w:rFonts w:eastAsia="Times New Roman"/>
          <w:b/>
          <w:bCs/>
          <w:color w:val="222222"/>
          <w:sz w:val="24"/>
          <w:szCs w:val="24"/>
          <w:lang w:eastAsia="en-GB"/>
        </w:rPr>
      </w:pPr>
    </w:p>
    <w:p w:rsidR="00362E57" w:rsidRDefault="00AB3DDF" w:rsidP="00604AF1">
      <w:pPr>
        <w:pStyle w:val="BodyTextIndent"/>
        <w:ind w:left="720" w:hanging="720"/>
        <w:rPr>
          <w:rFonts w:ascii="Arial" w:hAnsi="Arial" w:cs="Arial"/>
        </w:rPr>
      </w:pPr>
      <w:r>
        <w:rPr>
          <w:rFonts w:ascii="Arial" w:hAnsi="Arial" w:cs="Arial"/>
        </w:rPr>
        <w:t>3.12</w:t>
      </w:r>
      <w:r w:rsidR="00AD0682">
        <w:rPr>
          <w:rFonts w:ascii="Arial" w:hAnsi="Arial" w:cs="Arial"/>
        </w:rPr>
        <w:tab/>
      </w:r>
      <w:r w:rsidR="00362E57" w:rsidRPr="00D230F5">
        <w:rPr>
          <w:rFonts w:ascii="Arial" w:hAnsi="Arial" w:cs="Arial"/>
        </w:rPr>
        <w:t xml:space="preserve">There are </w:t>
      </w:r>
      <w:r w:rsidR="00362E57">
        <w:rPr>
          <w:rFonts w:ascii="Arial" w:hAnsi="Arial" w:cs="Arial"/>
        </w:rPr>
        <w:t>ten</w:t>
      </w:r>
      <w:r w:rsidR="00362E57" w:rsidRPr="00D230F5">
        <w:rPr>
          <w:rFonts w:ascii="Arial" w:hAnsi="Arial" w:cs="Arial"/>
        </w:rPr>
        <w:t xml:space="preserve"> </w:t>
      </w:r>
      <w:r w:rsidR="00362E57">
        <w:rPr>
          <w:rFonts w:ascii="Arial" w:hAnsi="Arial" w:cs="Arial"/>
        </w:rPr>
        <w:t>WDES</w:t>
      </w:r>
      <w:r w:rsidR="00362E57" w:rsidRPr="00D230F5">
        <w:rPr>
          <w:rFonts w:ascii="Arial" w:hAnsi="Arial" w:cs="Arial"/>
        </w:rPr>
        <w:t xml:space="preserve"> indicators. </w:t>
      </w:r>
      <w:r w:rsidR="00362E57">
        <w:rPr>
          <w:rFonts w:ascii="Arial" w:hAnsi="Arial" w:cs="Arial"/>
        </w:rPr>
        <w:t xml:space="preserve">These include the programmes or initiatives the CCG has committed to promote disability equality, </w:t>
      </w:r>
      <w:r w:rsidR="00362E57" w:rsidRPr="00D230F5">
        <w:rPr>
          <w:rFonts w:ascii="Arial" w:hAnsi="Arial" w:cs="Arial"/>
        </w:rPr>
        <w:t>workforce data</w:t>
      </w:r>
      <w:r w:rsidR="00362E57">
        <w:rPr>
          <w:rFonts w:ascii="Arial" w:hAnsi="Arial" w:cs="Arial"/>
        </w:rPr>
        <w:t xml:space="preserve"> reflecting the overall representation of disabled staff, and across the pay structure, staff experience of the CCG as an employer based on </w:t>
      </w:r>
      <w:r w:rsidR="00362E57" w:rsidRPr="00D230F5">
        <w:rPr>
          <w:rFonts w:ascii="Arial" w:hAnsi="Arial" w:cs="Arial"/>
        </w:rPr>
        <w:t>national NHS Staff Survey questions, representation on</w:t>
      </w:r>
      <w:r w:rsidR="00362E57">
        <w:rPr>
          <w:rFonts w:ascii="Arial" w:hAnsi="Arial" w:cs="Arial"/>
        </w:rPr>
        <w:t xml:space="preserve"> </w:t>
      </w:r>
      <w:r w:rsidR="00362E57" w:rsidRPr="00D230F5">
        <w:rPr>
          <w:rFonts w:ascii="Arial" w:hAnsi="Arial" w:cs="Arial"/>
        </w:rPr>
        <w:t>Boards</w:t>
      </w:r>
      <w:r w:rsidR="00863EF6">
        <w:rPr>
          <w:rFonts w:ascii="Arial" w:hAnsi="Arial" w:cs="Arial"/>
        </w:rPr>
        <w:t>.</w:t>
      </w:r>
    </w:p>
    <w:p w:rsidR="00863EF6" w:rsidRDefault="00863EF6" w:rsidP="00604AF1">
      <w:pPr>
        <w:pStyle w:val="BodyTextIndent"/>
        <w:ind w:left="0"/>
        <w:rPr>
          <w:rFonts w:ascii="Arial" w:hAnsi="Arial" w:cs="Arial"/>
        </w:rPr>
      </w:pPr>
    </w:p>
    <w:p w:rsidR="00AD0682" w:rsidRDefault="00AB3DDF" w:rsidP="00604AF1">
      <w:pPr>
        <w:pStyle w:val="BodyTextIndent"/>
        <w:ind w:left="0"/>
        <w:rPr>
          <w:rFonts w:ascii="Arial" w:hAnsi="Arial" w:cs="Arial"/>
          <w:bCs/>
        </w:rPr>
      </w:pPr>
      <w:r>
        <w:rPr>
          <w:rFonts w:ascii="Arial" w:hAnsi="Arial" w:cs="Arial"/>
          <w:bCs/>
        </w:rPr>
        <w:t>3.13</w:t>
      </w:r>
      <w:r w:rsidR="00AD0682">
        <w:rPr>
          <w:rFonts w:ascii="Arial" w:hAnsi="Arial" w:cs="Arial"/>
          <w:bCs/>
        </w:rPr>
        <w:tab/>
        <w:t>The summary findings for the CCG are as follows:</w:t>
      </w:r>
    </w:p>
    <w:p w:rsidR="00AD0682" w:rsidRDefault="00AD0682" w:rsidP="00604AF1">
      <w:pPr>
        <w:pStyle w:val="BodyTextIndent"/>
        <w:ind w:left="720"/>
        <w:rPr>
          <w:rFonts w:ascii="Arial" w:hAnsi="Arial" w:cs="Arial"/>
          <w:b/>
          <w:bCs/>
        </w:rPr>
      </w:pPr>
    </w:p>
    <w:p w:rsidR="00863EF6" w:rsidRPr="00AD0682" w:rsidRDefault="00863EF6" w:rsidP="00604AF1">
      <w:pPr>
        <w:pStyle w:val="BodyTextIndent"/>
        <w:numPr>
          <w:ilvl w:val="0"/>
          <w:numId w:val="9"/>
        </w:numPr>
        <w:rPr>
          <w:rFonts w:ascii="Arial" w:hAnsi="Arial" w:cs="Arial"/>
          <w:b/>
          <w:bCs/>
        </w:rPr>
      </w:pPr>
      <w:r>
        <w:rPr>
          <w:rFonts w:ascii="Arial" w:hAnsi="Arial" w:cs="Arial"/>
        </w:rPr>
        <w:t>The CCG is a Disability Confident and Mindful Employer</w:t>
      </w:r>
      <w:r w:rsidR="00AD0682">
        <w:rPr>
          <w:rFonts w:ascii="Arial" w:hAnsi="Arial" w:cs="Arial"/>
        </w:rPr>
        <w:t>.</w:t>
      </w:r>
    </w:p>
    <w:p w:rsidR="00AD0682" w:rsidRPr="00863EF6" w:rsidRDefault="00AD0682" w:rsidP="00604AF1">
      <w:pPr>
        <w:pStyle w:val="BodyTextIndent"/>
        <w:ind w:left="1080"/>
        <w:rPr>
          <w:rFonts w:ascii="Arial" w:hAnsi="Arial" w:cs="Arial"/>
          <w:b/>
          <w:bCs/>
        </w:rPr>
      </w:pPr>
    </w:p>
    <w:p w:rsidR="00AD0682" w:rsidRPr="00880A70" w:rsidRDefault="00863EF6" w:rsidP="00604AF1">
      <w:pPr>
        <w:pStyle w:val="BodyTextIndent"/>
        <w:numPr>
          <w:ilvl w:val="0"/>
          <w:numId w:val="9"/>
        </w:numPr>
        <w:rPr>
          <w:rFonts w:ascii="Arial" w:hAnsi="Arial" w:cs="Arial"/>
          <w:b/>
          <w:bCs/>
        </w:rPr>
      </w:pPr>
      <w:r>
        <w:rPr>
          <w:rFonts w:ascii="Arial" w:hAnsi="Arial" w:cs="Arial"/>
        </w:rPr>
        <w:t>The rate of disability disclosure</w:t>
      </w:r>
      <w:r w:rsidR="00AD0682">
        <w:rPr>
          <w:rFonts w:ascii="Arial" w:hAnsi="Arial" w:cs="Arial"/>
        </w:rPr>
        <w:t xml:space="preserve"> for the CCG</w:t>
      </w:r>
      <w:r>
        <w:rPr>
          <w:rFonts w:ascii="Arial" w:hAnsi="Arial" w:cs="Arial"/>
        </w:rPr>
        <w:t xml:space="preserve"> is 3% of staff. This is compared 20% of</w:t>
      </w:r>
      <w:r w:rsidR="00AD0682">
        <w:rPr>
          <w:rFonts w:ascii="Arial" w:hAnsi="Arial" w:cs="Arial"/>
        </w:rPr>
        <w:t xml:space="preserve"> the overall population of Hull.</w:t>
      </w:r>
    </w:p>
    <w:p w:rsidR="00880A70" w:rsidRDefault="00880A70" w:rsidP="00604AF1">
      <w:pPr>
        <w:pStyle w:val="BodyTextIndent"/>
        <w:ind w:left="0"/>
        <w:rPr>
          <w:rFonts w:ascii="Arial" w:hAnsi="Arial" w:cs="Arial"/>
          <w:b/>
          <w:bCs/>
        </w:rPr>
      </w:pPr>
    </w:p>
    <w:p w:rsidR="0079619F" w:rsidRPr="00AD0682" w:rsidRDefault="0079619F" w:rsidP="00604AF1">
      <w:pPr>
        <w:pStyle w:val="BodyTextIndent"/>
        <w:numPr>
          <w:ilvl w:val="0"/>
          <w:numId w:val="9"/>
        </w:numPr>
        <w:rPr>
          <w:rFonts w:ascii="Arial" w:hAnsi="Arial" w:cs="Arial"/>
          <w:b/>
          <w:bCs/>
        </w:rPr>
      </w:pPr>
      <w:r w:rsidRPr="00AD0682">
        <w:rPr>
          <w:rFonts w:ascii="Arial" w:hAnsi="Arial" w:cs="Arial"/>
          <w:iCs/>
        </w:rPr>
        <w:t xml:space="preserve">The remaining data needs further analysis and will be prioritised in the 2019/ 2020 E&amp;D Action Plan </w:t>
      </w:r>
    </w:p>
    <w:p w:rsidR="00362E57" w:rsidRPr="002941E7" w:rsidRDefault="00362E57" w:rsidP="00604AF1">
      <w:pPr>
        <w:shd w:val="clear" w:color="auto" w:fill="FFFFFF"/>
        <w:spacing w:after="0" w:line="240" w:lineRule="auto"/>
        <w:rPr>
          <w:rFonts w:eastAsia="Times New Roman"/>
          <w:color w:val="222222"/>
          <w:sz w:val="24"/>
          <w:szCs w:val="24"/>
          <w:lang w:eastAsia="en-GB"/>
        </w:rPr>
      </w:pPr>
    </w:p>
    <w:p w:rsidR="00F76790" w:rsidRDefault="00953DC4" w:rsidP="00604AF1">
      <w:pPr>
        <w:pStyle w:val="Heading5"/>
        <w:ind w:left="0" w:firstLine="0"/>
      </w:pPr>
      <w:r>
        <w:lastRenderedPageBreak/>
        <w:t>4.</w:t>
      </w:r>
      <w:r>
        <w:tab/>
      </w:r>
      <w:r w:rsidR="00F76790" w:rsidRPr="007A515A">
        <w:t>RECOMMENDATIONS</w:t>
      </w:r>
    </w:p>
    <w:p w:rsidR="00953DC4" w:rsidRDefault="00953DC4" w:rsidP="00604AF1">
      <w:pPr>
        <w:spacing w:after="0" w:line="240" w:lineRule="auto"/>
        <w:jc w:val="both"/>
        <w:rPr>
          <w:b/>
          <w:i/>
          <w:u w:val="single"/>
        </w:rPr>
      </w:pPr>
    </w:p>
    <w:p w:rsidR="0079619F" w:rsidRDefault="00E02173" w:rsidP="00604AF1">
      <w:pPr>
        <w:spacing w:after="0" w:line="240" w:lineRule="auto"/>
        <w:jc w:val="both"/>
        <w:rPr>
          <w:color w:val="auto"/>
          <w:sz w:val="24"/>
          <w:szCs w:val="24"/>
        </w:rPr>
      </w:pPr>
      <w:r>
        <w:rPr>
          <w:color w:val="auto"/>
          <w:sz w:val="24"/>
          <w:szCs w:val="24"/>
        </w:rPr>
        <w:t xml:space="preserve"> 4.1</w:t>
      </w:r>
      <w:r>
        <w:rPr>
          <w:color w:val="auto"/>
          <w:sz w:val="24"/>
          <w:szCs w:val="24"/>
        </w:rPr>
        <w:tab/>
      </w:r>
      <w:r w:rsidR="0079619F">
        <w:rPr>
          <w:color w:val="auto"/>
          <w:sz w:val="24"/>
          <w:szCs w:val="24"/>
        </w:rPr>
        <w:t>It is recommended that</w:t>
      </w:r>
      <w:r w:rsidR="00A61926">
        <w:rPr>
          <w:color w:val="auto"/>
          <w:sz w:val="24"/>
          <w:szCs w:val="24"/>
        </w:rPr>
        <w:t xml:space="preserve"> Members</w:t>
      </w:r>
      <w:r w:rsidR="0079619F">
        <w:rPr>
          <w:color w:val="auto"/>
          <w:sz w:val="24"/>
          <w:szCs w:val="24"/>
        </w:rPr>
        <w:t>:</w:t>
      </w:r>
    </w:p>
    <w:p w:rsidR="00E02173" w:rsidRDefault="00E02173" w:rsidP="00604AF1">
      <w:pPr>
        <w:spacing w:after="0" w:line="240" w:lineRule="auto"/>
        <w:jc w:val="both"/>
        <w:rPr>
          <w:color w:val="auto"/>
          <w:sz w:val="24"/>
          <w:szCs w:val="24"/>
        </w:rPr>
      </w:pPr>
    </w:p>
    <w:p w:rsidR="00A61926" w:rsidRDefault="00A61926" w:rsidP="00604AF1">
      <w:pPr>
        <w:spacing w:after="0" w:line="240" w:lineRule="auto"/>
        <w:ind w:left="360" w:firstLine="360"/>
        <w:jc w:val="both"/>
        <w:rPr>
          <w:color w:val="auto"/>
          <w:sz w:val="24"/>
          <w:szCs w:val="24"/>
        </w:rPr>
      </w:pPr>
      <w:r>
        <w:rPr>
          <w:color w:val="auto"/>
          <w:sz w:val="24"/>
          <w:szCs w:val="24"/>
        </w:rPr>
        <w:t>i)</w:t>
      </w:r>
      <w:r>
        <w:rPr>
          <w:color w:val="auto"/>
          <w:sz w:val="24"/>
          <w:szCs w:val="24"/>
        </w:rPr>
        <w:tab/>
      </w:r>
      <w:r w:rsidRPr="00A61926">
        <w:rPr>
          <w:color w:val="auto"/>
          <w:sz w:val="24"/>
          <w:szCs w:val="24"/>
        </w:rPr>
        <w:t>Endorse the CCG Workforce Race Equality Standard (WRES) Report.</w:t>
      </w:r>
      <w:r w:rsidRPr="00A61926">
        <w:rPr>
          <w:color w:val="auto"/>
          <w:sz w:val="24"/>
          <w:szCs w:val="24"/>
        </w:rPr>
        <w:tab/>
      </w:r>
    </w:p>
    <w:p w:rsidR="00A61926" w:rsidRDefault="00A61926" w:rsidP="00604AF1">
      <w:pPr>
        <w:spacing w:after="0" w:line="240" w:lineRule="auto"/>
        <w:ind w:left="360" w:firstLine="360"/>
        <w:jc w:val="both"/>
        <w:rPr>
          <w:color w:val="auto"/>
          <w:sz w:val="24"/>
          <w:szCs w:val="24"/>
        </w:rPr>
      </w:pPr>
    </w:p>
    <w:p w:rsidR="00A61926" w:rsidRPr="00A61926" w:rsidRDefault="00A61926" w:rsidP="00604AF1">
      <w:pPr>
        <w:spacing w:after="0" w:line="240" w:lineRule="auto"/>
        <w:ind w:left="1440" w:hanging="720"/>
        <w:jc w:val="both"/>
        <w:rPr>
          <w:color w:val="auto"/>
          <w:sz w:val="24"/>
          <w:szCs w:val="24"/>
        </w:rPr>
      </w:pPr>
      <w:r>
        <w:rPr>
          <w:color w:val="auto"/>
          <w:sz w:val="24"/>
          <w:szCs w:val="24"/>
        </w:rPr>
        <w:t>ii)</w:t>
      </w:r>
      <w:r>
        <w:rPr>
          <w:color w:val="auto"/>
          <w:sz w:val="24"/>
          <w:szCs w:val="24"/>
        </w:rPr>
        <w:tab/>
      </w:r>
      <w:r w:rsidRPr="00A61926">
        <w:rPr>
          <w:color w:val="auto"/>
          <w:sz w:val="24"/>
          <w:szCs w:val="24"/>
        </w:rPr>
        <w:t>Endorse the CCG’s approach to the Workforce Disability Equality Standard (WDES).</w:t>
      </w:r>
    </w:p>
    <w:p w:rsidR="00A61926" w:rsidRDefault="00A61926" w:rsidP="00604AF1">
      <w:pPr>
        <w:spacing w:after="0" w:line="240" w:lineRule="auto"/>
        <w:ind w:left="360"/>
        <w:jc w:val="both"/>
        <w:rPr>
          <w:color w:val="auto"/>
          <w:sz w:val="24"/>
          <w:szCs w:val="24"/>
        </w:rPr>
      </w:pPr>
    </w:p>
    <w:p w:rsidR="00A61926" w:rsidRPr="00A61926" w:rsidRDefault="00A61926" w:rsidP="00604AF1">
      <w:pPr>
        <w:spacing w:after="0" w:line="240" w:lineRule="auto"/>
        <w:ind w:left="360" w:firstLine="360"/>
        <w:jc w:val="both"/>
        <w:rPr>
          <w:color w:val="auto"/>
          <w:sz w:val="24"/>
          <w:szCs w:val="24"/>
        </w:rPr>
      </w:pPr>
      <w:r>
        <w:rPr>
          <w:color w:val="auto"/>
          <w:sz w:val="24"/>
          <w:szCs w:val="24"/>
        </w:rPr>
        <w:t>iii)</w:t>
      </w:r>
      <w:r>
        <w:rPr>
          <w:color w:val="auto"/>
          <w:sz w:val="24"/>
          <w:szCs w:val="24"/>
        </w:rPr>
        <w:tab/>
        <w:t>Note the CCG’s WRES findings, and</w:t>
      </w:r>
    </w:p>
    <w:p w:rsidR="00A61926" w:rsidRPr="00A61926" w:rsidRDefault="00A61926" w:rsidP="00604AF1">
      <w:pPr>
        <w:spacing w:after="0" w:line="240" w:lineRule="auto"/>
        <w:ind w:left="360"/>
        <w:jc w:val="both"/>
        <w:rPr>
          <w:color w:val="auto"/>
          <w:sz w:val="24"/>
          <w:szCs w:val="24"/>
        </w:rPr>
      </w:pPr>
    </w:p>
    <w:p w:rsidR="0079619F" w:rsidRPr="0079619F" w:rsidRDefault="00A61926" w:rsidP="00604AF1">
      <w:pPr>
        <w:spacing w:after="0" w:line="240" w:lineRule="auto"/>
        <w:ind w:left="1440" w:hanging="720"/>
        <w:jc w:val="both"/>
        <w:rPr>
          <w:color w:val="auto"/>
          <w:sz w:val="24"/>
          <w:szCs w:val="24"/>
        </w:rPr>
      </w:pPr>
      <w:r>
        <w:rPr>
          <w:color w:val="auto"/>
          <w:sz w:val="24"/>
          <w:szCs w:val="24"/>
        </w:rPr>
        <w:t>iv)</w:t>
      </w:r>
      <w:r>
        <w:rPr>
          <w:color w:val="auto"/>
          <w:sz w:val="24"/>
          <w:szCs w:val="24"/>
        </w:rPr>
        <w:tab/>
      </w:r>
      <w:r w:rsidRPr="00A61926">
        <w:rPr>
          <w:color w:val="auto"/>
          <w:sz w:val="24"/>
          <w:szCs w:val="24"/>
        </w:rPr>
        <w:t>Approve the proposed CCG approach to the Equality Delivery System (EDS).</w:t>
      </w:r>
    </w:p>
    <w:p w:rsidR="00953DC4" w:rsidRPr="00953DC4" w:rsidRDefault="00953DC4" w:rsidP="00604AF1">
      <w:pPr>
        <w:spacing w:after="0" w:line="240" w:lineRule="auto"/>
        <w:ind w:firstLine="284"/>
        <w:jc w:val="both"/>
        <w:rPr>
          <w:b/>
          <w:i/>
          <w:sz w:val="24"/>
          <w:szCs w:val="24"/>
        </w:rPr>
      </w:pPr>
    </w:p>
    <w:p w:rsidR="00953DC4" w:rsidRPr="00F07B5F" w:rsidRDefault="00953DC4" w:rsidP="00953DC4">
      <w:pPr>
        <w:spacing w:after="0" w:line="240" w:lineRule="auto"/>
        <w:ind w:right="-1" w:firstLine="284"/>
        <w:jc w:val="both"/>
        <w:rPr>
          <w:b/>
          <w:i/>
        </w:rPr>
      </w:pPr>
    </w:p>
    <w:sectPr w:rsidR="00953DC4" w:rsidRPr="00F07B5F" w:rsidSect="0025572F">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B3" w:rsidRDefault="00143BB3" w:rsidP="00A12259">
      <w:pPr>
        <w:spacing w:after="0" w:line="240" w:lineRule="auto"/>
      </w:pPr>
      <w:r>
        <w:separator/>
      </w:r>
    </w:p>
  </w:endnote>
  <w:endnote w:type="continuationSeparator" w:id="0">
    <w:p w:rsidR="00143BB3" w:rsidRDefault="00143BB3" w:rsidP="00A1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1036861388"/>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rsidR="00362E57" w:rsidRPr="00A12259" w:rsidRDefault="00362E57" w:rsidP="00A12259">
            <w:pPr>
              <w:pStyle w:val="Footer"/>
              <w:jc w:val="right"/>
              <w:rPr>
                <w:color w:val="auto"/>
                <w:sz w:val="16"/>
                <w:szCs w:val="16"/>
              </w:rPr>
            </w:pPr>
            <w:r w:rsidRPr="00A12259">
              <w:rPr>
                <w:color w:val="auto"/>
                <w:sz w:val="16"/>
                <w:szCs w:val="16"/>
              </w:rPr>
              <w:t xml:space="preserve">Page </w:t>
            </w:r>
            <w:r w:rsidRPr="00A12259">
              <w:rPr>
                <w:bCs/>
                <w:color w:val="auto"/>
                <w:sz w:val="16"/>
                <w:szCs w:val="16"/>
              </w:rPr>
              <w:fldChar w:fldCharType="begin"/>
            </w:r>
            <w:r w:rsidRPr="00A12259">
              <w:rPr>
                <w:bCs/>
                <w:color w:val="auto"/>
                <w:sz w:val="16"/>
                <w:szCs w:val="16"/>
              </w:rPr>
              <w:instrText xml:space="preserve"> PAGE </w:instrText>
            </w:r>
            <w:r w:rsidRPr="00A12259">
              <w:rPr>
                <w:bCs/>
                <w:color w:val="auto"/>
                <w:sz w:val="16"/>
                <w:szCs w:val="16"/>
              </w:rPr>
              <w:fldChar w:fldCharType="separate"/>
            </w:r>
            <w:r w:rsidR="001A3246">
              <w:rPr>
                <w:bCs/>
                <w:noProof/>
                <w:color w:val="auto"/>
                <w:sz w:val="16"/>
                <w:szCs w:val="16"/>
              </w:rPr>
              <w:t>2</w:t>
            </w:r>
            <w:r w:rsidRPr="00A12259">
              <w:rPr>
                <w:bCs/>
                <w:color w:val="auto"/>
                <w:sz w:val="16"/>
                <w:szCs w:val="16"/>
              </w:rPr>
              <w:fldChar w:fldCharType="end"/>
            </w:r>
            <w:r w:rsidRPr="00A12259">
              <w:rPr>
                <w:color w:val="auto"/>
                <w:sz w:val="16"/>
                <w:szCs w:val="16"/>
              </w:rPr>
              <w:t xml:space="preserve"> of </w:t>
            </w:r>
            <w:r w:rsidRPr="00A12259">
              <w:rPr>
                <w:bCs/>
                <w:color w:val="auto"/>
                <w:sz w:val="16"/>
                <w:szCs w:val="16"/>
              </w:rPr>
              <w:fldChar w:fldCharType="begin"/>
            </w:r>
            <w:r w:rsidRPr="00A12259">
              <w:rPr>
                <w:bCs/>
                <w:color w:val="auto"/>
                <w:sz w:val="16"/>
                <w:szCs w:val="16"/>
              </w:rPr>
              <w:instrText xml:space="preserve"> NUMPAGES  </w:instrText>
            </w:r>
            <w:r w:rsidRPr="00A12259">
              <w:rPr>
                <w:bCs/>
                <w:color w:val="auto"/>
                <w:sz w:val="16"/>
                <w:szCs w:val="16"/>
              </w:rPr>
              <w:fldChar w:fldCharType="separate"/>
            </w:r>
            <w:r w:rsidR="001A3246">
              <w:rPr>
                <w:bCs/>
                <w:noProof/>
                <w:color w:val="auto"/>
                <w:sz w:val="16"/>
                <w:szCs w:val="16"/>
              </w:rPr>
              <w:t>8</w:t>
            </w:r>
            <w:r w:rsidRPr="00A12259">
              <w:rPr>
                <w:bCs/>
                <w:color w:val="auto"/>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B3" w:rsidRDefault="00143BB3" w:rsidP="00A12259">
      <w:pPr>
        <w:spacing w:after="0" w:line="240" w:lineRule="auto"/>
      </w:pPr>
      <w:r>
        <w:separator/>
      </w:r>
    </w:p>
  </w:footnote>
  <w:footnote w:type="continuationSeparator" w:id="0">
    <w:p w:rsidR="00143BB3" w:rsidRDefault="00143BB3" w:rsidP="00A12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9BC"/>
    <w:multiLevelType w:val="hybridMultilevel"/>
    <w:tmpl w:val="C462697A"/>
    <w:lvl w:ilvl="0" w:tplc="D0F853A2">
      <w:start w:val="2"/>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F6956E0"/>
    <w:multiLevelType w:val="hybridMultilevel"/>
    <w:tmpl w:val="2330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B6B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ED3896"/>
    <w:multiLevelType w:val="hybridMultilevel"/>
    <w:tmpl w:val="3FF28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FF5120"/>
    <w:multiLevelType w:val="multilevel"/>
    <w:tmpl w:val="F49ED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37A55DB"/>
    <w:multiLevelType w:val="hybridMultilevel"/>
    <w:tmpl w:val="7718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646283"/>
    <w:multiLevelType w:val="hybridMultilevel"/>
    <w:tmpl w:val="0BAA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5C03BC8"/>
    <w:multiLevelType w:val="hybridMultilevel"/>
    <w:tmpl w:val="45F8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581D64"/>
    <w:multiLevelType w:val="hybridMultilevel"/>
    <w:tmpl w:val="96E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D9440E"/>
    <w:multiLevelType w:val="hybridMultilevel"/>
    <w:tmpl w:val="413E353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
  </w:num>
  <w:num w:numId="5">
    <w:abstractNumId w:val="5"/>
  </w:num>
  <w:num w:numId="6">
    <w:abstractNumId w:val="9"/>
  </w:num>
  <w:num w:numId="7">
    <w:abstractNumId w:val="2"/>
  </w:num>
  <w:num w:numId="8">
    <w:abstractNumId w:val="6"/>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9F"/>
    <w:rsid w:val="00000041"/>
    <w:rsid w:val="00007950"/>
    <w:rsid w:val="000102CB"/>
    <w:rsid w:val="000126CA"/>
    <w:rsid w:val="00015D16"/>
    <w:rsid w:val="00024124"/>
    <w:rsid w:val="00045447"/>
    <w:rsid w:val="00080753"/>
    <w:rsid w:val="00085A14"/>
    <w:rsid w:val="00085A81"/>
    <w:rsid w:val="000A2C91"/>
    <w:rsid w:val="000B2B84"/>
    <w:rsid w:val="000B6058"/>
    <w:rsid w:val="000E54A7"/>
    <w:rsid w:val="000E6CE5"/>
    <w:rsid w:val="0010586B"/>
    <w:rsid w:val="00117908"/>
    <w:rsid w:val="00143BB3"/>
    <w:rsid w:val="001774D9"/>
    <w:rsid w:val="00185098"/>
    <w:rsid w:val="00186878"/>
    <w:rsid w:val="001923D4"/>
    <w:rsid w:val="001A3246"/>
    <w:rsid w:val="001B1EF2"/>
    <w:rsid w:val="001B25C2"/>
    <w:rsid w:val="001C09DB"/>
    <w:rsid w:val="001F487C"/>
    <w:rsid w:val="00204AC7"/>
    <w:rsid w:val="0021269C"/>
    <w:rsid w:val="00221680"/>
    <w:rsid w:val="002415F0"/>
    <w:rsid w:val="00252713"/>
    <w:rsid w:val="0025572F"/>
    <w:rsid w:val="00270E1F"/>
    <w:rsid w:val="002941E7"/>
    <w:rsid w:val="002B7229"/>
    <w:rsid w:val="002D4B02"/>
    <w:rsid w:val="002D4BC5"/>
    <w:rsid w:val="002D7FCB"/>
    <w:rsid w:val="002E50F3"/>
    <w:rsid w:val="002E7C5C"/>
    <w:rsid w:val="00326FBF"/>
    <w:rsid w:val="00344E60"/>
    <w:rsid w:val="00362E57"/>
    <w:rsid w:val="003728AB"/>
    <w:rsid w:val="003735D4"/>
    <w:rsid w:val="0037732B"/>
    <w:rsid w:val="00386180"/>
    <w:rsid w:val="00390986"/>
    <w:rsid w:val="003B2F18"/>
    <w:rsid w:val="003C09CB"/>
    <w:rsid w:val="003D47EE"/>
    <w:rsid w:val="003F6485"/>
    <w:rsid w:val="004012CC"/>
    <w:rsid w:val="004014BC"/>
    <w:rsid w:val="004159D1"/>
    <w:rsid w:val="00440CFB"/>
    <w:rsid w:val="004576C7"/>
    <w:rsid w:val="0046152F"/>
    <w:rsid w:val="00463C68"/>
    <w:rsid w:val="00466779"/>
    <w:rsid w:val="00481EC7"/>
    <w:rsid w:val="004874A0"/>
    <w:rsid w:val="0049270B"/>
    <w:rsid w:val="00496429"/>
    <w:rsid w:val="004A4AF8"/>
    <w:rsid w:val="004A4FEF"/>
    <w:rsid w:val="004A6F2B"/>
    <w:rsid w:val="004B2C08"/>
    <w:rsid w:val="004C16F5"/>
    <w:rsid w:val="004C1D3E"/>
    <w:rsid w:val="004E00E6"/>
    <w:rsid w:val="004E7F91"/>
    <w:rsid w:val="004F1273"/>
    <w:rsid w:val="00512578"/>
    <w:rsid w:val="00521467"/>
    <w:rsid w:val="00524AAC"/>
    <w:rsid w:val="00524FEE"/>
    <w:rsid w:val="00525902"/>
    <w:rsid w:val="00551939"/>
    <w:rsid w:val="00564BB5"/>
    <w:rsid w:val="00566BDC"/>
    <w:rsid w:val="005A6CEB"/>
    <w:rsid w:val="00604AF1"/>
    <w:rsid w:val="00606936"/>
    <w:rsid w:val="00634CC3"/>
    <w:rsid w:val="006353ED"/>
    <w:rsid w:val="006500B1"/>
    <w:rsid w:val="0066651D"/>
    <w:rsid w:val="006A6480"/>
    <w:rsid w:val="006B4085"/>
    <w:rsid w:val="006C125A"/>
    <w:rsid w:val="006C4C28"/>
    <w:rsid w:val="006F51F1"/>
    <w:rsid w:val="007033D2"/>
    <w:rsid w:val="0079619F"/>
    <w:rsid w:val="00797622"/>
    <w:rsid w:val="007A7074"/>
    <w:rsid w:val="007E630F"/>
    <w:rsid w:val="008041F7"/>
    <w:rsid w:val="008133A3"/>
    <w:rsid w:val="0084138B"/>
    <w:rsid w:val="00850F88"/>
    <w:rsid w:val="008601C9"/>
    <w:rsid w:val="00863EF6"/>
    <w:rsid w:val="00864DEE"/>
    <w:rsid w:val="00880A70"/>
    <w:rsid w:val="00880E9F"/>
    <w:rsid w:val="00884D3A"/>
    <w:rsid w:val="008C54B1"/>
    <w:rsid w:val="008D4F11"/>
    <w:rsid w:val="0090276F"/>
    <w:rsid w:val="00907BD9"/>
    <w:rsid w:val="009124AF"/>
    <w:rsid w:val="00912FC7"/>
    <w:rsid w:val="00926F04"/>
    <w:rsid w:val="009369E8"/>
    <w:rsid w:val="00953DC4"/>
    <w:rsid w:val="00955A3C"/>
    <w:rsid w:val="00963148"/>
    <w:rsid w:val="00973D19"/>
    <w:rsid w:val="00A07AA3"/>
    <w:rsid w:val="00A12259"/>
    <w:rsid w:val="00A21674"/>
    <w:rsid w:val="00A304AD"/>
    <w:rsid w:val="00A61926"/>
    <w:rsid w:val="00A83562"/>
    <w:rsid w:val="00A90438"/>
    <w:rsid w:val="00A928F1"/>
    <w:rsid w:val="00A962A9"/>
    <w:rsid w:val="00AB3DDF"/>
    <w:rsid w:val="00AC1E27"/>
    <w:rsid w:val="00AC22C8"/>
    <w:rsid w:val="00AC772A"/>
    <w:rsid w:val="00AD0594"/>
    <w:rsid w:val="00AD0682"/>
    <w:rsid w:val="00AE1D23"/>
    <w:rsid w:val="00AF316A"/>
    <w:rsid w:val="00AF4C41"/>
    <w:rsid w:val="00B0337D"/>
    <w:rsid w:val="00B1044C"/>
    <w:rsid w:val="00B164D3"/>
    <w:rsid w:val="00B37D2F"/>
    <w:rsid w:val="00B57DC7"/>
    <w:rsid w:val="00B61F80"/>
    <w:rsid w:val="00B927F8"/>
    <w:rsid w:val="00B9579C"/>
    <w:rsid w:val="00BA2E3F"/>
    <w:rsid w:val="00BA7EED"/>
    <w:rsid w:val="00BC2195"/>
    <w:rsid w:val="00BD03D7"/>
    <w:rsid w:val="00BD6B55"/>
    <w:rsid w:val="00BE31DC"/>
    <w:rsid w:val="00BE579C"/>
    <w:rsid w:val="00BE7C57"/>
    <w:rsid w:val="00BF503B"/>
    <w:rsid w:val="00BF6B76"/>
    <w:rsid w:val="00C00E2C"/>
    <w:rsid w:val="00C134E9"/>
    <w:rsid w:val="00C20147"/>
    <w:rsid w:val="00C21C0A"/>
    <w:rsid w:val="00C3298A"/>
    <w:rsid w:val="00C36312"/>
    <w:rsid w:val="00C4131D"/>
    <w:rsid w:val="00C448EC"/>
    <w:rsid w:val="00C466D5"/>
    <w:rsid w:val="00C62E05"/>
    <w:rsid w:val="00C75C77"/>
    <w:rsid w:val="00C760C9"/>
    <w:rsid w:val="00C9073B"/>
    <w:rsid w:val="00C93A97"/>
    <w:rsid w:val="00CA24E7"/>
    <w:rsid w:val="00CC73F9"/>
    <w:rsid w:val="00CD5926"/>
    <w:rsid w:val="00CE473E"/>
    <w:rsid w:val="00D05ADC"/>
    <w:rsid w:val="00D164AE"/>
    <w:rsid w:val="00D20CEA"/>
    <w:rsid w:val="00D230F5"/>
    <w:rsid w:val="00D3640A"/>
    <w:rsid w:val="00D619F8"/>
    <w:rsid w:val="00D90441"/>
    <w:rsid w:val="00DA55E6"/>
    <w:rsid w:val="00DD6BEA"/>
    <w:rsid w:val="00E02119"/>
    <w:rsid w:val="00E02173"/>
    <w:rsid w:val="00E07045"/>
    <w:rsid w:val="00E072B1"/>
    <w:rsid w:val="00E22336"/>
    <w:rsid w:val="00E23F16"/>
    <w:rsid w:val="00E3188D"/>
    <w:rsid w:val="00E3617B"/>
    <w:rsid w:val="00E43B29"/>
    <w:rsid w:val="00E71321"/>
    <w:rsid w:val="00E713C7"/>
    <w:rsid w:val="00E750DE"/>
    <w:rsid w:val="00EC02C2"/>
    <w:rsid w:val="00EF653F"/>
    <w:rsid w:val="00EF7B3B"/>
    <w:rsid w:val="00F02345"/>
    <w:rsid w:val="00F07B5F"/>
    <w:rsid w:val="00F12D21"/>
    <w:rsid w:val="00F1650F"/>
    <w:rsid w:val="00F43E49"/>
    <w:rsid w:val="00F4644B"/>
    <w:rsid w:val="00F62658"/>
    <w:rsid w:val="00F76790"/>
    <w:rsid w:val="00F9295E"/>
    <w:rsid w:val="00FA4001"/>
    <w:rsid w:val="00FA5C25"/>
    <w:rsid w:val="00FB2D07"/>
    <w:rsid w:val="00FB76C8"/>
    <w:rsid w:val="00FD7B0B"/>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0F"/>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paragraph" w:customStyle="1" w:styleId="Default">
    <w:name w:val="Default"/>
    <w:rsid w:val="004C1D3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semiHidden/>
    <w:unhideWhenUsed/>
    <w:rsid w:val="00F1650F"/>
    <w:rPr>
      <w:sz w:val="16"/>
      <w:szCs w:val="16"/>
    </w:rPr>
  </w:style>
  <w:style w:type="paragraph" w:styleId="CommentText">
    <w:name w:val="annotation text"/>
    <w:basedOn w:val="Normal"/>
    <w:link w:val="CommentTextChar"/>
    <w:uiPriority w:val="99"/>
    <w:semiHidden/>
    <w:unhideWhenUsed/>
    <w:rsid w:val="00F1650F"/>
    <w:pPr>
      <w:spacing w:line="240" w:lineRule="auto"/>
    </w:pPr>
    <w:rPr>
      <w:sz w:val="20"/>
      <w:szCs w:val="20"/>
    </w:rPr>
  </w:style>
  <w:style w:type="character" w:customStyle="1" w:styleId="CommentTextChar">
    <w:name w:val="Comment Text Char"/>
    <w:basedOn w:val="DefaultParagraphFont"/>
    <w:link w:val="CommentText"/>
    <w:uiPriority w:val="99"/>
    <w:semiHidden/>
    <w:rsid w:val="00F1650F"/>
    <w:rPr>
      <w:color w:val="FF0000"/>
      <w:lang w:eastAsia="en-US"/>
    </w:rPr>
  </w:style>
  <w:style w:type="paragraph" w:styleId="CommentSubject">
    <w:name w:val="annotation subject"/>
    <w:basedOn w:val="CommentText"/>
    <w:next w:val="CommentText"/>
    <w:link w:val="CommentSubjectChar"/>
    <w:uiPriority w:val="99"/>
    <w:semiHidden/>
    <w:unhideWhenUsed/>
    <w:rsid w:val="00F1650F"/>
    <w:rPr>
      <w:b/>
      <w:bCs/>
    </w:rPr>
  </w:style>
  <w:style w:type="character" w:customStyle="1" w:styleId="CommentSubjectChar">
    <w:name w:val="Comment Subject Char"/>
    <w:basedOn w:val="CommentTextChar"/>
    <w:link w:val="CommentSubject"/>
    <w:uiPriority w:val="99"/>
    <w:semiHidden/>
    <w:rsid w:val="00F1650F"/>
    <w:rPr>
      <w:b/>
      <w:bCs/>
      <w:color w:val="FF0000"/>
      <w:lang w:eastAsia="en-US"/>
    </w:rPr>
  </w:style>
  <w:style w:type="paragraph" w:styleId="NormalWeb">
    <w:name w:val="Normal (Web)"/>
    <w:basedOn w:val="Normal"/>
    <w:uiPriority w:val="99"/>
    <w:semiHidden/>
    <w:unhideWhenUsed/>
    <w:rsid w:val="00015D1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2941E7"/>
    <w:rPr>
      <w:color w:val="0000FF"/>
      <w:u w:val="single"/>
    </w:rPr>
  </w:style>
  <w:style w:type="character" w:customStyle="1" w:styleId="UnresolvedMention">
    <w:name w:val="Unresolved Mention"/>
    <w:basedOn w:val="DefaultParagraphFont"/>
    <w:uiPriority w:val="99"/>
    <w:semiHidden/>
    <w:unhideWhenUsed/>
    <w:rsid w:val="009124AF"/>
    <w:rPr>
      <w:color w:val="605E5C"/>
      <w:shd w:val="clear" w:color="auto" w:fill="E1DFDD"/>
    </w:rPr>
  </w:style>
  <w:style w:type="paragraph" w:styleId="Revision">
    <w:name w:val="Revision"/>
    <w:hidden/>
    <w:uiPriority w:val="99"/>
    <w:semiHidden/>
    <w:rsid w:val="00B57DC7"/>
    <w:rPr>
      <w:color w:val="FF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0F"/>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paragraph" w:customStyle="1" w:styleId="Default">
    <w:name w:val="Default"/>
    <w:rsid w:val="004C1D3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semiHidden/>
    <w:unhideWhenUsed/>
    <w:rsid w:val="00F1650F"/>
    <w:rPr>
      <w:sz w:val="16"/>
      <w:szCs w:val="16"/>
    </w:rPr>
  </w:style>
  <w:style w:type="paragraph" w:styleId="CommentText">
    <w:name w:val="annotation text"/>
    <w:basedOn w:val="Normal"/>
    <w:link w:val="CommentTextChar"/>
    <w:uiPriority w:val="99"/>
    <w:semiHidden/>
    <w:unhideWhenUsed/>
    <w:rsid w:val="00F1650F"/>
    <w:pPr>
      <w:spacing w:line="240" w:lineRule="auto"/>
    </w:pPr>
    <w:rPr>
      <w:sz w:val="20"/>
      <w:szCs w:val="20"/>
    </w:rPr>
  </w:style>
  <w:style w:type="character" w:customStyle="1" w:styleId="CommentTextChar">
    <w:name w:val="Comment Text Char"/>
    <w:basedOn w:val="DefaultParagraphFont"/>
    <w:link w:val="CommentText"/>
    <w:uiPriority w:val="99"/>
    <w:semiHidden/>
    <w:rsid w:val="00F1650F"/>
    <w:rPr>
      <w:color w:val="FF0000"/>
      <w:lang w:eastAsia="en-US"/>
    </w:rPr>
  </w:style>
  <w:style w:type="paragraph" w:styleId="CommentSubject">
    <w:name w:val="annotation subject"/>
    <w:basedOn w:val="CommentText"/>
    <w:next w:val="CommentText"/>
    <w:link w:val="CommentSubjectChar"/>
    <w:uiPriority w:val="99"/>
    <w:semiHidden/>
    <w:unhideWhenUsed/>
    <w:rsid w:val="00F1650F"/>
    <w:rPr>
      <w:b/>
      <w:bCs/>
    </w:rPr>
  </w:style>
  <w:style w:type="character" w:customStyle="1" w:styleId="CommentSubjectChar">
    <w:name w:val="Comment Subject Char"/>
    <w:basedOn w:val="CommentTextChar"/>
    <w:link w:val="CommentSubject"/>
    <w:uiPriority w:val="99"/>
    <w:semiHidden/>
    <w:rsid w:val="00F1650F"/>
    <w:rPr>
      <w:b/>
      <w:bCs/>
      <w:color w:val="FF0000"/>
      <w:lang w:eastAsia="en-US"/>
    </w:rPr>
  </w:style>
  <w:style w:type="paragraph" w:styleId="NormalWeb">
    <w:name w:val="Normal (Web)"/>
    <w:basedOn w:val="Normal"/>
    <w:uiPriority w:val="99"/>
    <w:semiHidden/>
    <w:unhideWhenUsed/>
    <w:rsid w:val="00015D1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2941E7"/>
    <w:rPr>
      <w:color w:val="0000FF"/>
      <w:u w:val="single"/>
    </w:rPr>
  </w:style>
  <w:style w:type="character" w:customStyle="1" w:styleId="UnresolvedMention">
    <w:name w:val="Unresolved Mention"/>
    <w:basedOn w:val="DefaultParagraphFont"/>
    <w:uiPriority w:val="99"/>
    <w:semiHidden/>
    <w:unhideWhenUsed/>
    <w:rsid w:val="009124AF"/>
    <w:rPr>
      <w:color w:val="605E5C"/>
      <w:shd w:val="clear" w:color="auto" w:fill="E1DFDD"/>
    </w:rPr>
  </w:style>
  <w:style w:type="paragraph" w:styleId="Revision">
    <w:name w:val="Revision"/>
    <w:hidden/>
    <w:uiPriority w:val="99"/>
    <w:semiHidden/>
    <w:rsid w:val="00B57DC7"/>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31998957">
      <w:bodyDiv w:val="1"/>
      <w:marLeft w:val="0"/>
      <w:marRight w:val="0"/>
      <w:marTop w:val="0"/>
      <w:marBottom w:val="0"/>
      <w:divBdr>
        <w:top w:val="none" w:sz="0" w:space="0" w:color="auto"/>
        <w:left w:val="none" w:sz="0" w:space="0" w:color="auto"/>
        <w:bottom w:val="none" w:sz="0" w:space="0" w:color="auto"/>
        <w:right w:val="none" w:sz="0" w:space="0" w:color="auto"/>
      </w:divBdr>
    </w:div>
    <w:div w:id="57945015">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39732357">
      <w:bodyDiv w:val="1"/>
      <w:marLeft w:val="0"/>
      <w:marRight w:val="0"/>
      <w:marTop w:val="0"/>
      <w:marBottom w:val="0"/>
      <w:divBdr>
        <w:top w:val="none" w:sz="0" w:space="0" w:color="auto"/>
        <w:left w:val="none" w:sz="0" w:space="0" w:color="auto"/>
        <w:bottom w:val="none" w:sz="0" w:space="0" w:color="auto"/>
        <w:right w:val="none" w:sz="0" w:space="0" w:color="auto"/>
      </w:divBdr>
    </w:div>
    <w:div w:id="147018464">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01407148">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90014990">
      <w:bodyDiv w:val="1"/>
      <w:marLeft w:val="0"/>
      <w:marRight w:val="0"/>
      <w:marTop w:val="0"/>
      <w:marBottom w:val="0"/>
      <w:divBdr>
        <w:top w:val="none" w:sz="0" w:space="0" w:color="auto"/>
        <w:left w:val="none" w:sz="0" w:space="0" w:color="auto"/>
        <w:bottom w:val="none" w:sz="0" w:space="0" w:color="auto"/>
        <w:right w:val="none" w:sz="0" w:space="0" w:color="auto"/>
      </w:divBdr>
    </w:div>
    <w:div w:id="300699335">
      <w:bodyDiv w:val="1"/>
      <w:marLeft w:val="0"/>
      <w:marRight w:val="0"/>
      <w:marTop w:val="0"/>
      <w:marBottom w:val="0"/>
      <w:divBdr>
        <w:top w:val="none" w:sz="0" w:space="0" w:color="auto"/>
        <w:left w:val="none" w:sz="0" w:space="0" w:color="auto"/>
        <w:bottom w:val="none" w:sz="0" w:space="0" w:color="auto"/>
        <w:right w:val="none" w:sz="0" w:space="0" w:color="auto"/>
      </w:divBdr>
    </w:div>
    <w:div w:id="306858834">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078245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33426037">
      <w:bodyDiv w:val="1"/>
      <w:marLeft w:val="0"/>
      <w:marRight w:val="0"/>
      <w:marTop w:val="0"/>
      <w:marBottom w:val="0"/>
      <w:divBdr>
        <w:top w:val="none" w:sz="0" w:space="0" w:color="auto"/>
        <w:left w:val="none" w:sz="0" w:space="0" w:color="auto"/>
        <w:bottom w:val="none" w:sz="0" w:space="0" w:color="auto"/>
        <w:right w:val="none" w:sz="0" w:space="0" w:color="auto"/>
      </w:divBdr>
      <w:divsChild>
        <w:div w:id="200364625">
          <w:marLeft w:val="0"/>
          <w:marRight w:val="0"/>
          <w:marTop w:val="0"/>
          <w:marBottom w:val="0"/>
          <w:divBdr>
            <w:top w:val="none" w:sz="0" w:space="0" w:color="auto"/>
            <w:left w:val="none" w:sz="0" w:space="0" w:color="auto"/>
            <w:bottom w:val="none" w:sz="0" w:space="0" w:color="auto"/>
            <w:right w:val="none" w:sz="0" w:space="0" w:color="auto"/>
          </w:divBdr>
          <w:divsChild>
            <w:div w:id="837187696">
              <w:marLeft w:val="0"/>
              <w:marRight w:val="0"/>
              <w:marTop w:val="0"/>
              <w:marBottom w:val="0"/>
              <w:divBdr>
                <w:top w:val="none" w:sz="0" w:space="0" w:color="auto"/>
                <w:left w:val="none" w:sz="0" w:space="0" w:color="auto"/>
                <w:bottom w:val="none" w:sz="0" w:space="0" w:color="auto"/>
                <w:right w:val="none" w:sz="0" w:space="0" w:color="auto"/>
              </w:divBdr>
              <w:divsChild>
                <w:div w:id="122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564340609">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69596900">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6758547">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909968506">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67998875">
      <w:bodyDiv w:val="1"/>
      <w:marLeft w:val="0"/>
      <w:marRight w:val="0"/>
      <w:marTop w:val="0"/>
      <w:marBottom w:val="0"/>
      <w:divBdr>
        <w:top w:val="none" w:sz="0" w:space="0" w:color="auto"/>
        <w:left w:val="none" w:sz="0" w:space="0" w:color="auto"/>
        <w:bottom w:val="none" w:sz="0" w:space="0" w:color="auto"/>
        <w:right w:val="none" w:sz="0" w:space="0" w:color="auto"/>
      </w:divBdr>
    </w:div>
    <w:div w:id="1074814615">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205604262">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60294037">
      <w:bodyDiv w:val="1"/>
      <w:marLeft w:val="0"/>
      <w:marRight w:val="0"/>
      <w:marTop w:val="0"/>
      <w:marBottom w:val="0"/>
      <w:divBdr>
        <w:top w:val="none" w:sz="0" w:space="0" w:color="auto"/>
        <w:left w:val="none" w:sz="0" w:space="0" w:color="auto"/>
        <w:bottom w:val="none" w:sz="0" w:space="0" w:color="auto"/>
        <w:right w:val="none" w:sz="0" w:space="0" w:color="auto"/>
      </w:divBdr>
      <w:divsChild>
        <w:div w:id="656232138">
          <w:marLeft w:val="0"/>
          <w:marRight w:val="0"/>
          <w:marTop w:val="0"/>
          <w:marBottom w:val="0"/>
          <w:divBdr>
            <w:top w:val="none" w:sz="0" w:space="0" w:color="auto"/>
            <w:left w:val="none" w:sz="0" w:space="0" w:color="auto"/>
            <w:bottom w:val="none" w:sz="0" w:space="0" w:color="auto"/>
            <w:right w:val="none" w:sz="0" w:space="0" w:color="auto"/>
          </w:divBdr>
        </w:div>
        <w:div w:id="766121987">
          <w:marLeft w:val="0"/>
          <w:marRight w:val="0"/>
          <w:marTop w:val="0"/>
          <w:marBottom w:val="0"/>
          <w:divBdr>
            <w:top w:val="none" w:sz="0" w:space="0" w:color="auto"/>
            <w:left w:val="none" w:sz="0" w:space="0" w:color="auto"/>
            <w:bottom w:val="none" w:sz="0" w:space="0" w:color="auto"/>
            <w:right w:val="none" w:sz="0" w:space="0" w:color="auto"/>
          </w:divBdr>
        </w:div>
        <w:div w:id="902301532">
          <w:marLeft w:val="0"/>
          <w:marRight w:val="0"/>
          <w:marTop w:val="0"/>
          <w:marBottom w:val="0"/>
          <w:divBdr>
            <w:top w:val="none" w:sz="0" w:space="0" w:color="auto"/>
            <w:left w:val="none" w:sz="0" w:space="0" w:color="auto"/>
            <w:bottom w:val="none" w:sz="0" w:space="0" w:color="auto"/>
            <w:right w:val="none" w:sz="0" w:space="0" w:color="auto"/>
          </w:divBdr>
        </w:div>
        <w:div w:id="1582131433">
          <w:marLeft w:val="0"/>
          <w:marRight w:val="0"/>
          <w:marTop w:val="0"/>
          <w:marBottom w:val="0"/>
          <w:divBdr>
            <w:top w:val="none" w:sz="0" w:space="0" w:color="auto"/>
            <w:left w:val="none" w:sz="0" w:space="0" w:color="auto"/>
            <w:bottom w:val="none" w:sz="0" w:space="0" w:color="auto"/>
            <w:right w:val="none" w:sz="0" w:space="0" w:color="auto"/>
          </w:divBdr>
        </w:div>
      </w:divsChild>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25559238">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98458148">
      <w:bodyDiv w:val="1"/>
      <w:marLeft w:val="0"/>
      <w:marRight w:val="0"/>
      <w:marTop w:val="0"/>
      <w:marBottom w:val="0"/>
      <w:divBdr>
        <w:top w:val="none" w:sz="0" w:space="0" w:color="auto"/>
        <w:left w:val="none" w:sz="0" w:space="0" w:color="auto"/>
        <w:bottom w:val="none" w:sz="0" w:space="0" w:color="auto"/>
        <w:right w:val="none" w:sz="0" w:space="0" w:color="auto"/>
      </w:divBdr>
    </w:div>
    <w:div w:id="1709329456">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791776008">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588099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875384156">
      <w:bodyDiv w:val="1"/>
      <w:marLeft w:val="0"/>
      <w:marRight w:val="0"/>
      <w:marTop w:val="0"/>
      <w:marBottom w:val="0"/>
      <w:divBdr>
        <w:top w:val="none" w:sz="0" w:space="0" w:color="auto"/>
        <w:left w:val="none" w:sz="0" w:space="0" w:color="auto"/>
        <w:bottom w:val="none" w:sz="0" w:space="0" w:color="auto"/>
        <w:right w:val="none" w:sz="0" w:space="0" w:color="auto"/>
      </w:divBdr>
    </w:div>
    <w:div w:id="1881361101">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1980570738">
      <w:bodyDiv w:val="1"/>
      <w:marLeft w:val="0"/>
      <w:marRight w:val="0"/>
      <w:marTop w:val="0"/>
      <w:marBottom w:val="0"/>
      <w:divBdr>
        <w:top w:val="none" w:sz="0" w:space="0" w:color="auto"/>
        <w:left w:val="none" w:sz="0" w:space="0" w:color="auto"/>
        <w:bottom w:val="none" w:sz="0" w:space="0" w:color="auto"/>
        <w:right w:val="none" w:sz="0" w:space="0" w:color="auto"/>
      </w:divBdr>
    </w:div>
    <w:div w:id="200010856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ber.nhs.uk/Downloads/Equality%20and%20Diversity/WRES%20workplan%202018.pd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4094-D0E8-4855-A88E-E6B4530D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IM&amp;T</cp:lastModifiedBy>
  <cp:revision>5</cp:revision>
  <cp:lastPrinted>2019-09-20T08:32:00Z</cp:lastPrinted>
  <dcterms:created xsi:type="dcterms:W3CDTF">2019-09-19T12:51:00Z</dcterms:created>
  <dcterms:modified xsi:type="dcterms:W3CDTF">2019-09-20T08:32:00Z</dcterms:modified>
</cp:coreProperties>
</file>